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61FFB" w14:textId="1B460BD7" w:rsidR="00201D4F" w:rsidRPr="00B85D62" w:rsidRDefault="1EF1C9BC" w:rsidP="0066232B">
      <w:pPr>
        <w:jc w:val="center"/>
        <w:rPr>
          <w:rFonts w:cs="Arial"/>
          <w:b/>
          <w:bCs/>
        </w:rPr>
      </w:pPr>
      <w:r w:rsidRPr="00B85D62">
        <w:rPr>
          <w:rFonts w:cs="Arial"/>
          <w:b/>
          <w:bCs/>
        </w:rPr>
        <w:t>Evaluating alternative protocols for identifying and managing patients</w:t>
      </w:r>
      <w:r w:rsidR="00B85D62" w:rsidRPr="00B85D62">
        <w:rPr>
          <w:rFonts w:cs="Arial"/>
          <w:b/>
          <w:bCs/>
        </w:rPr>
        <w:t xml:space="preserve"> </w:t>
      </w:r>
      <w:r w:rsidRPr="00B85D62">
        <w:rPr>
          <w:rFonts w:cs="Arial"/>
          <w:b/>
          <w:bCs/>
        </w:rPr>
        <w:t xml:space="preserve">with familial </w:t>
      </w:r>
      <w:r w:rsidR="3C992C14" w:rsidRPr="00B85D62">
        <w:rPr>
          <w:rFonts w:cs="Arial"/>
          <w:b/>
          <w:bCs/>
        </w:rPr>
        <w:t>hypercholesterolaemia</w:t>
      </w:r>
      <w:r w:rsidRPr="00B85D62">
        <w:rPr>
          <w:rFonts w:cs="Arial"/>
          <w:b/>
          <w:bCs/>
        </w:rPr>
        <w:t>:</w:t>
      </w:r>
      <w:r w:rsidR="00B85D62" w:rsidRPr="00B85D62">
        <w:rPr>
          <w:rFonts w:cs="Arial"/>
          <w:b/>
          <w:bCs/>
        </w:rPr>
        <w:t xml:space="preserve"> </w:t>
      </w:r>
      <w:r w:rsidR="00B85D62" w:rsidRPr="00B85D62">
        <w:rPr>
          <w:rFonts w:cs="Arial"/>
          <w:b/>
          <w:bCs/>
          <w:color w:val="00B0F0"/>
        </w:rPr>
        <w:t>cost-effective</w:t>
      </w:r>
      <w:r w:rsidRPr="00B85D62">
        <w:rPr>
          <w:rFonts w:cs="Arial"/>
          <w:b/>
          <w:bCs/>
        </w:rPr>
        <w:t>ness analysis with qualitative study</w:t>
      </w:r>
    </w:p>
    <w:p w14:paraId="20259559" w14:textId="3091D8D1" w:rsidR="00201D4F" w:rsidRPr="00B85D62" w:rsidRDefault="7D5728B3" w:rsidP="3ACB7CA2">
      <w:pPr>
        <w:rPr>
          <w:rFonts w:cs="Arial"/>
          <w:sz w:val="18"/>
          <w:szCs w:val="18"/>
        </w:rPr>
      </w:pPr>
      <w:r w:rsidRPr="00B85D62">
        <w:rPr>
          <w:rFonts w:cs="Arial"/>
          <w:sz w:val="18"/>
          <w:szCs w:val="18"/>
        </w:rPr>
        <w:t>Nadeem Qureshi</w:t>
      </w:r>
      <w:r w:rsidRPr="00B85D62">
        <w:rPr>
          <w:rFonts w:cs="Arial"/>
          <w:sz w:val="18"/>
          <w:szCs w:val="18"/>
          <w:vertAlign w:val="superscript"/>
        </w:rPr>
        <w:t>1</w:t>
      </w:r>
      <w:r w:rsidR="00EC7ADD" w:rsidRPr="00B85D62">
        <w:rPr>
          <w:rFonts w:cs="Arial"/>
          <w:sz w:val="18"/>
          <w:szCs w:val="18"/>
          <w:vertAlign w:val="superscript"/>
        </w:rPr>
        <w:t>*</w:t>
      </w:r>
      <w:r w:rsidRPr="00B85D62">
        <w:rPr>
          <w:rFonts w:cs="Arial"/>
          <w:sz w:val="18"/>
          <w:szCs w:val="18"/>
        </w:rPr>
        <w:t>, Bethan Woods</w:t>
      </w:r>
      <w:r w:rsidR="00E34B8F" w:rsidRPr="00B85D62">
        <w:rPr>
          <w:rFonts w:cs="Arial"/>
          <w:sz w:val="18"/>
          <w:szCs w:val="18"/>
          <w:vertAlign w:val="superscript"/>
        </w:rPr>
        <w:t>2</w:t>
      </w:r>
      <w:r w:rsidRPr="00B85D62">
        <w:rPr>
          <w:rFonts w:cs="Arial"/>
          <w:sz w:val="18"/>
          <w:szCs w:val="18"/>
        </w:rPr>
        <w:t>, Rita Neves de Faria</w:t>
      </w:r>
      <w:r w:rsidR="0053485D" w:rsidRPr="00B85D62">
        <w:rPr>
          <w:rFonts w:cs="Arial"/>
          <w:sz w:val="18"/>
          <w:szCs w:val="18"/>
          <w:vertAlign w:val="superscript"/>
        </w:rPr>
        <w:t>2</w:t>
      </w:r>
      <w:r w:rsidRPr="00B85D62">
        <w:rPr>
          <w:rFonts w:cs="Arial"/>
          <w:sz w:val="18"/>
          <w:szCs w:val="18"/>
        </w:rPr>
        <w:t>, Pedro Saramago Goncalves</w:t>
      </w:r>
      <w:r w:rsidR="0053485D" w:rsidRPr="00B85D62">
        <w:rPr>
          <w:rFonts w:cs="Arial"/>
          <w:sz w:val="18"/>
          <w:szCs w:val="18"/>
          <w:vertAlign w:val="superscript"/>
        </w:rPr>
        <w:t>2</w:t>
      </w:r>
      <w:r w:rsidRPr="00B85D62">
        <w:rPr>
          <w:rFonts w:cs="Arial"/>
          <w:sz w:val="18"/>
          <w:szCs w:val="18"/>
        </w:rPr>
        <w:t>, Edward Cox</w:t>
      </w:r>
      <w:r w:rsidR="0053485D" w:rsidRPr="00B85D62">
        <w:rPr>
          <w:rFonts w:cs="Arial"/>
          <w:sz w:val="18"/>
          <w:szCs w:val="18"/>
          <w:vertAlign w:val="superscript"/>
        </w:rPr>
        <w:t>2</w:t>
      </w:r>
      <w:r w:rsidRPr="00B85D62">
        <w:rPr>
          <w:rFonts w:cs="Arial"/>
          <w:sz w:val="18"/>
          <w:szCs w:val="18"/>
        </w:rPr>
        <w:t>, Jo Leonardi Bee</w:t>
      </w:r>
      <w:r w:rsidRPr="00B85D62">
        <w:rPr>
          <w:rFonts w:cs="Arial"/>
          <w:sz w:val="18"/>
          <w:szCs w:val="18"/>
          <w:vertAlign w:val="superscript"/>
        </w:rPr>
        <w:t>1</w:t>
      </w:r>
      <w:r w:rsidRPr="00B85D62">
        <w:rPr>
          <w:rFonts w:cs="Arial"/>
          <w:sz w:val="18"/>
          <w:szCs w:val="18"/>
        </w:rPr>
        <w:t>, Laura Condon</w:t>
      </w:r>
      <w:r w:rsidRPr="00B85D62">
        <w:rPr>
          <w:rFonts w:cs="Arial"/>
          <w:sz w:val="18"/>
          <w:szCs w:val="18"/>
          <w:vertAlign w:val="superscript"/>
        </w:rPr>
        <w:t>1</w:t>
      </w:r>
      <w:r w:rsidRPr="00B85D62">
        <w:rPr>
          <w:rFonts w:cs="Arial"/>
          <w:sz w:val="18"/>
          <w:szCs w:val="18"/>
        </w:rPr>
        <w:t xml:space="preserve">, </w:t>
      </w:r>
      <w:r w:rsidR="34F6DBB2" w:rsidRPr="00B85D62">
        <w:rPr>
          <w:rFonts w:cs="Arial"/>
          <w:sz w:val="18"/>
          <w:szCs w:val="18"/>
        </w:rPr>
        <w:t>Stephen Weng</w:t>
      </w:r>
      <w:r w:rsidR="34F6DBB2" w:rsidRPr="00B85D62">
        <w:rPr>
          <w:rFonts w:cs="Arial"/>
          <w:sz w:val="18"/>
          <w:szCs w:val="18"/>
          <w:vertAlign w:val="superscript"/>
        </w:rPr>
        <w:t xml:space="preserve"> </w:t>
      </w:r>
      <w:r w:rsidR="00CA7E90" w:rsidRPr="00B85D62">
        <w:rPr>
          <w:rFonts w:cs="Arial"/>
          <w:sz w:val="18"/>
          <w:szCs w:val="18"/>
          <w:vertAlign w:val="superscript"/>
        </w:rPr>
        <w:t>3</w:t>
      </w:r>
      <w:r w:rsidR="34F6DBB2" w:rsidRPr="00B85D62">
        <w:rPr>
          <w:rFonts w:cs="Arial"/>
          <w:sz w:val="18"/>
          <w:szCs w:val="18"/>
        </w:rPr>
        <w:t xml:space="preserve">, </w:t>
      </w:r>
      <w:r w:rsidRPr="00B85D62">
        <w:rPr>
          <w:rFonts w:cs="Arial"/>
          <w:sz w:val="18"/>
          <w:szCs w:val="18"/>
        </w:rPr>
        <w:t xml:space="preserve">Ralph </w:t>
      </w:r>
      <w:r w:rsidR="4D1FCC2D" w:rsidRPr="00B85D62">
        <w:rPr>
          <w:rFonts w:cs="Arial"/>
          <w:sz w:val="18"/>
          <w:szCs w:val="18"/>
        </w:rPr>
        <w:t xml:space="preserve">K </w:t>
      </w:r>
      <w:r w:rsidRPr="00B85D62">
        <w:rPr>
          <w:rFonts w:cs="Arial"/>
          <w:sz w:val="18"/>
          <w:szCs w:val="18"/>
        </w:rPr>
        <w:t>Akyea</w:t>
      </w:r>
      <w:r w:rsidRPr="00B85D62">
        <w:rPr>
          <w:rFonts w:cs="Arial"/>
          <w:sz w:val="18"/>
          <w:szCs w:val="18"/>
          <w:vertAlign w:val="superscript"/>
        </w:rPr>
        <w:t>1</w:t>
      </w:r>
      <w:r w:rsidRPr="00B85D62">
        <w:rPr>
          <w:rFonts w:cs="Arial"/>
          <w:sz w:val="18"/>
          <w:szCs w:val="18"/>
        </w:rPr>
        <w:t>, Barbara Iyen</w:t>
      </w:r>
      <w:r w:rsidRPr="00B85D62">
        <w:rPr>
          <w:rFonts w:cs="Arial"/>
          <w:sz w:val="18"/>
          <w:szCs w:val="18"/>
          <w:vertAlign w:val="superscript"/>
        </w:rPr>
        <w:t>1</w:t>
      </w:r>
      <w:r w:rsidRPr="00B85D62">
        <w:rPr>
          <w:rFonts w:cs="Arial"/>
          <w:sz w:val="18"/>
          <w:szCs w:val="18"/>
        </w:rPr>
        <w:t>, Paul Roderick</w:t>
      </w:r>
      <w:r w:rsidR="00CA7E90" w:rsidRPr="00B85D62">
        <w:rPr>
          <w:rFonts w:cs="Arial"/>
          <w:sz w:val="18"/>
          <w:szCs w:val="18"/>
          <w:vertAlign w:val="superscript"/>
        </w:rPr>
        <w:t>4</w:t>
      </w:r>
      <w:r w:rsidRPr="00B85D62">
        <w:rPr>
          <w:rFonts w:cs="Arial"/>
          <w:sz w:val="18"/>
          <w:szCs w:val="18"/>
        </w:rPr>
        <w:t xml:space="preserve">, Steve </w:t>
      </w:r>
      <w:r w:rsidR="00A34E8B" w:rsidRPr="00B85D62">
        <w:rPr>
          <w:rFonts w:cs="Arial"/>
          <w:sz w:val="18"/>
          <w:szCs w:val="18"/>
        </w:rPr>
        <w:t xml:space="preserve">E </w:t>
      </w:r>
      <w:r w:rsidRPr="00B85D62">
        <w:rPr>
          <w:rFonts w:cs="Arial"/>
          <w:sz w:val="18"/>
          <w:szCs w:val="18"/>
        </w:rPr>
        <w:t>Humphries</w:t>
      </w:r>
      <w:r w:rsidR="00CA7E90" w:rsidRPr="00B85D62">
        <w:rPr>
          <w:rFonts w:cs="Arial"/>
          <w:sz w:val="18"/>
          <w:szCs w:val="18"/>
          <w:vertAlign w:val="superscript"/>
        </w:rPr>
        <w:t>5</w:t>
      </w:r>
      <w:r w:rsidRPr="00B85D62">
        <w:rPr>
          <w:rFonts w:cs="Arial"/>
          <w:sz w:val="18"/>
          <w:szCs w:val="18"/>
        </w:rPr>
        <w:t>, William Rowlands</w:t>
      </w:r>
      <w:r w:rsidR="00CA7E90" w:rsidRPr="00B85D62">
        <w:rPr>
          <w:rFonts w:cs="Arial"/>
          <w:sz w:val="18"/>
          <w:szCs w:val="18"/>
          <w:vertAlign w:val="superscript"/>
        </w:rPr>
        <w:t>6</w:t>
      </w:r>
      <w:r w:rsidRPr="00B85D62">
        <w:rPr>
          <w:rFonts w:cs="Arial"/>
          <w:sz w:val="18"/>
          <w:szCs w:val="18"/>
        </w:rPr>
        <w:t>, Melanie Watson</w:t>
      </w:r>
      <w:r w:rsidR="00CA7E90" w:rsidRPr="00B85D62">
        <w:rPr>
          <w:rFonts w:cs="Arial"/>
          <w:sz w:val="18"/>
          <w:szCs w:val="18"/>
          <w:vertAlign w:val="superscript"/>
        </w:rPr>
        <w:t>7</w:t>
      </w:r>
      <w:r w:rsidRPr="00B85D62">
        <w:rPr>
          <w:rFonts w:cs="Arial"/>
          <w:sz w:val="18"/>
          <w:szCs w:val="18"/>
        </w:rPr>
        <w:t xml:space="preserve">, </w:t>
      </w:r>
      <w:r w:rsidR="05E8C3F8" w:rsidRPr="00B85D62">
        <w:rPr>
          <w:rFonts w:cs="Arial"/>
          <w:sz w:val="18"/>
          <w:szCs w:val="18"/>
        </w:rPr>
        <w:t>Kate Haralambos</w:t>
      </w:r>
      <w:r w:rsidR="00CA7E90" w:rsidRPr="00B85D62">
        <w:rPr>
          <w:rFonts w:cs="Arial"/>
          <w:sz w:val="18"/>
          <w:szCs w:val="18"/>
          <w:vertAlign w:val="superscript"/>
        </w:rPr>
        <w:t>8</w:t>
      </w:r>
      <w:r w:rsidR="05E8C3F8" w:rsidRPr="00B85D62">
        <w:rPr>
          <w:rFonts w:cs="Arial"/>
          <w:sz w:val="18"/>
          <w:szCs w:val="18"/>
        </w:rPr>
        <w:t>,</w:t>
      </w:r>
      <w:r w:rsidR="6DC61D88" w:rsidRPr="00B85D62">
        <w:rPr>
          <w:rFonts w:cs="Arial"/>
          <w:sz w:val="18"/>
          <w:szCs w:val="18"/>
        </w:rPr>
        <w:t xml:space="preserve"> </w:t>
      </w:r>
      <w:r w:rsidR="5E399DD2" w:rsidRPr="00B85D62">
        <w:rPr>
          <w:rFonts w:cs="Arial"/>
          <w:sz w:val="18"/>
          <w:szCs w:val="18"/>
        </w:rPr>
        <w:t>Ryan Kenny</w:t>
      </w:r>
      <w:r w:rsidR="00CA7E90" w:rsidRPr="00B85D62">
        <w:rPr>
          <w:rFonts w:cs="Arial"/>
          <w:sz w:val="18"/>
          <w:szCs w:val="18"/>
          <w:vertAlign w:val="superscript"/>
        </w:rPr>
        <w:t>9</w:t>
      </w:r>
      <w:r w:rsidR="5E399DD2" w:rsidRPr="00B85D62">
        <w:rPr>
          <w:rFonts w:cs="Arial"/>
          <w:sz w:val="18"/>
          <w:szCs w:val="18"/>
        </w:rPr>
        <w:t xml:space="preserve">, </w:t>
      </w:r>
      <w:r w:rsidR="6DC61D88" w:rsidRPr="00B85D62">
        <w:rPr>
          <w:rFonts w:cs="Arial"/>
          <w:sz w:val="18"/>
          <w:szCs w:val="18"/>
        </w:rPr>
        <w:t>Dev Datta</w:t>
      </w:r>
      <w:r w:rsidR="00CA7E90" w:rsidRPr="00B85D62">
        <w:rPr>
          <w:rFonts w:cs="Arial"/>
          <w:sz w:val="18"/>
          <w:szCs w:val="18"/>
          <w:vertAlign w:val="superscript"/>
        </w:rPr>
        <w:t>10</w:t>
      </w:r>
      <w:r w:rsidR="6DC61D88" w:rsidRPr="00B85D62">
        <w:rPr>
          <w:rFonts w:cs="Arial"/>
          <w:sz w:val="18"/>
          <w:szCs w:val="18"/>
        </w:rPr>
        <w:t>,</w:t>
      </w:r>
      <w:r w:rsidR="05E8C3F8" w:rsidRPr="00B85D62">
        <w:rPr>
          <w:rFonts w:cs="Arial"/>
          <w:sz w:val="18"/>
          <w:szCs w:val="18"/>
        </w:rPr>
        <w:t xml:space="preserve"> </w:t>
      </w:r>
      <w:r w:rsidRPr="00B85D62">
        <w:rPr>
          <w:rFonts w:cs="Arial"/>
          <w:sz w:val="18"/>
          <w:szCs w:val="18"/>
        </w:rPr>
        <w:t>Zosia Miedzybrodzka</w:t>
      </w:r>
      <w:r w:rsidR="00C84B49" w:rsidRPr="00B85D62">
        <w:rPr>
          <w:rFonts w:cs="Arial"/>
          <w:sz w:val="18"/>
          <w:szCs w:val="18"/>
          <w:vertAlign w:val="superscript"/>
        </w:rPr>
        <w:t>1</w:t>
      </w:r>
      <w:r w:rsidR="00CA7E90" w:rsidRPr="00B85D62">
        <w:rPr>
          <w:rFonts w:cs="Arial"/>
          <w:sz w:val="18"/>
          <w:szCs w:val="18"/>
          <w:vertAlign w:val="superscript"/>
        </w:rPr>
        <w:t>1</w:t>
      </w:r>
      <w:r w:rsidRPr="00B85D62">
        <w:rPr>
          <w:rFonts w:cs="Arial"/>
          <w:sz w:val="18"/>
          <w:szCs w:val="18"/>
        </w:rPr>
        <w:t>, Christopher Byrne</w:t>
      </w:r>
      <w:r w:rsidR="00092D4D" w:rsidRPr="00B85D62">
        <w:rPr>
          <w:rFonts w:cs="Arial"/>
          <w:sz w:val="18"/>
          <w:szCs w:val="18"/>
          <w:vertAlign w:val="superscript"/>
        </w:rPr>
        <w:t>1</w:t>
      </w:r>
      <w:r w:rsidR="007136EF" w:rsidRPr="00B85D62">
        <w:rPr>
          <w:rFonts w:cs="Arial"/>
          <w:sz w:val="18"/>
          <w:szCs w:val="18"/>
          <w:vertAlign w:val="superscript"/>
        </w:rPr>
        <w:t>2</w:t>
      </w:r>
      <w:r w:rsidRPr="00B85D62">
        <w:rPr>
          <w:rFonts w:cs="Arial"/>
          <w:sz w:val="18"/>
          <w:szCs w:val="18"/>
        </w:rPr>
        <w:t>, Joe Kai</w:t>
      </w:r>
      <w:r w:rsidRPr="00B85D62">
        <w:rPr>
          <w:rFonts w:cs="Arial"/>
          <w:sz w:val="18"/>
          <w:szCs w:val="18"/>
          <w:vertAlign w:val="superscript"/>
        </w:rPr>
        <w:t>1</w:t>
      </w:r>
    </w:p>
    <w:p w14:paraId="05509586" w14:textId="77777777" w:rsidR="00B85D62" w:rsidRPr="00B85D62" w:rsidRDefault="1EF1C9BC" w:rsidP="00564A96">
      <w:pPr>
        <w:rPr>
          <w:rFonts w:cs="Arial"/>
          <w:sz w:val="18"/>
          <w:szCs w:val="18"/>
        </w:rPr>
      </w:pPr>
      <w:r w:rsidRPr="00B85D62">
        <w:rPr>
          <w:rFonts w:cs="Arial"/>
          <w:sz w:val="18"/>
          <w:szCs w:val="18"/>
          <w:vertAlign w:val="superscript"/>
        </w:rPr>
        <w:t>1</w:t>
      </w:r>
      <w:r w:rsidR="00E34B8F" w:rsidRPr="00B85D62">
        <w:rPr>
          <w:rFonts w:cs="Arial"/>
          <w:sz w:val="18"/>
          <w:szCs w:val="18"/>
        </w:rPr>
        <w:t xml:space="preserve"> </w:t>
      </w:r>
      <w:r w:rsidR="6F60D206" w:rsidRPr="00B85D62">
        <w:rPr>
          <w:rFonts w:cs="Arial"/>
          <w:sz w:val="18"/>
          <w:szCs w:val="18"/>
        </w:rPr>
        <w:t xml:space="preserve">Primary Care Stratified Medicine Research Group, </w:t>
      </w:r>
      <w:r w:rsidR="00330A1A" w:rsidRPr="00B85D62">
        <w:rPr>
          <w:rFonts w:cs="Arial"/>
          <w:sz w:val="18"/>
          <w:szCs w:val="18"/>
        </w:rPr>
        <w:t xml:space="preserve">School of Medicine, </w:t>
      </w:r>
      <w:r w:rsidR="64834FD1" w:rsidRPr="00B85D62">
        <w:rPr>
          <w:rFonts w:cs="Arial"/>
          <w:sz w:val="18"/>
          <w:szCs w:val="18"/>
        </w:rPr>
        <w:t>U</w:t>
      </w:r>
      <w:r w:rsidRPr="00B85D62">
        <w:rPr>
          <w:rFonts w:cs="Arial"/>
          <w:sz w:val="18"/>
          <w:szCs w:val="18"/>
        </w:rPr>
        <w:t>niversity of Nottingham, Nottingham, UK</w:t>
      </w:r>
    </w:p>
    <w:p w14:paraId="7BF5936E" w14:textId="7CC0A395" w:rsidR="00E34B8F" w:rsidRPr="00B85D62" w:rsidRDefault="00E34B8F" w:rsidP="00564A96">
      <w:pPr>
        <w:rPr>
          <w:rFonts w:cs="Arial"/>
          <w:sz w:val="18"/>
          <w:szCs w:val="18"/>
        </w:rPr>
      </w:pPr>
      <w:r w:rsidRPr="00B85D62">
        <w:rPr>
          <w:rFonts w:cs="Arial"/>
          <w:sz w:val="18"/>
          <w:szCs w:val="18"/>
          <w:vertAlign w:val="superscript"/>
        </w:rPr>
        <w:t>2</w:t>
      </w:r>
      <w:r w:rsidRPr="00B85D62">
        <w:rPr>
          <w:rFonts w:cs="Arial"/>
          <w:sz w:val="18"/>
          <w:szCs w:val="18"/>
        </w:rPr>
        <w:t xml:space="preserve"> Centre for Health Economics, University of York, York, UK</w:t>
      </w:r>
    </w:p>
    <w:p w14:paraId="2A3586D6" w14:textId="49C7651C" w:rsidR="00CA7E90" w:rsidRPr="00B85D62" w:rsidRDefault="00CA7E90" w:rsidP="00564A96">
      <w:pPr>
        <w:rPr>
          <w:rFonts w:cs="Arial"/>
          <w:sz w:val="18"/>
          <w:szCs w:val="18"/>
        </w:rPr>
      </w:pPr>
      <w:r w:rsidRPr="00B85D62">
        <w:rPr>
          <w:rFonts w:cs="Arial"/>
          <w:sz w:val="18"/>
          <w:szCs w:val="18"/>
          <w:vertAlign w:val="superscript"/>
        </w:rPr>
        <w:t>3</w:t>
      </w:r>
      <w:r w:rsidRPr="00B85D62">
        <w:t xml:space="preserve"> </w:t>
      </w:r>
      <w:r w:rsidRPr="00B85D62">
        <w:rPr>
          <w:rFonts w:cs="Arial"/>
          <w:sz w:val="18"/>
          <w:szCs w:val="18"/>
        </w:rPr>
        <w:t>Cardiovascular and Metabolism, Janssen R&amp;D</w:t>
      </w:r>
    </w:p>
    <w:p w14:paraId="623ABE87" w14:textId="7670AA65" w:rsidR="00E34B8F" w:rsidRPr="00B85D62" w:rsidRDefault="00CA7E90" w:rsidP="00564A96">
      <w:pPr>
        <w:rPr>
          <w:rFonts w:cs="Arial"/>
          <w:sz w:val="18"/>
          <w:szCs w:val="18"/>
        </w:rPr>
      </w:pPr>
      <w:r w:rsidRPr="00B85D62">
        <w:rPr>
          <w:rFonts w:cs="Arial"/>
          <w:sz w:val="18"/>
          <w:szCs w:val="18"/>
          <w:vertAlign w:val="superscript"/>
        </w:rPr>
        <w:t>4</w:t>
      </w:r>
      <w:r w:rsidR="0053485D" w:rsidRPr="00B85D62">
        <w:rPr>
          <w:rFonts w:cs="Arial"/>
        </w:rPr>
        <w:t xml:space="preserve"> </w:t>
      </w:r>
      <w:r w:rsidR="0053485D" w:rsidRPr="00B85D62">
        <w:rPr>
          <w:rFonts w:cs="Arial"/>
          <w:sz w:val="18"/>
          <w:szCs w:val="18"/>
        </w:rPr>
        <w:t>Primary Care, Population Sciences and Medical Education, University of Southampton, Southampton, UK</w:t>
      </w:r>
    </w:p>
    <w:p w14:paraId="549D90B3" w14:textId="248A758C" w:rsidR="0053485D" w:rsidRPr="00B85D62" w:rsidRDefault="00CA7E90" w:rsidP="00564A96">
      <w:pPr>
        <w:rPr>
          <w:rFonts w:cs="Arial"/>
          <w:sz w:val="18"/>
          <w:szCs w:val="18"/>
        </w:rPr>
      </w:pPr>
      <w:r w:rsidRPr="00B85D62">
        <w:rPr>
          <w:rFonts w:cs="Arial"/>
          <w:sz w:val="18"/>
          <w:szCs w:val="18"/>
          <w:vertAlign w:val="superscript"/>
        </w:rPr>
        <w:t>5</w:t>
      </w:r>
      <w:r w:rsidR="0053485D" w:rsidRPr="00B85D62">
        <w:rPr>
          <w:rFonts w:cs="Arial"/>
        </w:rPr>
        <w:t xml:space="preserve"> </w:t>
      </w:r>
      <w:r w:rsidR="0053485D" w:rsidRPr="00B85D62">
        <w:rPr>
          <w:rFonts w:cs="Arial"/>
          <w:sz w:val="18"/>
          <w:szCs w:val="18"/>
        </w:rPr>
        <w:t>Centre for Cardiovascular Genetics, Institute for Cardiovascular Science, University College London, UK</w:t>
      </w:r>
    </w:p>
    <w:p w14:paraId="65B443EC" w14:textId="2C8E0D67" w:rsidR="0053485D" w:rsidRPr="00B85D62" w:rsidRDefault="00CA7E90" w:rsidP="00564A96">
      <w:pPr>
        <w:rPr>
          <w:rFonts w:cs="Arial"/>
          <w:sz w:val="18"/>
          <w:szCs w:val="18"/>
        </w:rPr>
      </w:pPr>
      <w:r w:rsidRPr="00B85D62">
        <w:rPr>
          <w:rFonts w:cs="Arial"/>
          <w:sz w:val="18"/>
          <w:szCs w:val="18"/>
          <w:vertAlign w:val="superscript"/>
        </w:rPr>
        <w:t>6</w:t>
      </w:r>
      <w:r w:rsidR="0053485D" w:rsidRPr="00B85D62">
        <w:rPr>
          <w:rFonts w:cs="Arial"/>
          <w:sz w:val="18"/>
          <w:szCs w:val="18"/>
        </w:rPr>
        <w:t xml:space="preserve"> Patient Representative</w:t>
      </w:r>
    </w:p>
    <w:p w14:paraId="1611442A" w14:textId="352671B8" w:rsidR="0053485D" w:rsidRPr="00B85D62" w:rsidRDefault="00CA7E90" w:rsidP="00564A96">
      <w:pPr>
        <w:rPr>
          <w:rFonts w:cs="Arial"/>
          <w:sz w:val="18"/>
          <w:szCs w:val="18"/>
        </w:rPr>
      </w:pPr>
      <w:r w:rsidRPr="00B85D62">
        <w:rPr>
          <w:rFonts w:cs="Arial"/>
          <w:sz w:val="18"/>
          <w:szCs w:val="18"/>
          <w:vertAlign w:val="superscript"/>
        </w:rPr>
        <w:t>7</w:t>
      </w:r>
      <w:r w:rsidR="0053485D" w:rsidRPr="00B85D62">
        <w:rPr>
          <w:rFonts w:cs="Arial"/>
          <w:sz w:val="18"/>
          <w:szCs w:val="18"/>
        </w:rPr>
        <w:t xml:space="preserve"> Wessex Clinical Genetics Service, University Hospital Southampton NHS Foundation Trust, Southampton, UK</w:t>
      </w:r>
    </w:p>
    <w:p w14:paraId="62486520" w14:textId="16A0D74C" w:rsidR="0053485D" w:rsidRPr="00B85D62" w:rsidRDefault="00CA7E90" w:rsidP="00564A96">
      <w:pPr>
        <w:rPr>
          <w:rFonts w:cs="Arial"/>
          <w:sz w:val="18"/>
          <w:szCs w:val="18"/>
        </w:rPr>
      </w:pPr>
      <w:r w:rsidRPr="00B85D62">
        <w:rPr>
          <w:rFonts w:cs="Arial"/>
          <w:sz w:val="18"/>
          <w:szCs w:val="18"/>
          <w:vertAlign w:val="superscript"/>
        </w:rPr>
        <w:t>8</w:t>
      </w:r>
      <w:r w:rsidR="0053485D" w:rsidRPr="00B85D62">
        <w:rPr>
          <w:rFonts w:cs="Arial"/>
          <w:sz w:val="18"/>
          <w:szCs w:val="18"/>
        </w:rPr>
        <w:t xml:space="preserve"> Institute of Medical Genetics, Cardiff University</w:t>
      </w:r>
      <w:r w:rsidR="00C84B49" w:rsidRPr="00B85D62">
        <w:rPr>
          <w:rFonts w:cs="Arial"/>
          <w:sz w:val="18"/>
          <w:szCs w:val="18"/>
        </w:rPr>
        <w:t xml:space="preserve">, </w:t>
      </w:r>
      <w:r w:rsidR="0053485D" w:rsidRPr="00B85D62">
        <w:rPr>
          <w:rFonts w:cs="Arial"/>
          <w:sz w:val="18"/>
          <w:szCs w:val="18"/>
        </w:rPr>
        <w:t>University Hospital of Wales</w:t>
      </w:r>
      <w:r w:rsidR="00C84B49" w:rsidRPr="00B85D62">
        <w:rPr>
          <w:rFonts w:cs="Arial"/>
          <w:sz w:val="18"/>
          <w:szCs w:val="18"/>
        </w:rPr>
        <w:t>, Wales, UK</w:t>
      </w:r>
    </w:p>
    <w:p w14:paraId="26E4D790" w14:textId="7665D7CF" w:rsidR="00C84B49" w:rsidRPr="00B85D62" w:rsidRDefault="00CA7E90" w:rsidP="00564A96">
      <w:pPr>
        <w:rPr>
          <w:rFonts w:cs="Arial"/>
          <w:sz w:val="18"/>
          <w:szCs w:val="18"/>
        </w:rPr>
      </w:pPr>
      <w:r w:rsidRPr="00B85D62">
        <w:rPr>
          <w:rFonts w:cs="Arial"/>
          <w:sz w:val="18"/>
          <w:szCs w:val="18"/>
          <w:vertAlign w:val="superscript"/>
        </w:rPr>
        <w:t>9</w:t>
      </w:r>
      <w:r w:rsidR="00C84B49" w:rsidRPr="00B85D62">
        <w:rPr>
          <w:rFonts w:cs="Arial"/>
          <w:sz w:val="18"/>
          <w:szCs w:val="18"/>
        </w:rPr>
        <w:t xml:space="preserve"> Population Health Sciences Institute, Newcastle University, Newcastle-upon-Tyne, UK</w:t>
      </w:r>
    </w:p>
    <w:p w14:paraId="7A557A2C" w14:textId="79181050" w:rsidR="00C84B49" w:rsidRPr="00B85D62" w:rsidRDefault="00CA7E90" w:rsidP="00564A96">
      <w:pPr>
        <w:rPr>
          <w:rFonts w:cs="Arial"/>
          <w:sz w:val="18"/>
          <w:szCs w:val="18"/>
        </w:rPr>
      </w:pPr>
      <w:r w:rsidRPr="00B85D62">
        <w:rPr>
          <w:rFonts w:cs="Arial"/>
          <w:sz w:val="18"/>
          <w:szCs w:val="18"/>
          <w:vertAlign w:val="superscript"/>
        </w:rPr>
        <w:t>10</w:t>
      </w:r>
      <w:r w:rsidR="00C84B49" w:rsidRPr="00B85D62">
        <w:rPr>
          <w:rFonts w:cs="Arial"/>
          <w:sz w:val="18"/>
          <w:szCs w:val="18"/>
        </w:rPr>
        <w:t xml:space="preserve"> Lipid Unit, University Hospital Llandough, Penarth, Wales,</w:t>
      </w:r>
    </w:p>
    <w:p w14:paraId="010EC93A" w14:textId="70EBF5C2" w:rsidR="00C84B49" w:rsidRPr="00B85D62" w:rsidRDefault="00C84B49" w:rsidP="00564A96">
      <w:pPr>
        <w:rPr>
          <w:rFonts w:cs="Arial"/>
          <w:sz w:val="18"/>
          <w:szCs w:val="18"/>
        </w:rPr>
      </w:pPr>
      <w:r w:rsidRPr="00B85D62">
        <w:rPr>
          <w:rFonts w:cs="Arial"/>
          <w:sz w:val="18"/>
          <w:szCs w:val="18"/>
          <w:vertAlign w:val="superscript"/>
        </w:rPr>
        <w:t>1</w:t>
      </w:r>
      <w:r w:rsidR="00CA7E90" w:rsidRPr="00B85D62">
        <w:rPr>
          <w:rFonts w:cs="Arial"/>
          <w:sz w:val="18"/>
          <w:szCs w:val="18"/>
          <w:vertAlign w:val="superscript"/>
        </w:rPr>
        <w:t>1</w:t>
      </w:r>
      <w:r w:rsidRPr="00B85D62">
        <w:rPr>
          <w:rFonts w:cs="Arial"/>
          <w:sz w:val="18"/>
          <w:szCs w:val="18"/>
        </w:rPr>
        <w:t xml:space="preserve"> Division of Applied Medicine, University of Aberdeen, Aberdeen, UK</w:t>
      </w:r>
    </w:p>
    <w:p w14:paraId="624218F6" w14:textId="77777777" w:rsidR="00B85D62" w:rsidRPr="00B85D62" w:rsidRDefault="00564A96" w:rsidP="00564A96">
      <w:pPr>
        <w:rPr>
          <w:rFonts w:cs="Arial"/>
          <w:sz w:val="18"/>
          <w:szCs w:val="18"/>
        </w:rPr>
      </w:pPr>
      <w:r w:rsidRPr="00B85D62">
        <w:rPr>
          <w:rFonts w:cs="Arial"/>
          <w:sz w:val="18"/>
          <w:szCs w:val="18"/>
          <w:vertAlign w:val="superscript"/>
        </w:rPr>
        <w:t>1</w:t>
      </w:r>
      <w:r w:rsidR="007136EF" w:rsidRPr="00B85D62">
        <w:rPr>
          <w:rFonts w:cs="Arial"/>
          <w:sz w:val="18"/>
          <w:szCs w:val="18"/>
          <w:vertAlign w:val="superscript"/>
        </w:rPr>
        <w:t>2</w:t>
      </w:r>
      <w:r w:rsidRPr="00B85D62">
        <w:rPr>
          <w:rFonts w:cs="Arial"/>
          <w:sz w:val="18"/>
          <w:szCs w:val="18"/>
        </w:rPr>
        <w:t xml:space="preserve"> Southampton NIHR Biomedical Research Centre, University Hospital Southampton, Southampton, UK</w:t>
      </w:r>
    </w:p>
    <w:p w14:paraId="47773989" w14:textId="05993991" w:rsidR="00EC7ADD" w:rsidRPr="00B85D62" w:rsidRDefault="00201D4F" w:rsidP="00EC7ADD">
      <w:pPr>
        <w:rPr>
          <w:rFonts w:cs="Arial"/>
          <w:sz w:val="18"/>
          <w:szCs w:val="18"/>
        </w:rPr>
      </w:pPr>
      <w:r w:rsidRPr="00B85D62">
        <w:rPr>
          <w:rFonts w:cs="Arial"/>
          <w:sz w:val="18"/>
          <w:szCs w:val="18"/>
        </w:rPr>
        <w:t>* Corresponding Author</w:t>
      </w:r>
      <w:r w:rsidR="00EC7ADD" w:rsidRPr="00B85D62">
        <w:rPr>
          <w:rFonts w:cs="Arial"/>
          <w:sz w:val="18"/>
          <w:szCs w:val="18"/>
        </w:rPr>
        <w:t>:</w:t>
      </w:r>
      <w:r w:rsidR="00EC7ADD" w:rsidRPr="00B85D62">
        <w:t xml:space="preserve"> </w:t>
      </w:r>
      <w:r w:rsidR="00EC7ADD" w:rsidRPr="00B85D62">
        <w:rPr>
          <w:rFonts w:cs="Arial"/>
          <w:sz w:val="18"/>
          <w:szCs w:val="18"/>
        </w:rPr>
        <w:t>Professor Nadeem Qureshi, Clinical Professor of Primary Care, NIHR School of Primary Care Research, School of Medicine, University of Nottingham,13th Floor, Tower Building, University Park, Nottingham, United Kingdom, NG7 2RD</w:t>
      </w:r>
    </w:p>
    <w:p w14:paraId="221FCCD1" w14:textId="7FFAB2B1" w:rsidR="00EC7ADD" w:rsidRPr="00B85D62" w:rsidRDefault="00EC7ADD" w:rsidP="00EC7ADD">
      <w:pPr>
        <w:rPr>
          <w:rFonts w:cs="Arial"/>
          <w:sz w:val="18"/>
          <w:szCs w:val="18"/>
        </w:rPr>
      </w:pPr>
      <w:r w:rsidRPr="00B85D62">
        <w:rPr>
          <w:rFonts w:cs="Arial"/>
          <w:sz w:val="18"/>
          <w:szCs w:val="18"/>
        </w:rPr>
        <w:t>Telephone: 0115 8466900</w:t>
      </w:r>
    </w:p>
    <w:p w14:paraId="49F45EFE" w14:textId="1A416B22" w:rsidR="00201D4F" w:rsidRPr="00B85D62" w:rsidRDefault="00EC7ADD" w:rsidP="00EC7ADD">
      <w:pPr>
        <w:rPr>
          <w:rFonts w:cs="Arial"/>
          <w:sz w:val="18"/>
          <w:szCs w:val="18"/>
        </w:rPr>
      </w:pPr>
      <w:r w:rsidRPr="00B85D62">
        <w:rPr>
          <w:rFonts w:cs="Arial"/>
          <w:sz w:val="18"/>
          <w:szCs w:val="18"/>
        </w:rPr>
        <w:t>e-mail: nadeem.qureshi@nottingham.ac.uk</w:t>
      </w:r>
    </w:p>
    <w:p w14:paraId="4C73EAAB" w14:textId="34D842F6" w:rsidR="00B85D62" w:rsidRPr="00B85D62" w:rsidRDefault="004A2AF8" w:rsidP="004A2AF8">
      <w:pPr>
        <w:rPr>
          <w:rFonts w:cs="Arial"/>
          <w:sz w:val="16"/>
          <w:szCs w:val="16"/>
        </w:rPr>
      </w:pPr>
      <w:r w:rsidRPr="00B85D62">
        <w:rPr>
          <w:rFonts w:cs="Arial"/>
          <w:b/>
          <w:bCs/>
          <w:sz w:val="16"/>
          <w:szCs w:val="16"/>
        </w:rPr>
        <w:t>Disclosure of interest:</w:t>
      </w:r>
      <w:r w:rsidRPr="00B85D62">
        <w:rPr>
          <w:rFonts w:cs="Arial"/>
          <w:sz w:val="16"/>
          <w:szCs w:val="16"/>
        </w:rPr>
        <w:t xml:space="preserve"> </w:t>
      </w:r>
      <w:r w:rsidR="0091719A" w:rsidRPr="00B85D62">
        <w:rPr>
          <w:rFonts w:cs="Arial"/>
          <w:sz w:val="16"/>
          <w:szCs w:val="16"/>
        </w:rPr>
        <w:t>Joe Kai is a member of the NIHR School for Primary Care Research Board (2015-present)</w:t>
      </w:r>
      <w:r w:rsidR="006476D5" w:rsidRPr="00B85D62">
        <w:rPr>
          <w:rFonts w:cs="Arial"/>
          <w:sz w:val="16"/>
          <w:szCs w:val="16"/>
        </w:rPr>
        <w:t>.</w:t>
      </w:r>
      <w:r w:rsidR="007E4E1F" w:rsidRPr="00B85D62">
        <w:rPr>
          <w:rFonts w:cs="Arial"/>
          <w:sz w:val="16"/>
          <w:szCs w:val="16"/>
        </w:rPr>
        <w:t xml:space="preserve"> </w:t>
      </w:r>
      <w:r w:rsidR="0091719A" w:rsidRPr="00B85D62">
        <w:rPr>
          <w:rFonts w:cs="Arial"/>
          <w:sz w:val="16"/>
          <w:szCs w:val="16"/>
        </w:rPr>
        <w:t xml:space="preserve">Steve Humphries has received Support from the British Heart Foundation (PG 008/08) and is the director of the UK </w:t>
      </w:r>
      <w:r w:rsidR="00C60346" w:rsidRPr="00B85D62">
        <w:rPr>
          <w:rFonts w:cs="Arial"/>
          <w:sz w:val="16"/>
          <w:szCs w:val="16"/>
        </w:rPr>
        <w:t>Paediatric</w:t>
      </w:r>
      <w:r w:rsidR="0091719A" w:rsidRPr="00B85D62">
        <w:rPr>
          <w:rFonts w:cs="Arial"/>
          <w:sz w:val="16"/>
          <w:szCs w:val="16"/>
        </w:rPr>
        <w:t xml:space="preserve"> FH Register which has received support from a grant from the International Atherosclerosis Society (Pfizer number 24052829) and a medical director and minor share holder of a UCL Spin-out company StoreGene which offers DNA testing for individuals with FH</w:t>
      </w:r>
      <w:r w:rsidR="006476D5" w:rsidRPr="00B85D62">
        <w:rPr>
          <w:rFonts w:cs="Arial"/>
          <w:sz w:val="16"/>
          <w:szCs w:val="16"/>
        </w:rPr>
        <w:t>.</w:t>
      </w:r>
      <w:r w:rsidR="0091719A" w:rsidRPr="00B85D62">
        <w:rPr>
          <w:rFonts w:cs="Arial"/>
          <w:sz w:val="16"/>
          <w:szCs w:val="16"/>
        </w:rPr>
        <w:t xml:space="preserve"> Dev Datta has received personal honoraria from Daiichi-Sankyo, Pfizer, Ionis, Amgen, Ackea, Novartis, Amryt, which are all manufacturers in the field of lipidology</w:t>
      </w:r>
      <w:r w:rsidR="002B452A" w:rsidRPr="00B85D62">
        <w:rPr>
          <w:rFonts w:cs="Arial"/>
          <w:sz w:val="16"/>
          <w:szCs w:val="16"/>
        </w:rPr>
        <w:t>.</w:t>
      </w:r>
      <w:r w:rsidR="00376738" w:rsidRPr="00B85D62">
        <w:rPr>
          <w:rFonts w:cs="Arial"/>
          <w:sz w:val="16"/>
          <w:szCs w:val="16"/>
        </w:rPr>
        <w:t xml:space="preserve"> Stephen Weng </w:t>
      </w:r>
      <w:r w:rsidR="00756E81" w:rsidRPr="00B85D62">
        <w:rPr>
          <w:rFonts w:cs="Arial"/>
          <w:sz w:val="16"/>
          <w:szCs w:val="16"/>
        </w:rPr>
        <w:t>was</w:t>
      </w:r>
      <w:r w:rsidR="002750AC" w:rsidRPr="00B85D62">
        <w:rPr>
          <w:rFonts w:cs="Arial"/>
          <w:sz w:val="16"/>
          <w:szCs w:val="16"/>
        </w:rPr>
        <w:t xml:space="preserve"> part of an institution that received grants from the </w:t>
      </w:r>
      <w:r w:rsidR="00376738" w:rsidRPr="00B85D62">
        <w:rPr>
          <w:rFonts w:cs="Arial"/>
          <w:sz w:val="16"/>
          <w:szCs w:val="16"/>
        </w:rPr>
        <w:t>NIHR SPCR</w:t>
      </w:r>
      <w:r w:rsidR="002750AC" w:rsidRPr="00B85D62">
        <w:rPr>
          <w:rFonts w:cs="Arial"/>
          <w:sz w:val="16"/>
          <w:szCs w:val="16"/>
        </w:rPr>
        <w:t xml:space="preserve"> for research related to Familial Hypercholesterolaemia, consulting fees from his Academic Advisory Committee for Road to Health Ltd, Honoraria and travel fees from Amgen for lectures on familial hypercholesterolaemia, was previously a committee member for the MHRA CPRD Independent Scientific Advisory Committee and is currently employed by Janssen R&amp;D. </w:t>
      </w:r>
      <w:r w:rsidR="00E44174" w:rsidRPr="00B85D62">
        <w:rPr>
          <w:rFonts w:cs="Arial"/>
          <w:sz w:val="16"/>
          <w:szCs w:val="16"/>
        </w:rPr>
        <w:t xml:space="preserve">Nadeem Qureshi has received grants from NIHR SPCR and MRC (NUOF), Honoraria from Amgen for lectures on familial hypercholesterolaemia, is a Member of the Board for the NIHR School for Primary Care Research (2021-) and a Member of Medical, Scientific &amp; Research Committee </w:t>
      </w:r>
      <w:r w:rsidR="00756E81" w:rsidRPr="00B85D62">
        <w:rPr>
          <w:rFonts w:cs="Arial"/>
          <w:sz w:val="16"/>
          <w:szCs w:val="16"/>
        </w:rPr>
        <w:t>of</w:t>
      </w:r>
      <w:r w:rsidR="00E44174" w:rsidRPr="00B85D62">
        <w:rPr>
          <w:rFonts w:cs="Arial"/>
          <w:sz w:val="16"/>
          <w:szCs w:val="16"/>
        </w:rPr>
        <w:t xml:space="preserve"> HeartUK.</w:t>
      </w:r>
      <w:r w:rsidR="007E4E1F" w:rsidRPr="00B85D62">
        <w:rPr>
          <w:rFonts w:cs="Arial"/>
          <w:sz w:val="16"/>
          <w:szCs w:val="16"/>
        </w:rPr>
        <w:t xml:space="preserve"> </w:t>
      </w:r>
      <w:r w:rsidR="006476D5" w:rsidRPr="00B85D62">
        <w:rPr>
          <w:rFonts w:cs="Arial"/>
          <w:sz w:val="16"/>
          <w:szCs w:val="16"/>
        </w:rPr>
        <w:t>Jo Leonardi Bee has received a grant from the MRC to conduct research in the field of familial hypercholesterolaemia</w:t>
      </w:r>
      <w:r w:rsidR="007E4E1F" w:rsidRPr="00B85D62">
        <w:rPr>
          <w:rFonts w:cs="Arial"/>
          <w:sz w:val="16"/>
          <w:szCs w:val="16"/>
        </w:rPr>
        <w:t xml:space="preserve">. </w:t>
      </w:r>
      <w:r w:rsidR="00BF46C1" w:rsidRPr="00B85D62">
        <w:rPr>
          <w:rFonts w:cs="Arial"/>
          <w:sz w:val="16"/>
          <w:szCs w:val="16"/>
        </w:rPr>
        <w:t xml:space="preserve">Kate Haralambos has received payment for PASS clinical </w:t>
      </w:r>
      <w:r w:rsidR="00BF46C1" w:rsidRPr="00B85D62">
        <w:rPr>
          <w:rFonts w:cs="Arial"/>
          <w:sz w:val="16"/>
          <w:szCs w:val="16"/>
          <w:highlight w:val="magenta"/>
        </w:rPr>
        <w:t>data</w:t>
      </w:r>
      <w:r w:rsidR="00BF46C1" w:rsidRPr="00B85D62">
        <w:rPr>
          <w:rFonts w:cs="Arial"/>
          <w:sz w:val="16"/>
          <w:szCs w:val="16"/>
        </w:rPr>
        <w:t xml:space="preserve"> entry and extracting and processing </w:t>
      </w:r>
      <w:r w:rsidR="00BF46C1" w:rsidRPr="00B85D62">
        <w:rPr>
          <w:rFonts w:cs="Arial"/>
          <w:sz w:val="16"/>
          <w:szCs w:val="16"/>
          <w:highlight w:val="magenta"/>
        </w:rPr>
        <w:t>data</w:t>
      </w:r>
      <w:r w:rsidR="00BF46C1" w:rsidRPr="00B85D62">
        <w:rPr>
          <w:rFonts w:cs="Arial"/>
          <w:sz w:val="16"/>
          <w:szCs w:val="16"/>
        </w:rPr>
        <w:t xml:space="preserve">. Zosia Miedzybrodzk has received payment for arranging </w:t>
      </w:r>
      <w:r w:rsidR="00BF46C1" w:rsidRPr="00B85D62">
        <w:rPr>
          <w:rFonts w:cs="Arial"/>
          <w:sz w:val="16"/>
          <w:szCs w:val="16"/>
          <w:highlight w:val="magenta"/>
        </w:rPr>
        <w:t>data</w:t>
      </w:r>
      <w:r w:rsidR="00BF46C1" w:rsidRPr="00B85D62">
        <w:rPr>
          <w:rFonts w:cs="Arial"/>
          <w:sz w:val="16"/>
          <w:szCs w:val="16"/>
        </w:rPr>
        <w:t xml:space="preserve"> extraction and presenting </w:t>
      </w:r>
      <w:r w:rsidR="00BF46C1" w:rsidRPr="00B85D62">
        <w:rPr>
          <w:rFonts w:cs="Arial"/>
          <w:sz w:val="16"/>
          <w:szCs w:val="16"/>
          <w:highlight w:val="magenta"/>
        </w:rPr>
        <w:t>data</w:t>
      </w:r>
      <w:r w:rsidR="00BF46C1" w:rsidRPr="00B85D62">
        <w:rPr>
          <w:rFonts w:cs="Arial"/>
          <w:sz w:val="16"/>
          <w:szCs w:val="16"/>
        </w:rPr>
        <w:t xml:space="preserve"> in Scottish health </w:t>
      </w:r>
      <w:r w:rsidR="00BF46C1" w:rsidRPr="00B85D62">
        <w:rPr>
          <w:rFonts w:cs="Arial"/>
          <w:sz w:val="16"/>
          <w:szCs w:val="16"/>
          <w:highlight w:val="magenta"/>
        </w:rPr>
        <w:t>data</w:t>
      </w:r>
      <w:r w:rsidR="00BF46C1" w:rsidRPr="00B85D62">
        <w:rPr>
          <w:rFonts w:cs="Arial"/>
          <w:sz w:val="16"/>
          <w:szCs w:val="16"/>
        </w:rPr>
        <w:t xml:space="preserve"> Safehaven, and has received funding from AMGEN and Akcea. Bethan Woods reports membership of the HTA Clinical Evaluation and Trials Committee 2020</w:t>
      </w:r>
      <w:r w:rsidR="00B85D62" w:rsidRPr="00B85D62">
        <w:rPr>
          <w:rFonts w:cs="Arial"/>
          <w:color w:val="00B0F0"/>
          <w:sz w:val="16"/>
          <w:szCs w:val="16"/>
        </w:rPr>
        <w:t>–</w:t>
      </w:r>
      <w:r w:rsidR="00B85D62" w:rsidRPr="00B85D62">
        <w:rPr>
          <w:rFonts w:cs="Arial"/>
          <w:color w:val="00B0F0"/>
          <w:sz w:val="16"/>
          <w:szCs w:val="16"/>
        </w:rPr>
        <w:t>2</w:t>
      </w:r>
      <w:r w:rsidR="00BF46C1" w:rsidRPr="00B85D62">
        <w:rPr>
          <w:rFonts w:cs="Arial"/>
          <w:sz w:val="16"/>
          <w:szCs w:val="16"/>
        </w:rPr>
        <w:t>024. All other authors have no competing interests to declare.</w:t>
      </w:r>
    </w:p>
    <w:p w14:paraId="7509BC38" w14:textId="2FA0F215" w:rsidR="00B85D62" w:rsidRPr="00B85D62" w:rsidRDefault="00007FF1" w:rsidP="0066232B">
      <w:pPr>
        <w:rPr>
          <w:rFonts w:cs="Arial"/>
          <w:b/>
          <w:bCs/>
        </w:rPr>
      </w:pPr>
      <w:r w:rsidRPr="00B85D62">
        <w:rPr>
          <w:rFonts w:cs="Arial"/>
          <w:b/>
          <w:bCs/>
        </w:rPr>
        <w:t xml:space="preserve">Word Count </w:t>
      </w:r>
      <w:r w:rsidR="008D14C6" w:rsidRPr="00B85D62">
        <w:rPr>
          <w:rFonts w:cs="Arial"/>
          <w:b/>
          <w:bCs/>
        </w:rPr>
        <w:t>499</w:t>
      </w:r>
      <w:r w:rsidR="00705E37" w:rsidRPr="00B85D62">
        <w:rPr>
          <w:rFonts w:cs="Arial"/>
          <w:b/>
          <w:bCs/>
        </w:rPr>
        <w:t>87</w:t>
      </w:r>
    </w:p>
    <w:p w14:paraId="5D231257" w14:textId="77777777" w:rsidR="00B85D62" w:rsidRPr="00B85D62" w:rsidRDefault="558EF972" w:rsidP="00B63AF8">
      <w:pPr>
        <w:pStyle w:val="Heading1"/>
        <w:rPr>
          <w:rFonts w:ascii="Arial" w:eastAsia="Arial" w:hAnsi="Arial" w:cs="Arial"/>
        </w:rPr>
      </w:pPr>
      <w:bookmarkStart w:id="0" w:name="_Toc107157426"/>
      <w:r w:rsidRPr="00B85D62">
        <w:rPr>
          <w:rFonts w:ascii="Arial" w:eastAsia="Arial" w:hAnsi="Arial" w:cs="Arial"/>
        </w:rPr>
        <w:t>Abstract</w:t>
      </w:r>
      <w:bookmarkEnd w:id="0"/>
    </w:p>
    <w:p w14:paraId="52E883E1" w14:textId="15FE7033" w:rsidR="0004189F" w:rsidRPr="00B85D62" w:rsidRDefault="0004189F" w:rsidP="0004189F">
      <w:pPr>
        <w:rPr>
          <w:rFonts w:cs="Arial"/>
          <w:b/>
        </w:rPr>
      </w:pPr>
      <w:r w:rsidRPr="00B85D62">
        <w:rPr>
          <w:rFonts w:cs="Arial"/>
          <w:b/>
        </w:rPr>
        <w:t>Background</w:t>
      </w:r>
    </w:p>
    <w:p w14:paraId="42F2A792" w14:textId="77777777" w:rsidR="00B85D62" w:rsidRPr="00B85D62" w:rsidRDefault="0004189F" w:rsidP="0004189F">
      <w:pPr>
        <w:rPr>
          <w:rFonts w:cs="Arial"/>
        </w:rPr>
      </w:pPr>
      <w:r w:rsidRPr="00B85D62">
        <w:rPr>
          <w:rFonts w:cs="Arial"/>
        </w:rPr>
        <w:t>Cascade testing the relatives of people with familial hypercholesterolaemia (FH) is an efficient approach to identify FH. The cascade testing protocols starts with identifying an index patient</w:t>
      </w:r>
      <w:r w:rsidR="00B85D62" w:rsidRPr="00B85D62">
        <w:rPr>
          <w:rFonts w:cs="Arial"/>
        </w:rPr>
        <w:t xml:space="preserve"> </w:t>
      </w:r>
      <w:r w:rsidRPr="00B85D62">
        <w:rPr>
          <w:rFonts w:cs="Arial"/>
        </w:rPr>
        <w:t>with FH, followed</w:t>
      </w:r>
      <w:r w:rsidR="00B85D62" w:rsidRPr="00B85D62">
        <w:rPr>
          <w:rFonts w:cs="Arial"/>
        </w:rPr>
        <w:t xml:space="preserve"> </w:t>
      </w:r>
      <w:r w:rsidRPr="00B85D62">
        <w:rPr>
          <w:rFonts w:cs="Arial"/>
        </w:rPr>
        <w:t>by 3 approaches to contact other relatives: Indirect approach when index patients contact their relatives; Direct approach where the specialist contacts the relatives; and combination of the two approaches. However, it is unclear which protocol may be most effective.</w:t>
      </w:r>
    </w:p>
    <w:p w14:paraId="1900EAC0" w14:textId="25838E31" w:rsidR="0004189F" w:rsidRPr="00B85D62" w:rsidRDefault="0004189F" w:rsidP="0004189F">
      <w:pPr>
        <w:rPr>
          <w:rFonts w:cs="Arial"/>
          <w:b/>
        </w:rPr>
      </w:pPr>
      <w:r w:rsidRPr="00B85D62">
        <w:rPr>
          <w:rFonts w:cs="Arial"/>
          <w:b/>
        </w:rPr>
        <w:t>Objectives</w:t>
      </w:r>
    </w:p>
    <w:p w14:paraId="34DB18B4" w14:textId="77777777" w:rsidR="00B85D62" w:rsidRPr="00B85D62" w:rsidRDefault="0004189F" w:rsidP="0004189F">
      <w:pPr>
        <w:rPr>
          <w:rFonts w:cs="Arial"/>
        </w:rPr>
      </w:pPr>
      <w:r w:rsidRPr="00B85D62">
        <w:rPr>
          <w:rFonts w:cs="Arial"/>
        </w:rPr>
        <w:t>1.</w:t>
      </w:r>
      <w:r w:rsidR="00B85D62" w:rsidRPr="00B85D62">
        <w:rPr>
          <w:rFonts w:cs="Arial"/>
        </w:rPr>
        <w:t xml:space="preserve"> </w:t>
      </w:r>
      <w:r w:rsidRPr="00B85D62">
        <w:rPr>
          <w:rFonts w:cs="Arial"/>
        </w:rPr>
        <w:t>To determine the yield of cases from different cascade testing protocols, treatment patterns, and short and long-term outcomes for people with FH.</w:t>
      </w:r>
    </w:p>
    <w:p w14:paraId="0B15E2AD" w14:textId="77777777" w:rsidR="00B85D62" w:rsidRPr="00B85D62" w:rsidRDefault="0004189F" w:rsidP="0004189F">
      <w:pPr>
        <w:rPr>
          <w:rFonts w:cs="Arial"/>
        </w:rPr>
      </w:pPr>
      <w:r w:rsidRPr="00B85D62">
        <w:rPr>
          <w:rFonts w:cs="Arial"/>
        </w:rPr>
        <w:t>2. To evaluate the cost-effectiveness of alternative protocols for FH cascade testing.</w:t>
      </w:r>
    </w:p>
    <w:p w14:paraId="6D7A576F" w14:textId="77777777" w:rsidR="00B85D62" w:rsidRPr="00B85D62" w:rsidRDefault="0004189F" w:rsidP="0004189F">
      <w:pPr>
        <w:rPr>
          <w:rFonts w:cs="Arial"/>
        </w:rPr>
      </w:pPr>
      <w:r w:rsidRPr="00B85D62">
        <w:rPr>
          <w:rFonts w:cs="Arial"/>
        </w:rPr>
        <w:t>3. To qualitatively assess the acceptability of different cascade testing protocols to individuals and families with FH, and to health care providers.</w:t>
      </w:r>
    </w:p>
    <w:p w14:paraId="30A03451" w14:textId="72136799" w:rsidR="0004189F" w:rsidRPr="00B85D62" w:rsidRDefault="0004189F" w:rsidP="0004189F">
      <w:pPr>
        <w:rPr>
          <w:rFonts w:cs="Arial"/>
          <w:b/>
        </w:rPr>
      </w:pPr>
      <w:r w:rsidRPr="00B85D62">
        <w:rPr>
          <w:rFonts w:cs="Arial"/>
          <w:b/>
        </w:rPr>
        <w:t>Design and Methods</w:t>
      </w:r>
    </w:p>
    <w:p w14:paraId="30A73445" w14:textId="1DC31E6A" w:rsidR="00B85D62" w:rsidRPr="00B85D62" w:rsidRDefault="0004189F" w:rsidP="0004189F">
      <w:pPr>
        <w:rPr>
          <w:rFonts w:cs="Arial"/>
        </w:rPr>
      </w:pPr>
      <w:r w:rsidRPr="00B85D62">
        <w:rPr>
          <w:rFonts w:cs="Arial"/>
        </w:rPr>
        <w:t xml:space="preserve">1. Systematic reviews and analysis of PASS hospital FH database, CPRD-HES linked primary-secondary care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and specialist FH register.</w:t>
      </w:r>
    </w:p>
    <w:p w14:paraId="532028B2" w14:textId="77777777" w:rsidR="00B85D62" w:rsidRPr="00B85D62" w:rsidRDefault="0004189F" w:rsidP="0004189F">
      <w:pPr>
        <w:rPr>
          <w:rFonts w:cs="Arial"/>
        </w:rPr>
      </w:pPr>
      <w:r w:rsidRPr="00B85D62">
        <w:rPr>
          <w:rFonts w:cs="Arial"/>
        </w:rPr>
        <w:t xml:space="preserve">2. Cost-effectiveness modelling incorporating </w:t>
      </w:r>
      <w:r w:rsidRPr="00B85D62">
        <w:rPr>
          <w:rFonts w:cs="Arial"/>
          <w:highlight w:val="magenta"/>
        </w:rPr>
        <w:t>preceding</w:t>
      </w:r>
      <w:r w:rsidRPr="00B85D62">
        <w:rPr>
          <w:rFonts w:cs="Arial"/>
        </w:rPr>
        <w:t xml:space="preserve"> analyses.</w:t>
      </w:r>
    </w:p>
    <w:p w14:paraId="0877159C" w14:textId="77777777" w:rsidR="00B85D62" w:rsidRPr="00B85D62" w:rsidRDefault="0004189F" w:rsidP="0004189F">
      <w:pPr>
        <w:rPr>
          <w:rFonts w:cs="Arial"/>
        </w:rPr>
      </w:pPr>
      <w:r w:rsidRPr="00B85D62">
        <w:rPr>
          <w:rFonts w:cs="Arial"/>
        </w:rPr>
        <w:t>3. Acceptability examined in interviews with patients, relatives and health care professionals.</w:t>
      </w:r>
    </w:p>
    <w:p w14:paraId="473A10D9" w14:textId="09792B19" w:rsidR="0004189F" w:rsidRPr="00B85D62" w:rsidRDefault="0004189F" w:rsidP="0004189F">
      <w:pPr>
        <w:rPr>
          <w:rFonts w:cs="Arial"/>
          <w:b/>
        </w:rPr>
      </w:pPr>
      <w:r w:rsidRPr="00B85D62">
        <w:rPr>
          <w:rFonts w:cs="Arial"/>
          <w:b/>
        </w:rPr>
        <w:t>Results</w:t>
      </w:r>
    </w:p>
    <w:p w14:paraId="19A539EA" w14:textId="4FEDA826" w:rsidR="0004189F" w:rsidRPr="00B85D62" w:rsidRDefault="0004189F" w:rsidP="0004189F">
      <w:pPr>
        <w:rPr>
          <w:rFonts w:cs="Arial"/>
        </w:rPr>
      </w:pPr>
      <w:r w:rsidRPr="00B85D62">
        <w:rPr>
          <w:rFonts w:cs="Arial"/>
        </w:rPr>
        <w:t xml:space="preserve">1. Systematic review of protocols: based on </w:t>
      </w:r>
      <w:r w:rsidRPr="00B85D62">
        <w:rPr>
          <w:rFonts w:cs="Arial"/>
          <w:highlight w:val="magenta"/>
        </w:rPr>
        <w:t>data</w:t>
      </w:r>
      <w:r w:rsidRPr="00B85D62">
        <w:rPr>
          <w:rFonts w:cs="Arial"/>
        </w:rPr>
        <w:t xml:space="preserve"> from 4 of the 24 studies, combined approach led to a slightly higher yield of relatives tested (40%, 95% CI 37% to 42%) than direct (33%, 95% CI 28% to 39%) or indirect approach alone (34%, 95% CI 30% to 37%).</w:t>
      </w:r>
      <w:r w:rsidR="00B85D62" w:rsidRPr="00B85D62">
        <w:rPr>
          <w:rFonts w:cs="Arial"/>
        </w:rPr>
        <w:t xml:space="preserve"> </w:t>
      </w:r>
      <w:r w:rsidRPr="00B85D62">
        <w:rPr>
          <w:rFonts w:cs="Arial"/>
        </w:rPr>
        <w:t>PASS database identified those contacted directly were more likely to complete cascade testing (P</w:t>
      </w:r>
      <w:r w:rsidR="00B85D62" w:rsidRPr="00B85D62">
        <w:rPr>
          <w:rFonts w:cs="Arial"/>
          <w:color w:val="00B0F0"/>
        </w:rPr>
        <w:t>&lt;</w:t>
      </w:r>
      <w:r w:rsidR="00B85D62" w:rsidRPr="00B85D62">
        <w:rPr>
          <w:rFonts w:cs="Arial"/>
          <w:color w:val="00B0F0"/>
        </w:rPr>
        <w:t> </w:t>
      </w:r>
      <w:r w:rsidR="00B85D62" w:rsidRPr="00B85D62">
        <w:rPr>
          <w:rFonts w:cs="Arial"/>
          <w:color w:val="00B0F0"/>
        </w:rPr>
        <w:t>0</w:t>
      </w:r>
      <w:r w:rsidRPr="00B85D62">
        <w:rPr>
          <w:rFonts w:cs="Arial"/>
        </w:rPr>
        <w:t xml:space="preserve">.01); CPRD-HES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indicated 70% did not achieve target treatment levels; and demonstrated increased cardiovascular risk in these individuals </w:t>
      </w:r>
      <w:r w:rsidRPr="00B85D62">
        <w:rPr>
          <w:rFonts w:cs="Arial"/>
          <w:highlight w:val="magenta"/>
        </w:rPr>
        <w:t>compared to</w:t>
      </w:r>
      <w:r w:rsidRPr="00B85D62">
        <w:rPr>
          <w:rFonts w:cs="Arial"/>
        </w:rPr>
        <w:t xml:space="preserve"> controls (HR 9.14, 95% CI 8.55</w:t>
      </w:r>
      <w:r w:rsidR="00B85D62" w:rsidRPr="00B85D62">
        <w:rPr>
          <w:rFonts w:cs="Arial"/>
          <w:color w:val="00B0F0"/>
        </w:rPr>
        <w:t>–</w:t>
      </w:r>
      <w:r w:rsidR="00B85D62" w:rsidRPr="00B85D62">
        <w:rPr>
          <w:rFonts w:cs="Arial"/>
          <w:color w:val="00B0F0"/>
        </w:rPr>
        <w:t>9</w:t>
      </w:r>
      <w:r w:rsidRPr="00B85D62">
        <w:rPr>
          <w:rFonts w:cs="Arial"/>
        </w:rPr>
        <w:t>.76). Specialist FH register confirmed excessive cardiovascular morbidity (Standardised Morbidity Ratios 7.17; 95% CI 6.79</w:t>
      </w:r>
      <w:r w:rsidR="00B85D62" w:rsidRPr="00B85D62">
        <w:rPr>
          <w:rFonts w:cs="Arial"/>
          <w:color w:val="00B0F0"/>
        </w:rPr>
        <w:t>–</w:t>
      </w:r>
      <w:r w:rsidR="00B85D62" w:rsidRPr="00B85D62">
        <w:rPr>
          <w:rFonts w:cs="Arial"/>
          <w:color w:val="00B0F0"/>
        </w:rPr>
        <w:t>7</w:t>
      </w:r>
      <w:r w:rsidRPr="00B85D62">
        <w:rPr>
          <w:rFonts w:cs="Arial"/>
        </w:rPr>
        <w:t>.56).</w:t>
      </w:r>
    </w:p>
    <w:p w14:paraId="31802D04" w14:textId="6920F72B" w:rsidR="00B85D62" w:rsidRPr="00B85D62" w:rsidRDefault="0004189F" w:rsidP="0004189F">
      <w:pPr>
        <w:rPr>
          <w:rFonts w:cs="Arial"/>
        </w:rPr>
      </w:pPr>
      <w:r w:rsidRPr="00B85D62">
        <w:rPr>
          <w:rFonts w:cs="Arial"/>
        </w:rPr>
        <w:lastRenderedPageBreak/>
        <w:t>2. Cost-effectiveness modelling found a net health gain from diagnosis of</w:t>
      </w:r>
      <w:r w:rsidR="00B85D62" w:rsidRPr="00B85D62">
        <w:rPr>
          <w:rFonts w:cs="Arial"/>
        </w:rPr>
        <w:t xml:space="preserve"> </w:t>
      </w:r>
      <w:r w:rsidR="00B85D62" w:rsidRPr="00B85D62">
        <w:rPr>
          <w:rFonts w:cs="Arial"/>
          <w:color w:val="00B0F0"/>
        </w:rPr>
        <w:t>–</w:t>
      </w:r>
      <w:r w:rsidR="00B85D62" w:rsidRPr="00B85D62">
        <w:rPr>
          <w:rFonts w:cs="Arial"/>
          <w:color w:val="00B0F0"/>
        </w:rPr>
        <w:t>0</w:t>
      </w:r>
      <w:r w:rsidRPr="00B85D62">
        <w:rPr>
          <w:rFonts w:cs="Arial"/>
        </w:rPr>
        <w:t>.27 to 2.51 QALYs at the £15,000/QALY threshold. Decision modelling found protocols on the cost-effectiveness frontier started from genetically-confirmed index cases and contacting first and second-degree relatives simultaneously and directly by the service.</w:t>
      </w:r>
    </w:p>
    <w:p w14:paraId="0AD33F40" w14:textId="77777777" w:rsidR="00B85D62" w:rsidRPr="00B85D62" w:rsidRDefault="0004189F" w:rsidP="0004189F">
      <w:pPr>
        <w:rPr>
          <w:rFonts w:cs="Arial"/>
        </w:rPr>
      </w:pPr>
      <w:r w:rsidRPr="00B85D62">
        <w:rPr>
          <w:rFonts w:cs="Arial"/>
        </w:rPr>
        <w:t>3. Interviews found a service-led direct contact approach was more reliable, but combining direct and indirect approaches, guided by index patients and family relationships, maybe more acceptable.</w:t>
      </w:r>
    </w:p>
    <w:p w14:paraId="33B7AE57" w14:textId="5B84A5A3" w:rsidR="0004189F" w:rsidRPr="00B85D62" w:rsidRDefault="0004189F" w:rsidP="0004189F">
      <w:pPr>
        <w:rPr>
          <w:rFonts w:cs="Arial"/>
          <w:b/>
        </w:rPr>
      </w:pPr>
      <w:r w:rsidRPr="00B85D62">
        <w:rPr>
          <w:rFonts w:cs="Arial"/>
          <w:b/>
        </w:rPr>
        <w:t>Limitations</w:t>
      </w:r>
    </w:p>
    <w:p w14:paraId="0078E475" w14:textId="77777777" w:rsidR="00B85D62" w:rsidRPr="00B85D62" w:rsidRDefault="0004189F" w:rsidP="0004189F">
      <w:pPr>
        <w:rPr>
          <w:rFonts w:cs="Arial"/>
        </w:rPr>
      </w:pPr>
      <w:r w:rsidRPr="00B85D62">
        <w:rPr>
          <w:rFonts w:cs="Arial"/>
        </w:rPr>
        <w:t>1. Systematic reviews were not used in the economic analysis, as relevant studies were lacking or of poor quality.</w:t>
      </w:r>
    </w:p>
    <w:p w14:paraId="53B13E6A" w14:textId="1D4BD00A" w:rsidR="0004189F" w:rsidRPr="00B85D62" w:rsidRDefault="0004189F" w:rsidP="0004189F">
      <w:pPr>
        <w:rPr>
          <w:rFonts w:cs="Arial"/>
        </w:rPr>
      </w:pPr>
      <w:r w:rsidRPr="00B85D62">
        <w:rPr>
          <w:rFonts w:cs="Arial"/>
        </w:rPr>
        <w:t>2. Since only a proportion of those with primary care-coded FH are likely to actually have FH, CPRD analysis are likely to underestimate the true effect.</w:t>
      </w:r>
    </w:p>
    <w:p w14:paraId="2AFB7B35" w14:textId="0806FD00" w:rsidR="00B85D62" w:rsidRPr="00B85D62" w:rsidRDefault="0004189F" w:rsidP="0004189F">
      <w:pPr>
        <w:rPr>
          <w:rFonts w:cs="Arial"/>
        </w:rPr>
      </w:pPr>
      <w:r w:rsidRPr="00B85D62">
        <w:rPr>
          <w:rFonts w:cs="Arial"/>
        </w:rPr>
        <w:t xml:space="preserve">3. The cost-effectiveness analysis required assumptions related to the long-term cardiovascular risk, effect of treatment on cholesterol, generalisability of estimates from the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s.</w:t>
      </w:r>
    </w:p>
    <w:p w14:paraId="38E79B5F" w14:textId="77777777" w:rsidR="00B85D62" w:rsidRPr="00B85D62" w:rsidRDefault="0004189F" w:rsidP="0004189F">
      <w:pPr>
        <w:rPr>
          <w:rFonts w:cs="Arial"/>
        </w:rPr>
      </w:pPr>
      <w:r w:rsidRPr="00B85D62">
        <w:rPr>
          <w:rFonts w:cs="Arial"/>
        </w:rPr>
        <w:t>4. Interview recruitment was limited to white English-speaking participants.</w:t>
      </w:r>
    </w:p>
    <w:p w14:paraId="6F5EC9BC" w14:textId="652E3657" w:rsidR="00B85D62" w:rsidRPr="00B85D62" w:rsidRDefault="0004189F" w:rsidP="0004189F">
      <w:pPr>
        <w:rPr>
          <w:rFonts w:cs="Arial"/>
          <w:b/>
          <w:bCs/>
        </w:rPr>
      </w:pPr>
      <w:r w:rsidRPr="00B85D62">
        <w:rPr>
          <w:rFonts w:cs="Arial"/>
          <w:b/>
          <w:bCs/>
        </w:rPr>
        <w:t>Conclusion</w:t>
      </w:r>
    </w:p>
    <w:p w14:paraId="4763778D" w14:textId="77777777" w:rsidR="00B85D62" w:rsidRPr="00B85D62" w:rsidRDefault="0004189F" w:rsidP="0004189F">
      <w:pPr>
        <w:rPr>
          <w:rFonts w:cs="Arial"/>
        </w:rPr>
      </w:pPr>
      <w:r w:rsidRPr="00B85D62">
        <w:rPr>
          <w:rFonts w:cs="Arial"/>
        </w:rPr>
        <w:t>Based on limited evidence, most cost-effective cascade protocols, diagnosing most relatives, selected index cases by genetic testing with services directly contacting relatives, and contacting second degree relatives even if first degree relatives were not tested. Combined approaches to contact relatives, may be more suitable for some families.</w:t>
      </w:r>
    </w:p>
    <w:p w14:paraId="4554CCC2" w14:textId="28405757" w:rsidR="0004189F" w:rsidRPr="00B85D62" w:rsidRDefault="0004189F" w:rsidP="0004189F">
      <w:pPr>
        <w:rPr>
          <w:rFonts w:cs="Arial"/>
          <w:b/>
        </w:rPr>
      </w:pPr>
      <w:r w:rsidRPr="00B85D62">
        <w:rPr>
          <w:rFonts w:cs="Arial"/>
          <w:b/>
        </w:rPr>
        <w:t>Future work</w:t>
      </w:r>
    </w:p>
    <w:p w14:paraId="470CF071" w14:textId="77777777" w:rsidR="00B85D62" w:rsidRPr="00B85D62" w:rsidRDefault="0004189F" w:rsidP="0004189F">
      <w:pPr>
        <w:rPr>
          <w:rFonts w:cs="Arial"/>
        </w:rPr>
      </w:pPr>
      <w:r w:rsidRPr="00B85D62">
        <w:rPr>
          <w:rFonts w:cs="Arial"/>
        </w:rPr>
        <w:t>Long-term FH cohort measuring cholesterol levels, treatment and cardiovascular outcomes</w:t>
      </w:r>
    </w:p>
    <w:p w14:paraId="45E101D2" w14:textId="77777777" w:rsidR="00B85D62" w:rsidRPr="00B85D62" w:rsidRDefault="0004189F" w:rsidP="0004189F">
      <w:pPr>
        <w:rPr>
          <w:rFonts w:cs="Arial"/>
        </w:rPr>
      </w:pPr>
      <w:r w:rsidRPr="00B85D62">
        <w:rPr>
          <w:rFonts w:cs="Arial"/>
        </w:rPr>
        <w:t>Randomised study comparing different approaches to contact relatives</w:t>
      </w:r>
    </w:p>
    <w:p w14:paraId="00988058" w14:textId="5670F12C" w:rsidR="0004189F" w:rsidRPr="00B85D62" w:rsidRDefault="0004189F" w:rsidP="0004189F">
      <w:pPr>
        <w:rPr>
          <w:rFonts w:cs="Arial"/>
          <w:b/>
        </w:rPr>
      </w:pPr>
      <w:r w:rsidRPr="00B85D62">
        <w:rPr>
          <w:rFonts w:cs="Arial"/>
          <w:b/>
        </w:rPr>
        <w:t>Study registration</w:t>
      </w:r>
    </w:p>
    <w:p w14:paraId="490BF32B" w14:textId="77777777" w:rsidR="00B85D62" w:rsidRPr="00B85D62" w:rsidRDefault="0004189F" w:rsidP="0004189F">
      <w:pPr>
        <w:rPr>
          <w:rFonts w:cs="Arial"/>
        </w:rPr>
      </w:pPr>
      <w:r w:rsidRPr="00B85D62">
        <w:rPr>
          <w:rFonts w:cs="Arial"/>
        </w:rPr>
        <w:t>Systematic Reviews CRD42018117445/CRD42019125775</w:t>
      </w:r>
    </w:p>
    <w:p w14:paraId="7E31B087" w14:textId="640FB126" w:rsidR="00B85D62" w:rsidRPr="00B85D62" w:rsidRDefault="0004189F" w:rsidP="0004189F">
      <w:pPr>
        <w:rPr>
          <w:rFonts w:cs="Arial"/>
          <w:b/>
        </w:rPr>
      </w:pPr>
      <w:r w:rsidRPr="00B85D62">
        <w:rPr>
          <w:rFonts w:cs="Arial"/>
          <w:b/>
        </w:rPr>
        <w:t>Funding</w:t>
      </w:r>
    </w:p>
    <w:p w14:paraId="2BA9AFA9" w14:textId="62E4CA4C" w:rsidR="0004189F" w:rsidRPr="00B85D62" w:rsidRDefault="0004189F" w:rsidP="0004189F">
      <w:pPr>
        <w:rPr>
          <w:rFonts w:cs="Arial"/>
        </w:rPr>
      </w:pPr>
      <w:r w:rsidRPr="00B85D62">
        <w:rPr>
          <w:rFonts w:cs="Arial"/>
        </w:rPr>
        <w:t>NIHR Health Technology Assessment programme</w:t>
      </w:r>
    </w:p>
    <w:p w14:paraId="7A05F462" w14:textId="77777777" w:rsidR="00B85D62" w:rsidRPr="00B85D62" w:rsidRDefault="0004189F" w:rsidP="0004189F">
      <w:pPr>
        <w:jc w:val="both"/>
        <w:rPr>
          <w:rFonts w:cs="Arial"/>
        </w:rPr>
      </w:pPr>
      <w:r w:rsidRPr="00B85D62">
        <w:rPr>
          <w:rFonts w:cs="Arial"/>
          <w:b/>
        </w:rPr>
        <w:t>Word Count</w:t>
      </w:r>
      <w:r w:rsidRPr="00B85D62">
        <w:rPr>
          <w:rFonts w:cs="Arial"/>
        </w:rPr>
        <w:t>: 500</w:t>
      </w:r>
    </w:p>
    <w:p w14:paraId="0EB990A9" w14:textId="534E32F6" w:rsidR="00A97FBC" w:rsidRPr="00B85D62" w:rsidRDefault="00A97FBC" w:rsidP="00A97FBC">
      <w:pPr>
        <w:pStyle w:val="43PrelimtitleHeadingsHeadingstyles"/>
        <w:rPr>
          <w:noProof/>
        </w:rPr>
      </w:pPr>
      <w:bookmarkStart w:id="1" w:name="_Toc107157427"/>
      <w:r w:rsidRPr="00B85D62">
        <w:rPr>
          <w:noProof/>
        </w:rPr>
        <w:t>Contents</w:t>
      </w:r>
    </w:p>
    <w:p w14:paraId="51AB64A5" w14:textId="77777777" w:rsidR="00B85D62" w:rsidRPr="00B85D62" w:rsidRDefault="00A97FBC" w:rsidP="00A97FBC">
      <w:pPr>
        <w:pStyle w:val="602TextfoTextstylesTextstyles"/>
        <w:rPr>
          <w:rFonts w:cs="Arial"/>
          <w:color w:val="auto"/>
        </w:rPr>
      </w:pPr>
      <w:r w:rsidRPr="00B85D62">
        <w:rPr>
          <w:i/>
          <w:noProof/>
          <w:color w:val="FF0000"/>
        </w:rPr>
        <w:t>&lt;&lt;Typesetter insert Contents list &gt;&gt;</w:t>
      </w:r>
    </w:p>
    <w:p w14:paraId="4D04C89E" w14:textId="517D5ED1" w:rsidR="002A5041" w:rsidRPr="00B85D62" w:rsidRDefault="002A5041" w:rsidP="002A5041">
      <w:pPr>
        <w:pStyle w:val="43PrelimtitleHeadingsHeadingstyles"/>
      </w:pPr>
      <w:bookmarkStart w:id="2" w:name="_Toc107157428"/>
      <w:bookmarkEnd w:id="1"/>
      <w:r w:rsidRPr="00B85D62">
        <w:t>List of tables</w:t>
      </w:r>
    </w:p>
    <w:p w14:paraId="41F21FEC" w14:textId="4B912D37" w:rsidR="002A5041" w:rsidRPr="00B85D62" w:rsidRDefault="002A5041" w:rsidP="002A5041">
      <w:pPr>
        <w:pStyle w:val="602TextfoTextstylesTextstyles"/>
        <w:rPr>
          <w:i/>
          <w:color w:val="FF0000"/>
        </w:rPr>
      </w:pPr>
      <w:r w:rsidRPr="00B85D62">
        <w:rPr>
          <w:i/>
          <w:color w:val="FF0000"/>
        </w:rPr>
        <w:t>&lt;&lt;Typesetter insert List of tables&gt;&gt;</w:t>
      </w:r>
    </w:p>
    <w:p w14:paraId="5CB3680E" w14:textId="77777777" w:rsidR="00F22581" w:rsidRPr="00B85D62" w:rsidRDefault="00F22581" w:rsidP="00F22581">
      <w:pPr>
        <w:pStyle w:val="43PrelimtitleHeadingsHeadingstyles"/>
      </w:pPr>
      <w:bookmarkStart w:id="3" w:name="_Toc107157429"/>
      <w:bookmarkEnd w:id="2"/>
      <w:r w:rsidRPr="00B85D62">
        <w:t>List of figures</w:t>
      </w:r>
    </w:p>
    <w:p w14:paraId="3CFE0707" w14:textId="01F18647" w:rsidR="001D5C3C" w:rsidRPr="00B85D62" w:rsidRDefault="00F22581" w:rsidP="00DD0106">
      <w:pPr>
        <w:pStyle w:val="602TextfoTextstylesTextstyles"/>
        <w:rPr>
          <w:i/>
          <w:color w:val="FF0000"/>
        </w:rPr>
      </w:pPr>
      <w:r w:rsidRPr="00B85D62">
        <w:rPr>
          <w:i/>
          <w:color w:val="FF0000"/>
        </w:rPr>
        <w:t>&lt;&lt;Typesetter insert List of figures&gt;&gt;</w:t>
      </w:r>
      <w:bookmarkEnd w:id="3"/>
    </w:p>
    <w:p w14:paraId="12DA3C2B" w14:textId="77777777" w:rsidR="00F22581" w:rsidRPr="00B85D62" w:rsidRDefault="00F22581" w:rsidP="00F22581">
      <w:pPr>
        <w:pStyle w:val="43PrelimtitleHeadingsHeadingstyles"/>
      </w:pPr>
      <w:r w:rsidRPr="00B85D62">
        <w:t>List of supplementary material</w:t>
      </w:r>
    </w:p>
    <w:p w14:paraId="79C04B63" w14:textId="77777777" w:rsidR="00F22581" w:rsidRPr="00B85D62" w:rsidRDefault="00F22581" w:rsidP="00F22581">
      <w:pPr>
        <w:pStyle w:val="602TextfoTextstylesTextstyles"/>
        <w:rPr>
          <w:i/>
          <w:color w:val="FF0000"/>
        </w:rPr>
      </w:pPr>
      <w:r w:rsidRPr="00B85D62">
        <w:rPr>
          <w:i/>
          <w:color w:val="FF0000"/>
        </w:rPr>
        <w:t>&lt;&lt;Typesetter please format as per list of tables/boxes/figures&gt;&gt;</w:t>
      </w:r>
    </w:p>
    <w:p w14:paraId="2B3E6B50" w14:textId="77777777" w:rsidR="00B85D62" w:rsidRPr="00B85D62" w:rsidRDefault="00F22581" w:rsidP="00F22581">
      <w:pPr>
        <w:rPr>
          <w:b/>
          <w:sz w:val="18"/>
          <w:szCs w:val="18"/>
        </w:rPr>
      </w:pPr>
      <w:r w:rsidRPr="00B85D62">
        <w:rPr>
          <w:b/>
          <w:sz w:val="18"/>
          <w:szCs w:val="18"/>
        </w:rPr>
        <w:t>Online Supplementary file 1: AMSTAR2 scores for Sys Review</w:t>
      </w:r>
    </w:p>
    <w:p w14:paraId="1E214E1E" w14:textId="64E473E1" w:rsidR="00F22581" w:rsidRPr="00B85D62" w:rsidRDefault="00F22581" w:rsidP="00F22581">
      <w:pPr>
        <w:rPr>
          <w:b/>
          <w:sz w:val="18"/>
          <w:szCs w:val="18"/>
        </w:rPr>
      </w:pPr>
      <w:r w:rsidRPr="00B85D62">
        <w:rPr>
          <w:b/>
          <w:sz w:val="18"/>
          <w:szCs w:val="18"/>
        </w:rPr>
        <w:t>Online Supplementary file 2:</w:t>
      </w:r>
      <w:r w:rsidR="00B85D62" w:rsidRPr="00B85D62">
        <w:rPr>
          <w:b/>
          <w:sz w:val="18"/>
          <w:szCs w:val="18"/>
        </w:rPr>
        <w:t xml:space="preserve"> </w:t>
      </w:r>
      <w:r w:rsidRPr="00B85D62">
        <w:rPr>
          <w:b/>
          <w:sz w:val="18"/>
          <w:szCs w:val="18"/>
        </w:rPr>
        <w:t>CPRD technical report</w:t>
      </w:r>
    </w:p>
    <w:p w14:paraId="7EBE896B" w14:textId="0EC57FA5" w:rsidR="00F22581" w:rsidRPr="00B85D62" w:rsidRDefault="00F22581" w:rsidP="00F22581">
      <w:pPr>
        <w:rPr>
          <w:b/>
          <w:sz w:val="18"/>
          <w:szCs w:val="18"/>
        </w:rPr>
      </w:pPr>
      <w:r w:rsidRPr="00B85D62">
        <w:rPr>
          <w:b/>
          <w:sz w:val="18"/>
          <w:szCs w:val="18"/>
        </w:rPr>
        <w:t>Online Supplementary file 3:</w:t>
      </w:r>
      <w:r w:rsidR="00B85D62" w:rsidRPr="00B85D62">
        <w:rPr>
          <w:b/>
          <w:sz w:val="18"/>
          <w:szCs w:val="18"/>
        </w:rPr>
        <w:t xml:space="preserve"> </w:t>
      </w:r>
      <w:r w:rsidRPr="00B85D62">
        <w:rPr>
          <w:b/>
          <w:sz w:val="18"/>
          <w:szCs w:val="18"/>
        </w:rPr>
        <w:t xml:space="preserve">Additional information relating to pass </w:t>
      </w:r>
      <w:r w:rsidRPr="00B85D62">
        <w:rPr>
          <w:b/>
          <w:sz w:val="18"/>
          <w:szCs w:val="18"/>
          <w:highlight w:val="magenta"/>
        </w:rPr>
        <w:t>data</w:t>
      </w:r>
      <w:r w:rsidRPr="00B85D62">
        <w:rPr>
          <w:b/>
          <w:sz w:val="18"/>
          <w:szCs w:val="18"/>
        </w:rPr>
        <w:t xml:space="preserve"> processing</w:t>
      </w:r>
    </w:p>
    <w:p w14:paraId="6EAADABC" w14:textId="2D559A74" w:rsidR="00F22581" w:rsidRPr="00B85D62" w:rsidRDefault="00F22581" w:rsidP="00F22581">
      <w:pPr>
        <w:rPr>
          <w:b/>
          <w:sz w:val="18"/>
          <w:szCs w:val="18"/>
        </w:rPr>
      </w:pPr>
      <w:r w:rsidRPr="00B85D62">
        <w:rPr>
          <w:b/>
          <w:sz w:val="18"/>
          <w:szCs w:val="18"/>
        </w:rPr>
        <w:t>Online Supplementary file 4:</w:t>
      </w:r>
      <w:r w:rsidR="00B85D62" w:rsidRPr="00B85D62">
        <w:rPr>
          <w:b/>
          <w:sz w:val="18"/>
          <w:szCs w:val="18"/>
        </w:rPr>
        <w:t xml:space="preserve"> </w:t>
      </w:r>
      <w:r w:rsidRPr="00B85D62">
        <w:rPr>
          <w:b/>
          <w:sz w:val="18"/>
          <w:szCs w:val="18"/>
        </w:rPr>
        <w:t>Cost and health benefits of diagnosis of individuals with familial hypercholesterolaemia in the long term</w:t>
      </w:r>
    </w:p>
    <w:p w14:paraId="2B964AB8" w14:textId="1E401CC1" w:rsidR="00F22581" w:rsidRPr="00B85D62" w:rsidRDefault="00F22581" w:rsidP="00F22581">
      <w:pPr>
        <w:rPr>
          <w:b/>
          <w:sz w:val="18"/>
          <w:szCs w:val="18"/>
        </w:rPr>
      </w:pPr>
      <w:r w:rsidRPr="00B85D62">
        <w:rPr>
          <w:b/>
          <w:sz w:val="18"/>
          <w:szCs w:val="18"/>
        </w:rPr>
        <w:lastRenderedPageBreak/>
        <w:t>Online Supplementary file 5:</w:t>
      </w:r>
      <w:r w:rsidR="00B85D62" w:rsidRPr="00B85D62">
        <w:rPr>
          <w:b/>
          <w:sz w:val="18"/>
          <w:szCs w:val="18"/>
        </w:rPr>
        <w:t xml:space="preserve"> </w:t>
      </w:r>
      <w:r w:rsidRPr="00B85D62">
        <w:rPr>
          <w:b/>
          <w:sz w:val="18"/>
          <w:szCs w:val="18"/>
        </w:rPr>
        <w:t>Cost-effectiveness of alternative cascade protocols</w:t>
      </w:r>
    </w:p>
    <w:p w14:paraId="3FBD4864" w14:textId="77777777" w:rsidR="00F22581" w:rsidRPr="00B85D62" w:rsidRDefault="00F22581" w:rsidP="00F22581">
      <w:pPr>
        <w:rPr>
          <w:b/>
          <w:sz w:val="18"/>
          <w:szCs w:val="18"/>
        </w:rPr>
      </w:pPr>
      <w:r w:rsidRPr="00B85D62">
        <w:rPr>
          <w:b/>
          <w:sz w:val="18"/>
          <w:szCs w:val="18"/>
        </w:rPr>
        <w:t>Online Supplementary Excel file 6</w:t>
      </w:r>
    </w:p>
    <w:p w14:paraId="738B2BFC" w14:textId="77777777" w:rsidR="00F22581" w:rsidRPr="00B85D62" w:rsidRDefault="00F22581" w:rsidP="00F22581">
      <w:pPr>
        <w:pStyle w:val="602TextfoTextstylesTextstyles"/>
        <w:rPr>
          <w:b/>
          <w:color w:val="auto"/>
          <w:sz w:val="18"/>
          <w:szCs w:val="18"/>
        </w:rPr>
      </w:pPr>
      <w:r w:rsidRPr="00B85D62">
        <w:rPr>
          <w:b/>
          <w:color w:val="auto"/>
          <w:sz w:val="18"/>
          <w:szCs w:val="18"/>
        </w:rPr>
        <w:t>Online Supplementary Excel file 7</w:t>
      </w:r>
    </w:p>
    <w:p w14:paraId="78610BC0" w14:textId="1504C877" w:rsidR="00F22581" w:rsidRPr="00B85D62" w:rsidRDefault="00F22581" w:rsidP="00F22581">
      <w:pPr>
        <w:pStyle w:val="602TextfoTextstylesTextstyles"/>
        <w:rPr>
          <w:color w:val="auto"/>
        </w:rPr>
      </w:pPr>
      <w:r w:rsidRPr="00B85D62">
        <w:rPr>
          <w:color w:val="auto"/>
        </w:rPr>
        <w:t>Supplementary material can be found on the NIHR Journals Library report page (https://doi.org/10.3310/XXXXXXX0).</w:t>
      </w:r>
    </w:p>
    <w:p w14:paraId="488CE4B8" w14:textId="77777777" w:rsidR="00B85D62" w:rsidRPr="00B85D62" w:rsidRDefault="00F22581" w:rsidP="00F22581">
      <w:pPr>
        <w:pStyle w:val="602TextfoTextstylesTextstyles"/>
        <w:rPr>
          <w:color w:val="auto"/>
        </w:rPr>
      </w:pPr>
      <w:r w:rsidRPr="00B85D62">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7F224412" w14:textId="6A7C95D4" w:rsidR="0092337B" w:rsidRPr="00B85D62" w:rsidRDefault="2325D6C3" w:rsidP="0004189F">
      <w:pPr>
        <w:pStyle w:val="Heading1"/>
        <w:numPr>
          <w:ilvl w:val="0"/>
          <w:numId w:val="0"/>
        </w:numPr>
      </w:pPr>
      <w:bookmarkStart w:id="4" w:name="_Toc107157430"/>
      <w:r w:rsidRPr="00B85D62">
        <w:t>List of abbreviations</w:t>
      </w:r>
      <w:bookmarkEnd w:id="4"/>
    </w:p>
    <w:p w14:paraId="6973899D" w14:textId="4B6EC6CF" w:rsidR="00285498" w:rsidRPr="00B85D62" w:rsidRDefault="00285498" w:rsidP="00285498">
      <w:pPr>
        <w:rPr>
          <w:rFonts w:eastAsia="Calibri" w:cs="Arial"/>
          <w:b/>
        </w:rPr>
      </w:pP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20"/>
        <w:gridCol w:w="5813"/>
      </w:tblGrid>
      <w:tr w:rsidR="00285498" w:rsidRPr="00B85D62" w14:paraId="3BCE7A05" w14:textId="77777777" w:rsidTr="00B85D62">
        <w:trPr>
          <w:cantSplit/>
        </w:trPr>
        <w:tc>
          <w:tcPr>
            <w:tcW w:w="0" w:type="auto"/>
            <w:shd w:val="clear" w:color="auto" w:fill="auto"/>
          </w:tcPr>
          <w:p w14:paraId="10732C8C" w14:textId="77777777" w:rsidR="00285498" w:rsidRPr="00B85D62" w:rsidRDefault="00285498" w:rsidP="00285498">
            <w:pPr>
              <w:rPr>
                <w:rFonts w:eastAsia="Calibri" w:cs="Arial"/>
              </w:rPr>
            </w:pPr>
            <w:bookmarkStart w:id="5" w:name="_Hlk79338942"/>
            <w:r w:rsidRPr="00B85D62">
              <w:rPr>
                <w:rFonts w:eastAsia="Calibri" w:cs="Arial"/>
              </w:rPr>
              <w:t>ACS</w:t>
            </w:r>
          </w:p>
        </w:tc>
        <w:tc>
          <w:tcPr>
            <w:tcW w:w="0" w:type="auto"/>
            <w:shd w:val="clear" w:color="auto" w:fill="auto"/>
          </w:tcPr>
          <w:p w14:paraId="2D80A88A" w14:textId="77777777" w:rsidR="00285498" w:rsidRPr="00B85D62" w:rsidRDefault="00285498" w:rsidP="00285498">
            <w:pPr>
              <w:rPr>
                <w:rFonts w:eastAsia="Calibri" w:cs="Arial"/>
              </w:rPr>
            </w:pPr>
            <w:r w:rsidRPr="00B85D62">
              <w:rPr>
                <w:rFonts w:eastAsia="Calibri" w:cs="Arial"/>
              </w:rPr>
              <w:t>Acute Coronary Syndrome</w:t>
            </w:r>
          </w:p>
        </w:tc>
      </w:tr>
      <w:tr w:rsidR="00285498" w:rsidRPr="00B85D62" w14:paraId="7193C80D" w14:textId="77777777" w:rsidTr="00B85D62">
        <w:trPr>
          <w:cantSplit/>
        </w:trPr>
        <w:tc>
          <w:tcPr>
            <w:tcW w:w="0" w:type="auto"/>
            <w:shd w:val="clear" w:color="auto" w:fill="auto"/>
          </w:tcPr>
          <w:p w14:paraId="7B2BDB05" w14:textId="77777777" w:rsidR="00285498" w:rsidRPr="00B85D62" w:rsidRDefault="00285498" w:rsidP="00285498">
            <w:pPr>
              <w:rPr>
                <w:rFonts w:eastAsia="Calibri" w:cs="Arial"/>
              </w:rPr>
            </w:pPr>
            <w:r w:rsidRPr="00B85D62">
              <w:rPr>
                <w:rFonts w:eastAsia="Calibri" w:cs="Arial"/>
              </w:rPr>
              <w:t>AMSTAR</w:t>
            </w:r>
          </w:p>
        </w:tc>
        <w:tc>
          <w:tcPr>
            <w:tcW w:w="0" w:type="auto"/>
            <w:shd w:val="clear" w:color="auto" w:fill="auto"/>
          </w:tcPr>
          <w:p w14:paraId="5C7E3A69" w14:textId="77777777" w:rsidR="00285498" w:rsidRPr="00B85D62" w:rsidRDefault="00285498" w:rsidP="00285498">
            <w:pPr>
              <w:rPr>
                <w:rFonts w:eastAsia="Calibri" w:cs="Arial"/>
              </w:rPr>
            </w:pPr>
            <w:r w:rsidRPr="00B85D62">
              <w:rPr>
                <w:rFonts w:eastAsia="Calibri" w:cs="Arial"/>
              </w:rPr>
              <w:t>A Measurement Tool To Assess Systematic Reviews</w:t>
            </w:r>
          </w:p>
        </w:tc>
      </w:tr>
      <w:tr w:rsidR="00285498" w:rsidRPr="00B85D62" w14:paraId="319C3A0C" w14:textId="77777777" w:rsidTr="00B85D62">
        <w:trPr>
          <w:cantSplit/>
        </w:trPr>
        <w:tc>
          <w:tcPr>
            <w:tcW w:w="0" w:type="auto"/>
            <w:shd w:val="clear" w:color="auto" w:fill="auto"/>
          </w:tcPr>
          <w:p w14:paraId="4D6E88DE" w14:textId="77777777" w:rsidR="00285498" w:rsidRPr="00B85D62" w:rsidRDefault="00285498" w:rsidP="00285498">
            <w:pPr>
              <w:rPr>
                <w:rFonts w:cs="Arial"/>
              </w:rPr>
            </w:pPr>
            <w:r w:rsidRPr="00B85D62">
              <w:rPr>
                <w:rFonts w:eastAsia="Calibri" w:cs="Arial"/>
              </w:rPr>
              <w:t>APC</w:t>
            </w:r>
          </w:p>
        </w:tc>
        <w:tc>
          <w:tcPr>
            <w:tcW w:w="0" w:type="auto"/>
            <w:shd w:val="clear" w:color="auto" w:fill="auto"/>
          </w:tcPr>
          <w:p w14:paraId="24858717" w14:textId="04B3A63C" w:rsidR="00285498" w:rsidRPr="00B85D62" w:rsidRDefault="007E4E1F" w:rsidP="00285498">
            <w:pPr>
              <w:rPr>
                <w:rFonts w:eastAsia="Calibri" w:cs="Arial"/>
              </w:rPr>
            </w:pPr>
            <w:r w:rsidRPr="00B85D62">
              <w:rPr>
                <w:rFonts w:cs="Arial"/>
              </w:rPr>
              <w:t>Admitted Patient Care</w:t>
            </w:r>
          </w:p>
        </w:tc>
      </w:tr>
      <w:tr w:rsidR="00285498" w:rsidRPr="00B85D62" w14:paraId="259A20B4" w14:textId="77777777" w:rsidTr="00B85D62">
        <w:trPr>
          <w:cantSplit/>
        </w:trPr>
        <w:tc>
          <w:tcPr>
            <w:tcW w:w="0" w:type="auto"/>
            <w:shd w:val="clear" w:color="auto" w:fill="auto"/>
          </w:tcPr>
          <w:p w14:paraId="516BBD25" w14:textId="77777777" w:rsidR="00285498" w:rsidRPr="00B85D62" w:rsidRDefault="00285498" w:rsidP="00285498">
            <w:pPr>
              <w:rPr>
                <w:rFonts w:eastAsia="Calibri" w:cs="Arial"/>
              </w:rPr>
            </w:pPr>
            <w:r w:rsidRPr="00B85D62">
              <w:rPr>
                <w:rFonts w:cs="Arial"/>
              </w:rPr>
              <w:t>APOB</w:t>
            </w:r>
          </w:p>
        </w:tc>
        <w:tc>
          <w:tcPr>
            <w:tcW w:w="0" w:type="auto"/>
            <w:shd w:val="clear" w:color="auto" w:fill="auto"/>
          </w:tcPr>
          <w:p w14:paraId="2D4405AA" w14:textId="7EE0D99B" w:rsidR="00285498" w:rsidRPr="00B85D62" w:rsidRDefault="00285498" w:rsidP="00285498">
            <w:pPr>
              <w:rPr>
                <w:rFonts w:eastAsia="Calibri" w:cs="Arial"/>
              </w:rPr>
            </w:pPr>
            <w:r w:rsidRPr="00B85D62">
              <w:rPr>
                <w:rFonts w:eastAsia="Calibri" w:cs="Arial"/>
              </w:rPr>
              <w:t xml:space="preserve">Apolipoprotein </w:t>
            </w:r>
            <w:r w:rsidR="00B85D62" w:rsidRPr="00B85D62">
              <w:rPr>
                <w:rFonts w:eastAsia="Calibri" w:cs="Arial"/>
                <w:color w:val="00B0F0"/>
              </w:rPr>
              <w:t>B</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00</w:t>
            </w:r>
          </w:p>
        </w:tc>
      </w:tr>
      <w:tr w:rsidR="00285498" w:rsidRPr="00B85D62" w14:paraId="2962300C" w14:textId="77777777" w:rsidTr="00B85D62">
        <w:trPr>
          <w:cantSplit/>
        </w:trPr>
        <w:tc>
          <w:tcPr>
            <w:tcW w:w="0" w:type="auto"/>
            <w:shd w:val="clear" w:color="auto" w:fill="auto"/>
          </w:tcPr>
          <w:p w14:paraId="24E559FB" w14:textId="77777777" w:rsidR="00285498" w:rsidRPr="00B85D62" w:rsidRDefault="00285498" w:rsidP="00285498">
            <w:pPr>
              <w:rPr>
                <w:rFonts w:eastAsia="Calibri" w:cs="Arial"/>
              </w:rPr>
            </w:pPr>
            <w:r w:rsidRPr="00B85D62">
              <w:rPr>
                <w:rFonts w:eastAsia="Calibri" w:cs="Arial"/>
              </w:rPr>
              <w:t xml:space="preserve">BMI </w:t>
            </w:r>
          </w:p>
        </w:tc>
        <w:tc>
          <w:tcPr>
            <w:tcW w:w="0" w:type="auto"/>
            <w:shd w:val="clear" w:color="auto" w:fill="auto"/>
          </w:tcPr>
          <w:p w14:paraId="0DB9BBB1" w14:textId="77777777" w:rsidR="00285498" w:rsidRPr="00B85D62" w:rsidRDefault="00285498" w:rsidP="00285498">
            <w:pPr>
              <w:rPr>
                <w:rFonts w:eastAsia="Calibri" w:cs="Arial"/>
              </w:rPr>
            </w:pPr>
            <w:r w:rsidRPr="00B85D62">
              <w:rPr>
                <w:rFonts w:eastAsia="Calibri" w:cs="Arial"/>
              </w:rPr>
              <w:t xml:space="preserve">Body Mass Index </w:t>
            </w:r>
          </w:p>
        </w:tc>
      </w:tr>
      <w:tr w:rsidR="00285498" w:rsidRPr="00B85D62" w14:paraId="04E2E329" w14:textId="77777777" w:rsidTr="00B85D62">
        <w:trPr>
          <w:cantSplit/>
        </w:trPr>
        <w:tc>
          <w:tcPr>
            <w:tcW w:w="0" w:type="auto"/>
            <w:shd w:val="clear" w:color="auto" w:fill="auto"/>
          </w:tcPr>
          <w:p w14:paraId="36D9FF6C" w14:textId="77777777" w:rsidR="00285498" w:rsidRPr="00B85D62" w:rsidRDefault="00285498" w:rsidP="00285498">
            <w:pPr>
              <w:rPr>
                <w:rFonts w:eastAsia="Calibri" w:cs="Arial"/>
              </w:rPr>
            </w:pPr>
            <w:r w:rsidRPr="00B85D62">
              <w:rPr>
                <w:rFonts w:eastAsia="Calibri" w:cs="Arial"/>
              </w:rPr>
              <w:t xml:space="preserve">CABG </w:t>
            </w:r>
          </w:p>
        </w:tc>
        <w:tc>
          <w:tcPr>
            <w:tcW w:w="0" w:type="auto"/>
            <w:shd w:val="clear" w:color="auto" w:fill="auto"/>
          </w:tcPr>
          <w:p w14:paraId="64289B83" w14:textId="77777777" w:rsidR="00285498" w:rsidRPr="00B85D62" w:rsidRDefault="00285498" w:rsidP="00285498">
            <w:pPr>
              <w:rPr>
                <w:rFonts w:eastAsia="Calibri" w:cs="Arial"/>
              </w:rPr>
            </w:pPr>
            <w:r w:rsidRPr="00B85D62">
              <w:rPr>
                <w:rFonts w:eastAsia="Calibri" w:cs="Arial"/>
              </w:rPr>
              <w:t xml:space="preserve">Coronary Artery Bypass Graft </w:t>
            </w:r>
          </w:p>
        </w:tc>
      </w:tr>
      <w:tr w:rsidR="00285498" w:rsidRPr="00B85D62" w14:paraId="5DCA82A9" w14:textId="77777777" w:rsidTr="00B85D62">
        <w:trPr>
          <w:cantSplit/>
        </w:trPr>
        <w:tc>
          <w:tcPr>
            <w:tcW w:w="0" w:type="auto"/>
            <w:shd w:val="clear" w:color="auto" w:fill="auto"/>
          </w:tcPr>
          <w:p w14:paraId="0F3144F5" w14:textId="77777777" w:rsidR="00285498" w:rsidRPr="00B85D62" w:rsidRDefault="00285498" w:rsidP="00285498">
            <w:pPr>
              <w:rPr>
                <w:rFonts w:eastAsia="Calibri" w:cs="Arial"/>
              </w:rPr>
            </w:pPr>
            <w:r w:rsidRPr="00B85D62">
              <w:rPr>
                <w:rFonts w:eastAsia="Calibri" w:cs="Arial"/>
              </w:rPr>
              <w:t xml:space="preserve">CCG </w:t>
            </w:r>
          </w:p>
        </w:tc>
        <w:tc>
          <w:tcPr>
            <w:tcW w:w="0" w:type="auto"/>
            <w:shd w:val="clear" w:color="auto" w:fill="auto"/>
          </w:tcPr>
          <w:p w14:paraId="702F3328" w14:textId="77777777" w:rsidR="00285498" w:rsidRPr="00B85D62" w:rsidRDefault="00285498" w:rsidP="00285498">
            <w:pPr>
              <w:rPr>
                <w:rFonts w:eastAsia="Calibri" w:cs="Arial"/>
              </w:rPr>
            </w:pPr>
            <w:r w:rsidRPr="00B85D62">
              <w:rPr>
                <w:rFonts w:eastAsia="Calibri" w:cs="Arial"/>
              </w:rPr>
              <w:t xml:space="preserve">Clinical Commissioning Group </w:t>
            </w:r>
          </w:p>
        </w:tc>
      </w:tr>
      <w:tr w:rsidR="00285498" w:rsidRPr="00B85D62" w14:paraId="42E4B3BD" w14:textId="77777777" w:rsidTr="00B85D62">
        <w:trPr>
          <w:cantSplit/>
        </w:trPr>
        <w:tc>
          <w:tcPr>
            <w:tcW w:w="0" w:type="auto"/>
            <w:shd w:val="clear" w:color="auto" w:fill="auto"/>
          </w:tcPr>
          <w:p w14:paraId="3D03746C" w14:textId="77777777" w:rsidR="00285498" w:rsidRPr="00B85D62" w:rsidRDefault="00285498" w:rsidP="00285498">
            <w:pPr>
              <w:rPr>
                <w:rFonts w:eastAsia="Calibri" w:cs="Arial"/>
              </w:rPr>
            </w:pPr>
            <w:r w:rsidRPr="00B85D62">
              <w:rPr>
                <w:rFonts w:eastAsia="Calibri" w:cs="Arial"/>
              </w:rPr>
              <w:t>CHD</w:t>
            </w:r>
          </w:p>
        </w:tc>
        <w:tc>
          <w:tcPr>
            <w:tcW w:w="0" w:type="auto"/>
            <w:shd w:val="clear" w:color="auto" w:fill="auto"/>
          </w:tcPr>
          <w:p w14:paraId="489623B5" w14:textId="77777777" w:rsidR="00285498" w:rsidRPr="00B85D62" w:rsidRDefault="00285498" w:rsidP="00285498">
            <w:pPr>
              <w:rPr>
                <w:rFonts w:eastAsia="Calibri" w:cs="Arial"/>
              </w:rPr>
            </w:pPr>
            <w:r w:rsidRPr="00B85D62">
              <w:rPr>
                <w:rFonts w:eastAsia="Calibri" w:cs="Arial"/>
              </w:rPr>
              <w:t>Coronary Heart Disease</w:t>
            </w:r>
          </w:p>
        </w:tc>
      </w:tr>
      <w:tr w:rsidR="00285498" w:rsidRPr="00B85D62" w14:paraId="06689717" w14:textId="77777777" w:rsidTr="00B85D62">
        <w:trPr>
          <w:cantSplit/>
        </w:trPr>
        <w:tc>
          <w:tcPr>
            <w:tcW w:w="0" w:type="auto"/>
            <w:shd w:val="clear" w:color="auto" w:fill="auto"/>
          </w:tcPr>
          <w:p w14:paraId="5AD04375" w14:textId="77777777" w:rsidR="00285498" w:rsidRPr="00B85D62" w:rsidRDefault="00285498" w:rsidP="00285498">
            <w:pPr>
              <w:rPr>
                <w:rFonts w:eastAsia="Calibri" w:cs="Arial"/>
              </w:rPr>
            </w:pPr>
            <w:r w:rsidRPr="00B85D62">
              <w:rPr>
                <w:rFonts w:cs="Arial"/>
              </w:rPr>
              <w:t xml:space="preserve">CI </w:t>
            </w:r>
          </w:p>
        </w:tc>
        <w:tc>
          <w:tcPr>
            <w:tcW w:w="0" w:type="auto"/>
            <w:shd w:val="clear" w:color="auto" w:fill="auto"/>
          </w:tcPr>
          <w:p w14:paraId="02B8CBA1" w14:textId="77777777" w:rsidR="00285498" w:rsidRPr="00B85D62" w:rsidRDefault="00285498" w:rsidP="00285498">
            <w:pPr>
              <w:rPr>
                <w:rFonts w:eastAsia="Calibri" w:cs="Arial"/>
              </w:rPr>
            </w:pPr>
            <w:r w:rsidRPr="00B85D62">
              <w:rPr>
                <w:rFonts w:eastAsia="Calibri" w:cs="Arial"/>
              </w:rPr>
              <w:t xml:space="preserve">Confidence Interval </w:t>
            </w:r>
          </w:p>
        </w:tc>
      </w:tr>
      <w:tr w:rsidR="00285498" w:rsidRPr="00B85D62" w14:paraId="177569F0" w14:textId="77777777" w:rsidTr="00B85D62">
        <w:trPr>
          <w:cantSplit/>
        </w:trPr>
        <w:tc>
          <w:tcPr>
            <w:tcW w:w="0" w:type="auto"/>
            <w:shd w:val="clear" w:color="auto" w:fill="auto"/>
          </w:tcPr>
          <w:p w14:paraId="7578F84A" w14:textId="77777777" w:rsidR="00285498" w:rsidRPr="00B85D62" w:rsidRDefault="00285498" w:rsidP="00285498">
            <w:pPr>
              <w:rPr>
                <w:rFonts w:eastAsia="Calibri" w:cs="Arial"/>
              </w:rPr>
            </w:pPr>
            <w:r w:rsidRPr="00B85D62">
              <w:rPr>
                <w:rFonts w:eastAsia="Calibri" w:cs="Arial"/>
              </w:rPr>
              <w:t>CPRD</w:t>
            </w:r>
          </w:p>
        </w:tc>
        <w:tc>
          <w:tcPr>
            <w:tcW w:w="0" w:type="auto"/>
            <w:shd w:val="clear" w:color="auto" w:fill="auto"/>
          </w:tcPr>
          <w:p w14:paraId="3CDA22CA" w14:textId="77777777" w:rsidR="00285498" w:rsidRPr="00B85D62" w:rsidRDefault="00285498" w:rsidP="00285498">
            <w:pPr>
              <w:rPr>
                <w:rFonts w:eastAsia="Calibri" w:cs="Arial"/>
              </w:rPr>
            </w:pPr>
            <w:r w:rsidRPr="00B85D62">
              <w:rPr>
                <w:rFonts w:eastAsia="Calibri" w:cs="Arial"/>
              </w:rPr>
              <w:t xml:space="preserve">Clinical </w:t>
            </w:r>
            <w:r w:rsidRPr="00B85D62">
              <w:rPr>
                <w:rFonts w:eastAsia="Calibri" w:cs="Arial"/>
                <w:highlight w:val="magenta"/>
              </w:rPr>
              <w:t>Practice</w:t>
            </w:r>
            <w:r w:rsidRPr="00B85D62">
              <w:rPr>
                <w:rFonts w:eastAsia="Calibri" w:cs="Arial"/>
              </w:rPr>
              <w:t xml:space="preserve"> Research Datalink</w:t>
            </w:r>
          </w:p>
        </w:tc>
      </w:tr>
      <w:tr w:rsidR="00285498" w:rsidRPr="00B85D62" w14:paraId="0758385A" w14:textId="77777777" w:rsidTr="00B85D62">
        <w:trPr>
          <w:cantSplit/>
        </w:trPr>
        <w:tc>
          <w:tcPr>
            <w:tcW w:w="0" w:type="auto"/>
            <w:shd w:val="clear" w:color="auto" w:fill="auto"/>
          </w:tcPr>
          <w:p w14:paraId="0E6DEBC4" w14:textId="77777777" w:rsidR="00285498" w:rsidRPr="00B85D62" w:rsidRDefault="00285498" w:rsidP="00285498">
            <w:pPr>
              <w:rPr>
                <w:rFonts w:eastAsia="Calibri" w:cs="Arial"/>
              </w:rPr>
            </w:pPr>
            <w:r w:rsidRPr="00B85D62">
              <w:rPr>
                <w:rFonts w:eastAsia="Calibri" w:cs="Arial"/>
              </w:rPr>
              <w:t>CVD</w:t>
            </w:r>
          </w:p>
        </w:tc>
        <w:tc>
          <w:tcPr>
            <w:tcW w:w="0" w:type="auto"/>
            <w:shd w:val="clear" w:color="auto" w:fill="auto"/>
          </w:tcPr>
          <w:p w14:paraId="29FA6DEF" w14:textId="77777777" w:rsidR="00285498" w:rsidRPr="00B85D62" w:rsidRDefault="00285498" w:rsidP="00285498">
            <w:pPr>
              <w:rPr>
                <w:rFonts w:eastAsia="Calibri" w:cs="Arial"/>
              </w:rPr>
            </w:pPr>
            <w:r w:rsidRPr="00B85D62">
              <w:rPr>
                <w:rFonts w:eastAsia="Calibri" w:cs="Arial"/>
              </w:rPr>
              <w:t>Cardiovascular Disease</w:t>
            </w:r>
          </w:p>
        </w:tc>
      </w:tr>
      <w:tr w:rsidR="00285498" w:rsidRPr="00B85D62" w14:paraId="3ADE0F4E" w14:textId="77777777" w:rsidTr="00B85D62">
        <w:trPr>
          <w:cantSplit/>
        </w:trPr>
        <w:tc>
          <w:tcPr>
            <w:tcW w:w="0" w:type="auto"/>
            <w:shd w:val="clear" w:color="auto" w:fill="auto"/>
          </w:tcPr>
          <w:p w14:paraId="5E7695F5" w14:textId="77777777" w:rsidR="00285498" w:rsidRPr="00B85D62" w:rsidRDefault="00285498" w:rsidP="00285498">
            <w:pPr>
              <w:rPr>
                <w:rFonts w:eastAsia="Calibri" w:cs="Arial"/>
              </w:rPr>
            </w:pPr>
            <w:r w:rsidRPr="00B85D62">
              <w:rPr>
                <w:rFonts w:eastAsia="Calibri" w:cs="Arial"/>
              </w:rPr>
              <w:t xml:space="preserve">DaSH </w:t>
            </w:r>
          </w:p>
        </w:tc>
        <w:tc>
          <w:tcPr>
            <w:tcW w:w="0" w:type="auto"/>
            <w:shd w:val="clear" w:color="auto" w:fill="auto"/>
          </w:tcPr>
          <w:p w14:paraId="0663B9DD" w14:textId="77777777" w:rsidR="00285498" w:rsidRPr="00B85D62" w:rsidRDefault="00285498" w:rsidP="00285498">
            <w:pPr>
              <w:rPr>
                <w:rFonts w:eastAsia="Calibri" w:cs="Arial"/>
              </w:rPr>
            </w:pPr>
            <w:r w:rsidRPr="00B85D62">
              <w:rPr>
                <w:rFonts w:eastAsia="Calibri" w:cs="Arial"/>
                <w:highlight w:val="magenta"/>
              </w:rPr>
              <w:t>Data</w:t>
            </w:r>
            <w:r w:rsidRPr="00B85D62">
              <w:rPr>
                <w:rFonts w:eastAsia="Calibri" w:cs="Arial"/>
              </w:rPr>
              <w:t xml:space="preserve"> Safe Haven </w:t>
            </w:r>
          </w:p>
        </w:tc>
      </w:tr>
      <w:tr w:rsidR="00285498" w:rsidRPr="00B85D62" w14:paraId="20806C9A" w14:textId="77777777" w:rsidTr="00B85D62">
        <w:trPr>
          <w:cantSplit/>
        </w:trPr>
        <w:tc>
          <w:tcPr>
            <w:tcW w:w="0" w:type="auto"/>
            <w:shd w:val="clear" w:color="auto" w:fill="auto"/>
          </w:tcPr>
          <w:p w14:paraId="73FDE9C4" w14:textId="77777777" w:rsidR="00285498" w:rsidRPr="00B85D62" w:rsidRDefault="00285498" w:rsidP="00285498">
            <w:pPr>
              <w:rPr>
                <w:rFonts w:eastAsia="Calibri" w:cs="Arial"/>
              </w:rPr>
            </w:pPr>
            <w:r w:rsidRPr="00B85D62">
              <w:rPr>
                <w:rFonts w:eastAsia="Calibri" w:cs="Arial"/>
              </w:rPr>
              <w:t>DLCN</w:t>
            </w:r>
          </w:p>
        </w:tc>
        <w:tc>
          <w:tcPr>
            <w:tcW w:w="0" w:type="auto"/>
            <w:shd w:val="clear" w:color="auto" w:fill="auto"/>
          </w:tcPr>
          <w:p w14:paraId="6EFDFA83" w14:textId="77777777" w:rsidR="00285498" w:rsidRPr="00B85D62" w:rsidRDefault="00285498" w:rsidP="00285498">
            <w:pPr>
              <w:rPr>
                <w:rFonts w:eastAsia="Calibri" w:cs="Arial"/>
              </w:rPr>
            </w:pPr>
            <w:r w:rsidRPr="00B85D62">
              <w:rPr>
                <w:rFonts w:eastAsia="Calibri" w:cs="Arial"/>
              </w:rPr>
              <w:t xml:space="preserve">Dutch Lipid Clinic Network </w:t>
            </w:r>
          </w:p>
        </w:tc>
      </w:tr>
      <w:tr w:rsidR="00285498" w:rsidRPr="00B85D62" w14:paraId="791F6D23" w14:textId="77777777" w:rsidTr="00B85D62">
        <w:trPr>
          <w:cantSplit/>
        </w:trPr>
        <w:tc>
          <w:tcPr>
            <w:tcW w:w="0" w:type="auto"/>
            <w:shd w:val="clear" w:color="auto" w:fill="auto"/>
          </w:tcPr>
          <w:p w14:paraId="79D310E8" w14:textId="77777777" w:rsidR="00285498" w:rsidRPr="00B85D62" w:rsidRDefault="00285498" w:rsidP="00285498">
            <w:pPr>
              <w:rPr>
                <w:rFonts w:eastAsia="Calibri" w:cs="Arial"/>
              </w:rPr>
            </w:pPr>
            <w:r w:rsidRPr="00B85D62">
              <w:rPr>
                <w:rFonts w:eastAsia="Calibri" w:cs="Arial"/>
              </w:rPr>
              <w:t xml:space="preserve">eDRIS </w:t>
            </w:r>
          </w:p>
        </w:tc>
        <w:tc>
          <w:tcPr>
            <w:tcW w:w="0" w:type="auto"/>
            <w:shd w:val="clear" w:color="auto" w:fill="auto"/>
          </w:tcPr>
          <w:p w14:paraId="313C80A1" w14:textId="77777777" w:rsidR="00285498" w:rsidRPr="00B85D62" w:rsidRDefault="00285498" w:rsidP="00285498">
            <w:pPr>
              <w:rPr>
                <w:rFonts w:eastAsia="Calibri" w:cs="Arial"/>
              </w:rPr>
            </w:pPr>
            <w:r w:rsidRPr="00B85D62">
              <w:rPr>
                <w:rFonts w:eastAsia="Calibri" w:cs="Arial"/>
              </w:rPr>
              <w:t xml:space="preserve">Electronic </w:t>
            </w:r>
            <w:r w:rsidRPr="00B85D62">
              <w:rPr>
                <w:rFonts w:eastAsia="Calibri" w:cs="Arial"/>
                <w:highlight w:val="magenta"/>
              </w:rPr>
              <w:t>Data</w:t>
            </w:r>
            <w:r w:rsidRPr="00B85D62">
              <w:rPr>
                <w:rFonts w:eastAsia="Calibri" w:cs="Arial"/>
              </w:rPr>
              <w:t xml:space="preserve"> Research And Innovation Service </w:t>
            </w:r>
          </w:p>
        </w:tc>
      </w:tr>
      <w:tr w:rsidR="00285498" w:rsidRPr="00B85D62" w14:paraId="4A26DB4C" w14:textId="77777777" w:rsidTr="00B85D62">
        <w:trPr>
          <w:cantSplit/>
        </w:trPr>
        <w:tc>
          <w:tcPr>
            <w:tcW w:w="0" w:type="auto"/>
            <w:shd w:val="clear" w:color="auto" w:fill="auto"/>
          </w:tcPr>
          <w:p w14:paraId="45AAD0F3" w14:textId="77777777" w:rsidR="00285498" w:rsidRPr="00B85D62" w:rsidRDefault="00285498" w:rsidP="00285498">
            <w:pPr>
              <w:rPr>
                <w:rFonts w:eastAsia="Calibri" w:cs="Arial"/>
              </w:rPr>
            </w:pPr>
            <w:r w:rsidRPr="00B85D62">
              <w:rPr>
                <w:rFonts w:eastAsia="Calibri" w:cs="Arial"/>
              </w:rPr>
              <w:t>EHR</w:t>
            </w:r>
          </w:p>
        </w:tc>
        <w:tc>
          <w:tcPr>
            <w:tcW w:w="0" w:type="auto"/>
            <w:shd w:val="clear" w:color="auto" w:fill="auto"/>
          </w:tcPr>
          <w:p w14:paraId="451ED038" w14:textId="77777777" w:rsidR="00285498" w:rsidRPr="00B85D62" w:rsidRDefault="00285498" w:rsidP="00285498">
            <w:pPr>
              <w:rPr>
                <w:rFonts w:eastAsia="Calibri" w:cs="Arial"/>
              </w:rPr>
            </w:pPr>
            <w:r w:rsidRPr="00B85D62">
              <w:rPr>
                <w:rFonts w:eastAsia="Calibri" w:cs="Arial"/>
              </w:rPr>
              <w:t xml:space="preserve">Electronic Health Record </w:t>
            </w:r>
          </w:p>
        </w:tc>
      </w:tr>
      <w:tr w:rsidR="002C5728" w:rsidRPr="00B85D62" w14:paraId="3E54A404" w14:textId="77777777" w:rsidTr="00B85D62">
        <w:trPr>
          <w:cantSplit/>
        </w:trPr>
        <w:tc>
          <w:tcPr>
            <w:tcW w:w="0" w:type="auto"/>
            <w:shd w:val="clear" w:color="auto" w:fill="auto"/>
          </w:tcPr>
          <w:p w14:paraId="51876067" w14:textId="3D60A8B9" w:rsidR="002C5728" w:rsidRPr="00B85D62" w:rsidRDefault="002C5728" w:rsidP="00285498">
            <w:pPr>
              <w:rPr>
                <w:rFonts w:eastAsia="Calibri" w:cs="Arial"/>
              </w:rPr>
            </w:pPr>
            <w:r w:rsidRPr="00B85D62">
              <w:rPr>
                <w:rFonts w:eastAsia="Calibri" w:cs="Arial"/>
              </w:rPr>
              <w:t>ES</w:t>
            </w:r>
          </w:p>
        </w:tc>
        <w:tc>
          <w:tcPr>
            <w:tcW w:w="0" w:type="auto"/>
            <w:shd w:val="clear" w:color="auto" w:fill="auto"/>
          </w:tcPr>
          <w:p w14:paraId="518A365E" w14:textId="4759CAD3" w:rsidR="002C5728" w:rsidRPr="00B85D62" w:rsidRDefault="002C5728" w:rsidP="00285498">
            <w:pPr>
              <w:rPr>
                <w:rFonts w:eastAsia="Calibri" w:cs="Arial"/>
              </w:rPr>
            </w:pPr>
            <w:r w:rsidRPr="00B85D62">
              <w:rPr>
                <w:rFonts w:eastAsia="Calibri" w:cs="Arial"/>
              </w:rPr>
              <w:t>Effect Size</w:t>
            </w:r>
          </w:p>
        </w:tc>
      </w:tr>
      <w:tr w:rsidR="00285498" w:rsidRPr="00B85D62" w14:paraId="7FEBCE00" w14:textId="77777777" w:rsidTr="00B85D62">
        <w:trPr>
          <w:cantSplit/>
        </w:trPr>
        <w:tc>
          <w:tcPr>
            <w:tcW w:w="0" w:type="auto"/>
            <w:shd w:val="clear" w:color="auto" w:fill="auto"/>
          </w:tcPr>
          <w:p w14:paraId="4FB7BC1D" w14:textId="77777777" w:rsidR="00285498" w:rsidRPr="00B85D62" w:rsidRDefault="00285498" w:rsidP="00285498">
            <w:pPr>
              <w:rPr>
                <w:rFonts w:eastAsia="Calibri" w:cs="Arial"/>
              </w:rPr>
            </w:pPr>
            <w:r w:rsidRPr="00B85D62">
              <w:rPr>
                <w:rFonts w:eastAsia="Calibri" w:cs="Arial"/>
              </w:rPr>
              <w:t>FH</w:t>
            </w:r>
          </w:p>
        </w:tc>
        <w:tc>
          <w:tcPr>
            <w:tcW w:w="0" w:type="auto"/>
            <w:shd w:val="clear" w:color="auto" w:fill="auto"/>
          </w:tcPr>
          <w:p w14:paraId="56B885A4" w14:textId="77777777" w:rsidR="00285498" w:rsidRPr="00B85D62" w:rsidRDefault="00285498" w:rsidP="00285498">
            <w:pPr>
              <w:rPr>
                <w:rFonts w:eastAsia="Calibri" w:cs="Arial"/>
              </w:rPr>
            </w:pPr>
            <w:r w:rsidRPr="00B85D62">
              <w:rPr>
                <w:rFonts w:eastAsia="Calibri" w:cs="Arial"/>
              </w:rPr>
              <w:t>Familial Hypercholesterolaemia</w:t>
            </w:r>
          </w:p>
        </w:tc>
      </w:tr>
      <w:tr w:rsidR="009338AC" w:rsidRPr="00B85D62" w14:paraId="251288AD" w14:textId="77777777" w:rsidTr="00B85D62">
        <w:trPr>
          <w:cantSplit/>
        </w:trPr>
        <w:tc>
          <w:tcPr>
            <w:tcW w:w="0" w:type="auto"/>
            <w:shd w:val="clear" w:color="auto" w:fill="auto"/>
          </w:tcPr>
          <w:p w14:paraId="3177AE3A" w14:textId="4CBB03CD" w:rsidR="009338AC" w:rsidRPr="00B85D62" w:rsidRDefault="009338AC" w:rsidP="00285498">
            <w:pPr>
              <w:rPr>
                <w:rFonts w:eastAsia="Calibri" w:cs="Arial"/>
              </w:rPr>
            </w:pPr>
            <w:r w:rsidRPr="00B85D62">
              <w:rPr>
                <w:rFonts w:eastAsia="Calibri" w:cs="Arial"/>
              </w:rPr>
              <w:t>GP</w:t>
            </w:r>
          </w:p>
        </w:tc>
        <w:tc>
          <w:tcPr>
            <w:tcW w:w="0" w:type="auto"/>
            <w:shd w:val="clear" w:color="auto" w:fill="auto"/>
          </w:tcPr>
          <w:p w14:paraId="5763A735" w14:textId="1689F9A1" w:rsidR="009338AC" w:rsidRPr="00B85D62" w:rsidRDefault="009338AC" w:rsidP="00285498">
            <w:pPr>
              <w:rPr>
                <w:rFonts w:eastAsia="Calibri" w:cs="Arial"/>
              </w:rPr>
            </w:pPr>
            <w:r w:rsidRPr="00B85D62">
              <w:rPr>
                <w:rFonts w:eastAsia="Calibri" w:cs="Arial"/>
              </w:rPr>
              <w:t xml:space="preserve">General Practitioner </w:t>
            </w:r>
          </w:p>
        </w:tc>
      </w:tr>
      <w:tr w:rsidR="00285498" w:rsidRPr="00B85D62" w14:paraId="26C3759C" w14:textId="77777777" w:rsidTr="00B85D62">
        <w:trPr>
          <w:cantSplit/>
        </w:trPr>
        <w:tc>
          <w:tcPr>
            <w:tcW w:w="0" w:type="auto"/>
            <w:shd w:val="clear" w:color="auto" w:fill="auto"/>
          </w:tcPr>
          <w:p w14:paraId="144AC5A5" w14:textId="77777777" w:rsidR="00285498" w:rsidRPr="00B85D62" w:rsidRDefault="00285498" w:rsidP="00285498">
            <w:pPr>
              <w:rPr>
                <w:rFonts w:cs="Arial"/>
              </w:rPr>
            </w:pPr>
            <w:r w:rsidRPr="00B85D62">
              <w:rPr>
                <w:rFonts w:cs="Arial"/>
              </w:rPr>
              <w:t xml:space="preserve">HDL-C </w:t>
            </w:r>
          </w:p>
        </w:tc>
        <w:tc>
          <w:tcPr>
            <w:tcW w:w="0" w:type="auto"/>
            <w:shd w:val="clear" w:color="auto" w:fill="auto"/>
          </w:tcPr>
          <w:p w14:paraId="138D174C" w14:textId="77777777" w:rsidR="00285498" w:rsidRPr="00B85D62" w:rsidRDefault="00285498" w:rsidP="00285498">
            <w:pPr>
              <w:rPr>
                <w:rFonts w:eastAsia="Calibri" w:cs="Arial"/>
              </w:rPr>
            </w:pPr>
            <w:r w:rsidRPr="00B85D62">
              <w:rPr>
                <w:rFonts w:eastAsia="Calibri" w:cs="Arial"/>
              </w:rPr>
              <w:t xml:space="preserve">High Density Lipoprotein Cholesterol </w:t>
            </w:r>
          </w:p>
        </w:tc>
      </w:tr>
      <w:tr w:rsidR="00285498" w:rsidRPr="00B85D62" w14:paraId="27DE1379" w14:textId="77777777" w:rsidTr="00B85D62">
        <w:trPr>
          <w:cantSplit/>
        </w:trPr>
        <w:tc>
          <w:tcPr>
            <w:tcW w:w="0" w:type="auto"/>
            <w:shd w:val="clear" w:color="auto" w:fill="auto"/>
          </w:tcPr>
          <w:p w14:paraId="7E12D700" w14:textId="77777777" w:rsidR="00285498" w:rsidRPr="00B85D62" w:rsidRDefault="00285498" w:rsidP="00285498">
            <w:pPr>
              <w:rPr>
                <w:rFonts w:cs="Arial"/>
              </w:rPr>
            </w:pPr>
            <w:r w:rsidRPr="00B85D62">
              <w:rPr>
                <w:rFonts w:cs="Arial"/>
              </w:rPr>
              <w:t xml:space="preserve">HES </w:t>
            </w:r>
          </w:p>
        </w:tc>
        <w:tc>
          <w:tcPr>
            <w:tcW w:w="0" w:type="auto"/>
            <w:shd w:val="clear" w:color="auto" w:fill="auto"/>
          </w:tcPr>
          <w:p w14:paraId="33CF0420" w14:textId="77777777" w:rsidR="00285498" w:rsidRPr="00B85D62" w:rsidRDefault="00285498" w:rsidP="00285498">
            <w:pPr>
              <w:rPr>
                <w:rFonts w:eastAsia="Calibri" w:cs="Arial"/>
              </w:rPr>
            </w:pPr>
            <w:r w:rsidRPr="00B85D62">
              <w:rPr>
                <w:rFonts w:eastAsia="Calibri" w:cs="Arial"/>
              </w:rPr>
              <w:t>Hospital Episodes Statistics</w:t>
            </w:r>
          </w:p>
        </w:tc>
      </w:tr>
      <w:tr w:rsidR="00285498" w:rsidRPr="00B85D62" w14:paraId="2AA4A2B4" w14:textId="77777777" w:rsidTr="00B85D62">
        <w:trPr>
          <w:cantSplit/>
        </w:trPr>
        <w:tc>
          <w:tcPr>
            <w:tcW w:w="0" w:type="auto"/>
            <w:shd w:val="clear" w:color="auto" w:fill="auto"/>
          </w:tcPr>
          <w:p w14:paraId="0D9DC640" w14:textId="77777777" w:rsidR="00285498" w:rsidRPr="00B85D62" w:rsidRDefault="00285498" w:rsidP="00285498">
            <w:pPr>
              <w:rPr>
                <w:rFonts w:cs="Arial"/>
              </w:rPr>
            </w:pPr>
            <w:r w:rsidRPr="00B85D62">
              <w:rPr>
                <w:rFonts w:cs="Arial"/>
              </w:rPr>
              <w:t xml:space="preserve">HRA </w:t>
            </w:r>
          </w:p>
        </w:tc>
        <w:tc>
          <w:tcPr>
            <w:tcW w:w="0" w:type="auto"/>
            <w:shd w:val="clear" w:color="auto" w:fill="auto"/>
          </w:tcPr>
          <w:p w14:paraId="78CB4F0D" w14:textId="77777777" w:rsidR="00285498" w:rsidRPr="00B85D62" w:rsidRDefault="00285498" w:rsidP="00285498">
            <w:pPr>
              <w:rPr>
                <w:rFonts w:eastAsia="Calibri" w:cs="Arial"/>
              </w:rPr>
            </w:pPr>
            <w:r w:rsidRPr="00B85D62">
              <w:rPr>
                <w:rFonts w:eastAsia="Calibri" w:cs="Arial"/>
              </w:rPr>
              <w:t xml:space="preserve">Health Research Authority </w:t>
            </w:r>
          </w:p>
        </w:tc>
      </w:tr>
      <w:tr w:rsidR="00285498" w:rsidRPr="00B85D62" w14:paraId="1D8B2883" w14:textId="77777777" w:rsidTr="00B85D62">
        <w:trPr>
          <w:cantSplit/>
        </w:trPr>
        <w:tc>
          <w:tcPr>
            <w:tcW w:w="0" w:type="auto"/>
            <w:shd w:val="clear" w:color="auto" w:fill="auto"/>
          </w:tcPr>
          <w:p w14:paraId="0902AC56" w14:textId="77777777" w:rsidR="00285498" w:rsidRPr="00B85D62" w:rsidRDefault="00285498" w:rsidP="00285498">
            <w:pPr>
              <w:rPr>
                <w:rFonts w:cs="Arial"/>
              </w:rPr>
            </w:pPr>
            <w:r w:rsidRPr="00B85D62">
              <w:rPr>
                <w:rFonts w:cs="Arial"/>
              </w:rPr>
              <w:t>ICD</w:t>
            </w:r>
          </w:p>
        </w:tc>
        <w:tc>
          <w:tcPr>
            <w:tcW w:w="0" w:type="auto"/>
            <w:shd w:val="clear" w:color="auto" w:fill="auto"/>
          </w:tcPr>
          <w:p w14:paraId="469A03A8" w14:textId="77777777" w:rsidR="00285498" w:rsidRPr="00B85D62" w:rsidRDefault="00285498" w:rsidP="00285498">
            <w:pPr>
              <w:rPr>
                <w:rFonts w:eastAsia="Calibri" w:cs="Arial"/>
              </w:rPr>
            </w:pPr>
            <w:r w:rsidRPr="00B85D62">
              <w:rPr>
                <w:rFonts w:eastAsia="Calibri" w:cs="Arial"/>
              </w:rPr>
              <w:t>International Classification Of Disease</w:t>
            </w:r>
          </w:p>
        </w:tc>
      </w:tr>
      <w:tr w:rsidR="00285498" w:rsidRPr="00B85D62" w14:paraId="005C85D4" w14:textId="77777777" w:rsidTr="00B85D62">
        <w:trPr>
          <w:cantSplit/>
        </w:trPr>
        <w:tc>
          <w:tcPr>
            <w:tcW w:w="0" w:type="auto"/>
            <w:shd w:val="clear" w:color="auto" w:fill="auto"/>
          </w:tcPr>
          <w:p w14:paraId="7E9DF351" w14:textId="77777777" w:rsidR="00285498" w:rsidRPr="00B85D62" w:rsidRDefault="00285498" w:rsidP="00285498">
            <w:pPr>
              <w:rPr>
                <w:rFonts w:cs="Arial"/>
              </w:rPr>
            </w:pPr>
            <w:r w:rsidRPr="00B85D62">
              <w:rPr>
                <w:rFonts w:cs="Arial"/>
              </w:rPr>
              <w:t xml:space="preserve">IQR </w:t>
            </w:r>
          </w:p>
        </w:tc>
        <w:tc>
          <w:tcPr>
            <w:tcW w:w="0" w:type="auto"/>
            <w:shd w:val="clear" w:color="auto" w:fill="auto"/>
          </w:tcPr>
          <w:p w14:paraId="0C8C6071" w14:textId="77777777" w:rsidR="00285498" w:rsidRPr="00B85D62" w:rsidRDefault="00285498" w:rsidP="00285498">
            <w:pPr>
              <w:rPr>
                <w:rFonts w:eastAsia="Calibri" w:cs="Arial"/>
              </w:rPr>
            </w:pPr>
            <w:r w:rsidRPr="00B85D62">
              <w:rPr>
                <w:rFonts w:eastAsia="Calibri" w:cs="Arial"/>
              </w:rPr>
              <w:t xml:space="preserve">Interquartile Range </w:t>
            </w:r>
          </w:p>
        </w:tc>
      </w:tr>
      <w:tr w:rsidR="00285498" w:rsidRPr="00B85D62" w14:paraId="1858179F" w14:textId="77777777" w:rsidTr="00B85D62">
        <w:trPr>
          <w:cantSplit/>
        </w:trPr>
        <w:tc>
          <w:tcPr>
            <w:tcW w:w="0" w:type="auto"/>
            <w:shd w:val="clear" w:color="auto" w:fill="auto"/>
          </w:tcPr>
          <w:p w14:paraId="7886C105" w14:textId="77777777" w:rsidR="00285498" w:rsidRPr="00B85D62" w:rsidRDefault="00285498" w:rsidP="00285498">
            <w:pPr>
              <w:rPr>
                <w:rFonts w:cs="Arial"/>
              </w:rPr>
            </w:pPr>
            <w:r w:rsidRPr="00B85D62">
              <w:rPr>
                <w:rFonts w:cs="Arial"/>
              </w:rPr>
              <w:t>IS</w:t>
            </w:r>
          </w:p>
        </w:tc>
        <w:tc>
          <w:tcPr>
            <w:tcW w:w="0" w:type="auto"/>
            <w:shd w:val="clear" w:color="auto" w:fill="auto"/>
          </w:tcPr>
          <w:p w14:paraId="64A7E70F" w14:textId="77777777" w:rsidR="00285498" w:rsidRPr="00B85D62" w:rsidRDefault="00285498" w:rsidP="00285498">
            <w:pPr>
              <w:rPr>
                <w:rFonts w:eastAsia="Calibri" w:cs="Arial"/>
              </w:rPr>
            </w:pPr>
            <w:r w:rsidRPr="00B85D62">
              <w:rPr>
                <w:rFonts w:eastAsia="Calibri" w:cs="Arial"/>
              </w:rPr>
              <w:t>Ischaemic Stroke</w:t>
            </w:r>
          </w:p>
        </w:tc>
      </w:tr>
      <w:tr w:rsidR="00285498" w:rsidRPr="00B85D62" w14:paraId="4D433B52" w14:textId="77777777" w:rsidTr="00B85D62">
        <w:trPr>
          <w:cantSplit/>
        </w:trPr>
        <w:tc>
          <w:tcPr>
            <w:tcW w:w="0" w:type="auto"/>
            <w:shd w:val="clear" w:color="auto" w:fill="auto"/>
          </w:tcPr>
          <w:p w14:paraId="3642A250" w14:textId="77777777" w:rsidR="00285498" w:rsidRPr="00B85D62" w:rsidRDefault="00285498" w:rsidP="00285498">
            <w:pPr>
              <w:rPr>
                <w:rFonts w:cs="Arial"/>
              </w:rPr>
            </w:pPr>
            <w:r w:rsidRPr="00B85D62">
              <w:rPr>
                <w:rFonts w:cs="Arial"/>
              </w:rPr>
              <w:t xml:space="preserve">LDL-C </w:t>
            </w:r>
          </w:p>
        </w:tc>
        <w:tc>
          <w:tcPr>
            <w:tcW w:w="0" w:type="auto"/>
            <w:shd w:val="clear" w:color="auto" w:fill="auto"/>
          </w:tcPr>
          <w:p w14:paraId="3559B360" w14:textId="6B00BDB7" w:rsidR="00285498" w:rsidRPr="00B85D62" w:rsidRDefault="00C15E97" w:rsidP="00285498">
            <w:pPr>
              <w:rPr>
                <w:rFonts w:eastAsia="Calibri" w:cs="Arial"/>
              </w:rPr>
            </w:pPr>
            <w:r w:rsidRPr="00B85D62">
              <w:rPr>
                <w:rFonts w:eastAsia="Calibri" w:cs="Arial"/>
              </w:rPr>
              <w:t>Low-</w:t>
            </w:r>
            <w:r w:rsidR="00285498" w:rsidRPr="00B85D62">
              <w:rPr>
                <w:rFonts w:eastAsia="Calibri" w:cs="Arial"/>
              </w:rPr>
              <w:t>Density Lipoprotein Cholesterol</w:t>
            </w:r>
          </w:p>
        </w:tc>
      </w:tr>
      <w:tr w:rsidR="00285498" w:rsidRPr="00B85D62" w14:paraId="57D66F77" w14:textId="77777777" w:rsidTr="00B85D62">
        <w:trPr>
          <w:cantSplit/>
        </w:trPr>
        <w:tc>
          <w:tcPr>
            <w:tcW w:w="0" w:type="auto"/>
            <w:shd w:val="clear" w:color="auto" w:fill="auto"/>
          </w:tcPr>
          <w:p w14:paraId="2747A3A3" w14:textId="77777777" w:rsidR="00285498" w:rsidRPr="00B85D62" w:rsidRDefault="00285498" w:rsidP="00285498">
            <w:pPr>
              <w:rPr>
                <w:rFonts w:cs="Arial"/>
              </w:rPr>
            </w:pPr>
            <w:r w:rsidRPr="00B85D62">
              <w:rPr>
                <w:rFonts w:cs="Arial"/>
              </w:rPr>
              <w:t>LDLR gene</w:t>
            </w:r>
          </w:p>
        </w:tc>
        <w:tc>
          <w:tcPr>
            <w:tcW w:w="0" w:type="auto"/>
            <w:shd w:val="clear" w:color="auto" w:fill="auto"/>
          </w:tcPr>
          <w:p w14:paraId="025D7ECF" w14:textId="77777777" w:rsidR="00285498" w:rsidRPr="00B85D62" w:rsidRDefault="00285498" w:rsidP="00285498">
            <w:pPr>
              <w:rPr>
                <w:rFonts w:eastAsia="Calibri" w:cs="Arial"/>
              </w:rPr>
            </w:pPr>
            <w:r w:rsidRPr="00B85D62">
              <w:rPr>
                <w:rFonts w:eastAsia="Calibri" w:cs="Arial"/>
              </w:rPr>
              <w:t xml:space="preserve">Low-Density Lipoprotein Receptor Gene </w:t>
            </w:r>
          </w:p>
        </w:tc>
      </w:tr>
      <w:tr w:rsidR="00285498" w:rsidRPr="00B85D62" w14:paraId="0ADABC1E" w14:textId="77777777" w:rsidTr="00B85D62">
        <w:trPr>
          <w:cantSplit/>
        </w:trPr>
        <w:tc>
          <w:tcPr>
            <w:tcW w:w="0" w:type="auto"/>
            <w:shd w:val="clear" w:color="auto" w:fill="auto"/>
          </w:tcPr>
          <w:p w14:paraId="587EFEC6" w14:textId="77777777" w:rsidR="00285498" w:rsidRPr="00B85D62" w:rsidRDefault="00285498" w:rsidP="00285498">
            <w:pPr>
              <w:rPr>
                <w:rFonts w:cs="Arial"/>
              </w:rPr>
            </w:pPr>
            <w:r w:rsidRPr="00B85D62">
              <w:rPr>
                <w:rFonts w:cs="Arial"/>
              </w:rPr>
              <w:t>LDLRAP1</w:t>
            </w:r>
          </w:p>
        </w:tc>
        <w:tc>
          <w:tcPr>
            <w:tcW w:w="0" w:type="auto"/>
            <w:shd w:val="clear" w:color="auto" w:fill="auto"/>
          </w:tcPr>
          <w:p w14:paraId="1B00DAE8" w14:textId="77777777" w:rsidR="00285498" w:rsidRPr="00B85D62" w:rsidRDefault="00285498" w:rsidP="00285498">
            <w:pPr>
              <w:rPr>
                <w:rFonts w:eastAsia="Calibri" w:cs="Arial"/>
              </w:rPr>
            </w:pPr>
            <w:r w:rsidRPr="00B85D62">
              <w:rPr>
                <w:rFonts w:eastAsia="Calibri" w:cs="Arial"/>
              </w:rPr>
              <w:t>Low Density Lipoprotein Receptor Adaptor Protein 1</w:t>
            </w:r>
          </w:p>
        </w:tc>
      </w:tr>
      <w:tr w:rsidR="00285498" w:rsidRPr="00B85D62" w14:paraId="0C00DE12" w14:textId="77777777" w:rsidTr="00B85D62">
        <w:trPr>
          <w:cantSplit/>
        </w:trPr>
        <w:tc>
          <w:tcPr>
            <w:tcW w:w="0" w:type="auto"/>
            <w:shd w:val="clear" w:color="auto" w:fill="auto"/>
          </w:tcPr>
          <w:p w14:paraId="046F8978" w14:textId="77777777" w:rsidR="00285498" w:rsidRPr="00B85D62" w:rsidRDefault="00285498" w:rsidP="00285498">
            <w:pPr>
              <w:rPr>
                <w:rFonts w:eastAsia="Calibri" w:cs="Arial"/>
              </w:rPr>
            </w:pPr>
            <w:r w:rsidRPr="00B85D62">
              <w:rPr>
                <w:rFonts w:cs="Arial"/>
              </w:rPr>
              <w:t>LIMS</w:t>
            </w:r>
          </w:p>
        </w:tc>
        <w:tc>
          <w:tcPr>
            <w:tcW w:w="0" w:type="auto"/>
            <w:shd w:val="clear" w:color="auto" w:fill="auto"/>
          </w:tcPr>
          <w:p w14:paraId="45F96768" w14:textId="77777777" w:rsidR="00285498" w:rsidRPr="00B85D62" w:rsidRDefault="00285498" w:rsidP="00285498">
            <w:pPr>
              <w:rPr>
                <w:rFonts w:eastAsia="Calibri" w:cs="Arial"/>
              </w:rPr>
            </w:pPr>
            <w:r w:rsidRPr="00B85D62">
              <w:rPr>
                <w:rFonts w:eastAsia="Calibri" w:cs="Arial"/>
              </w:rPr>
              <w:t>Laboratory Information Management Systems</w:t>
            </w:r>
          </w:p>
        </w:tc>
      </w:tr>
      <w:tr w:rsidR="00285498" w:rsidRPr="00B85D62" w14:paraId="79C12208" w14:textId="77777777" w:rsidTr="00B85D62">
        <w:trPr>
          <w:cantSplit/>
        </w:trPr>
        <w:tc>
          <w:tcPr>
            <w:tcW w:w="0" w:type="auto"/>
            <w:shd w:val="clear" w:color="auto" w:fill="auto"/>
          </w:tcPr>
          <w:p w14:paraId="1854117D" w14:textId="77777777" w:rsidR="00285498" w:rsidRPr="00B85D62" w:rsidRDefault="00285498" w:rsidP="00285498">
            <w:pPr>
              <w:rPr>
                <w:rFonts w:cs="Arial"/>
              </w:rPr>
            </w:pPr>
            <w:r w:rsidRPr="00B85D62">
              <w:rPr>
                <w:rFonts w:cs="Arial"/>
              </w:rPr>
              <w:t xml:space="preserve">LLT </w:t>
            </w:r>
          </w:p>
        </w:tc>
        <w:tc>
          <w:tcPr>
            <w:tcW w:w="0" w:type="auto"/>
            <w:shd w:val="clear" w:color="auto" w:fill="auto"/>
          </w:tcPr>
          <w:p w14:paraId="6C2F9DAF" w14:textId="77777777" w:rsidR="00285498" w:rsidRPr="00B85D62" w:rsidRDefault="00285498" w:rsidP="00285498">
            <w:pPr>
              <w:rPr>
                <w:rFonts w:eastAsia="Calibri" w:cs="Arial"/>
              </w:rPr>
            </w:pPr>
            <w:r w:rsidRPr="00B85D62">
              <w:rPr>
                <w:rFonts w:eastAsia="Calibri" w:cs="Arial"/>
              </w:rPr>
              <w:t xml:space="preserve">Lipid Lowering Treatment </w:t>
            </w:r>
          </w:p>
        </w:tc>
      </w:tr>
      <w:tr w:rsidR="00285498" w:rsidRPr="00B85D62" w14:paraId="4C6ECC88" w14:textId="77777777" w:rsidTr="00B85D62">
        <w:trPr>
          <w:cantSplit/>
        </w:trPr>
        <w:tc>
          <w:tcPr>
            <w:tcW w:w="0" w:type="auto"/>
            <w:shd w:val="clear" w:color="auto" w:fill="auto"/>
          </w:tcPr>
          <w:p w14:paraId="014376A2" w14:textId="77777777" w:rsidR="00285498" w:rsidRPr="00B85D62" w:rsidRDefault="00285498" w:rsidP="00285498">
            <w:pPr>
              <w:rPr>
                <w:rFonts w:eastAsia="Calibri" w:cs="Arial"/>
                <w:highlight w:val="magenta"/>
              </w:rPr>
            </w:pPr>
            <w:r w:rsidRPr="00B85D62">
              <w:rPr>
                <w:rFonts w:cs="Arial"/>
              </w:rPr>
              <w:t xml:space="preserve">MEDPED </w:t>
            </w:r>
          </w:p>
        </w:tc>
        <w:tc>
          <w:tcPr>
            <w:tcW w:w="0" w:type="auto"/>
            <w:shd w:val="clear" w:color="auto" w:fill="auto"/>
          </w:tcPr>
          <w:p w14:paraId="142AE3B8" w14:textId="77777777" w:rsidR="00285498" w:rsidRPr="00B85D62" w:rsidRDefault="00285498" w:rsidP="00285498">
            <w:pPr>
              <w:rPr>
                <w:rFonts w:eastAsia="Calibri" w:cs="Arial"/>
              </w:rPr>
            </w:pPr>
            <w:r w:rsidRPr="00B85D62">
              <w:rPr>
                <w:rFonts w:eastAsia="Calibri" w:cs="Arial"/>
              </w:rPr>
              <w:t>Make Early Diagnosis to Prevent Disease</w:t>
            </w:r>
          </w:p>
        </w:tc>
      </w:tr>
      <w:tr w:rsidR="00285498" w:rsidRPr="00B85D62" w14:paraId="77928583" w14:textId="77777777" w:rsidTr="00B85D62">
        <w:trPr>
          <w:cantSplit/>
        </w:trPr>
        <w:tc>
          <w:tcPr>
            <w:tcW w:w="0" w:type="auto"/>
            <w:shd w:val="clear" w:color="auto" w:fill="auto"/>
          </w:tcPr>
          <w:p w14:paraId="51A955B5" w14:textId="77777777" w:rsidR="00285498" w:rsidRPr="00B85D62" w:rsidRDefault="00285498" w:rsidP="00285498">
            <w:pPr>
              <w:rPr>
                <w:rFonts w:cs="Arial"/>
              </w:rPr>
            </w:pPr>
            <w:r w:rsidRPr="00B85D62">
              <w:rPr>
                <w:rFonts w:cs="Arial"/>
              </w:rPr>
              <w:t xml:space="preserve">MESH </w:t>
            </w:r>
          </w:p>
        </w:tc>
        <w:tc>
          <w:tcPr>
            <w:tcW w:w="0" w:type="auto"/>
            <w:shd w:val="clear" w:color="auto" w:fill="auto"/>
          </w:tcPr>
          <w:p w14:paraId="6849F03F" w14:textId="77777777" w:rsidR="00285498" w:rsidRPr="00B85D62" w:rsidRDefault="00285498" w:rsidP="00285498">
            <w:pPr>
              <w:rPr>
                <w:rFonts w:eastAsia="Calibri" w:cs="Arial"/>
              </w:rPr>
            </w:pPr>
            <w:r w:rsidRPr="00B85D62">
              <w:rPr>
                <w:rFonts w:eastAsia="Calibri" w:cs="Arial"/>
              </w:rPr>
              <w:t xml:space="preserve">Medical Subject Heading </w:t>
            </w:r>
          </w:p>
        </w:tc>
      </w:tr>
      <w:tr w:rsidR="00285498" w:rsidRPr="00B85D62" w14:paraId="562BCE2C" w14:textId="77777777" w:rsidTr="00B85D62">
        <w:trPr>
          <w:cantSplit/>
        </w:trPr>
        <w:tc>
          <w:tcPr>
            <w:tcW w:w="0" w:type="auto"/>
            <w:shd w:val="clear" w:color="auto" w:fill="auto"/>
          </w:tcPr>
          <w:p w14:paraId="4B18F09E" w14:textId="77777777" w:rsidR="00285498" w:rsidRPr="00B85D62" w:rsidRDefault="00285498" w:rsidP="00285498">
            <w:pPr>
              <w:rPr>
                <w:rFonts w:eastAsia="Calibri" w:cs="Arial"/>
                <w:highlight w:val="magenta"/>
              </w:rPr>
            </w:pPr>
            <w:r w:rsidRPr="00B85D62">
              <w:rPr>
                <w:rFonts w:cs="Arial"/>
              </w:rPr>
              <w:t>MFH</w:t>
            </w:r>
          </w:p>
        </w:tc>
        <w:tc>
          <w:tcPr>
            <w:tcW w:w="0" w:type="auto"/>
            <w:shd w:val="clear" w:color="auto" w:fill="auto"/>
          </w:tcPr>
          <w:p w14:paraId="16D3CB52" w14:textId="77777777" w:rsidR="00285498" w:rsidRPr="00B85D62" w:rsidRDefault="00285498" w:rsidP="00285498">
            <w:pPr>
              <w:rPr>
                <w:rFonts w:eastAsia="Calibri" w:cs="Arial"/>
              </w:rPr>
            </w:pPr>
            <w:r w:rsidRPr="00B85D62">
              <w:rPr>
                <w:rFonts w:eastAsia="Calibri" w:cs="Arial"/>
              </w:rPr>
              <w:t>Monogenic Familial Hypercholesterolaemia</w:t>
            </w:r>
          </w:p>
        </w:tc>
      </w:tr>
      <w:tr w:rsidR="00285498" w:rsidRPr="00B85D62" w14:paraId="2067E964" w14:textId="77777777" w:rsidTr="00B85D62">
        <w:trPr>
          <w:cantSplit/>
        </w:trPr>
        <w:tc>
          <w:tcPr>
            <w:tcW w:w="0" w:type="auto"/>
            <w:shd w:val="clear" w:color="auto" w:fill="auto"/>
          </w:tcPr>
          <w:p w14:paraId="69914F77" w14:textId="77777777" w:rsidR="00285498" w:rsidRPr="00B85D62" w:rsidRDefault="00285498" w:rsidP="00285498">
            <w:pPr>
              <w:rPr>
                <w:rFonts w:eastAsia="Calibri" w:cs="Arial"/>
                <w:highlight w:val="magenta"/>
              </w:rPr>
            </w:pPr>
            <w:r w:rsidRPr="00B85D62">
              <w:rPr>
                <w:rFonts w:cs="Arial"/>
              </w:rPr>
              <w:t xml:space="preserve">MI </w:t>
            </w:r>
          </w:p>
        </w:tc>
        <w:tc>
          <w:tcPr>
            <w:tcW w:w="0" w:type="auto"/>
            <w:shd w:val="clear" w:color="auto" w:fill="auto"/>
          </w:tcPr>
          <w:p w14:paraId="06A26E23" w14:textId="77777777" w:rsidR="00285498" w:rsidRPr="00B85D62" w:rsidRDefault="00285498" w:rsidP="00285498">
            <w:pPr>
              <w:rPr>
                <w:rFonts w:eastAsia="Calibri" w:cs="Arial"/>
              </w:rPr>
            </w:pPr>
            <w:r w:rsidRPr="00B85D62">
              <w:rPr>
                <w:rFonts w:eastAsia="Calibri" w:cs="Arial"/>
              </w:rPr>
              <w:t xml:space="preserve">Myocardial Infarction </w:t>
            </w:r>
          </w:p>
        </w:tc>
      </w:tr>
      <w:tr w:rsidR="00285498" w:rsidRPr="00B85D62" w14:paraId="06C30FCE" w14:textId="77777777" w:rsidTr="00B85D62">
        <w:trPr>
          <w:cantSplit/>
        </w:trPr>
        <w:tc>
          <w:tcPr>
            <w:tcW w:w="0" w:type="auto"/>
            <w:shd w:val="clear" w:color="auto" w:fill="auto"/>
          </w:tcPr>
          <w:p w14:paraId="4D716F67" w14:textId="77777777" w:rsidR="00285498" w:rsidRPr="00B85D62" w:rsidRDefault="00285498" w:rsidP="00285498">
            <w:pPr>
              <w:rPr>
                <w:rFonts w:eastAsia="Calibri" w:cs="Arial"/>
                <w:highlight w:val="magenta"/>
              </w:rPr>
            </w:pPr>
            <w:r w:rsidRPr="00B85D62">
              <w:rPr>
                <w:rFonts w:cs="Arial"/>
              </w:rPr>
              <w:t>NHS</w:t>
            </w:r>
          </w:p>
        </w:tc>
        <w:tc>
          <w:tcPr>
            <w:tcW w:w="0" w:type="auto"/>
            <w:shd w:val="clear" w:color="auto" w:fill="auto"/>
          </w:tcPr>
          <w:p w14:paraId="13CBA69A" w14:textId="77777777" w:rsidR="00285498" w:rsidRPr="00B85D62" w:rsidRDefault="00285498" w:rsidP="00285498">
            <w:pPr>
              <w:rPr>
                <w:rFonts w:eastAsia="Calibri" w:cs="Arial"/>
              </w:rPr>
            </w:pPr>
            <w:r w:rsidRPr="00B85D62">
              <w:rPr>
                <w:rFonts w:eastAsia="Calibri" w:cs="Arial"/>
              </w:rPr>
              <w:t>National Health Service</w:t>
            </w:r>
          </w:p>
        </w:tc>
      </w:tr>
      <w:tr w:rsidR="00285498" w:rsidRPr="00B85D62" w14:paraId="21618781" w14:textId="77777777" w:rsidTr="00B85D62">
        <w:trPr>
          <w:cantSplit/>
        </w:trPr>
        <w:tc>
          <w:tcPr>
            <w:tcW w:w="0" w:type="auto"/>
            <w:shd w:val="clear" w:color="auto" w:fill="auto"/>
          </w:tcPr>
          <w:p w14:paraId="04420B9C" w14:textId="77777777" w:rsidR="00285498" w:rsidRPr="00B85D62" w:rsidRDefault="00285498" w:rsidP="00285498">
            <w:pPr>
              <w:rPr>
                <w:rFonts w:eastAsia="Calibri" w:cs="Arial"/>
                <w:highlight w:val="magenta"/>
              </w:rPr>
            </w:pPr>
            <w:r w:rsidRPr="00B85D62">
              <w:rPr>
                <w:rFonts w:cs="Arial"/>
              </w:rPr>
              <w:lastRenderedPageBreak/>
              <w:t xml:space="preserve">NHSS </w:t>
            </w:r>
          </w:p>
        </w:tc>
        <w:tc>
          <w:tcPr>
            <w:tcW w:w="0" w:type="auto"/>
            <w:shd w:val="clear" w:color="auto" w:fill="auto"/>
          </w:tcPr>
          <w:p w14:paraId="74C414DE" w14:textId="3247F187" w:rsidR="00285498" w:rsidRPr="00B85D62" w:rsidRDefault="009338AC" w:rsidP="00285498">
            <w:pPr>
              <w:rPr>
                <w:rFonts w:eastAsia="Calibri" w:cs="Arial"/>
              </w:rPr>
            </w:pPr>
            <w:r w:rsidRPr="00B85D62">
              <w:rPr>
                <w:rFonts w:eastAsia="Calibri" w:cs="Arial"/>
              </w:rPr>
              <w:t>National Health Services Survey</w:t>
            </w:r>
          </w:p>
        </w:tc>
      </w:tr>
      <w:tr w:rsidR="00285498" w:rsidRPr="00B85D62" w14:paraId="6695FE19" w14:textId="77777777" w:rsidTr="00B85D62">
        <w:trPr>
          <w:cantSplit/>
        </w:trPr>
        <w:tc>
          <w:tcPr>
            <w:tcW w:w="0" w:type="auto"/>
            <w:shd w:val="clear" w:color="auto" w:fill="auto"/>
          </w:tcPr>
          <w:p w14:paraId="35982745" w14:textId="77777777" w:rsidR="00285498" w:rsidRPr="00B85D62" w:rsidRDefault="00285498" w:rsidP="00285498">
            <w:pPr>
              <w:rPr>
                <w:rFonts w:eastAsia="Calibri" w:cs="Arial"/>
                <w:highlight w:val="magenta"/>
              </w:rPr>
            </w:pPr>
            <w:r w:rsidRPr="00B85D62">
              <w:rPr>
                <w:rFonts w:cs="Arial"/>
              </w:rPr>
              <w:t xml:space="preserve">NRS </w:t>
            </w:r>
          </w:p>
        </w:tc>
        <w:tc>
          <w:tcPr>
            <w:tcW w:w="0" w:type="auto"/>
            <w:shd w:val="clear" w:color="auto" w:fill="auto"/>
          </w:tcPr>
          <w:p w14:paraId="29275FE1" w14:textId="77777777" w:rsidR="00285498" w:rsidRPr="00B85D62" w:rsidRDefault="00285498" w:rsidP="00285498">
            <w:pPr>
              <w:rPr>
                <w:rFonts w:eastAsia="Calibri" w:cs="Arial"/>
              </w:rPr>
            </w:pPr>
            <w:r w:rsidRPr="00B85D62">
              <w:rPr>
                <w:rFonts w:eastAsia="Calibri" w:cs="Arial"/>
              </w:rPr>
              <w:t xml:space="preserve">National Records Scotland </w:t>
            </w:r>
          </w:p>
        </w:tc>
      </w:tr>
      <w:tr w:rsidR="00285498" w:rsidRPr="00B85D62" w14:paraId="1FBD45AA" w14:textId="77777777" w:rsidTr="00B85D62">
        <w:trPr>
          <w:cantSplit/>
        </w:trPr>
        <w:tc>
          <w:tcPr>
            <w:tcW w:w="0" w:type="auto"/>
            <w:shd w:val="clear" w:color="auto" w:fill="auto"/>
          </w:tcPr>
          <w:p w14:paraId="2341EA3D" w14:textId="77777777" w:rsidR="00285498" w:rsidRPr="00B85D62" w:rsidRDefault="00285498" w:rsidP="00285498">
            <w:pPr>
              <w:rPr>
                <w:rFonts w:eastAsia="Calibri" w:cs="Arial"/>
                <w:highlight w:val="magenta"/>
              </w:rPr>
            </w:pPr>
            <w:r w:rsidRPr="00B85D62">
              <w:rPr>
                <w:rFonts w:cs="Arial"/>
              </w:rPr>
              <w:t>NICE</w:t>
            </w:r>
          </w:p>
        </w:tc>
        <w:tc>
          <w:tcPr>
            <w:tcW w:w="0" w:type="auto"/>
            <w:shd w:val="clear" w:color="auto" w:fill="auto"/>
          </w:tcPr>
          <w:p w14:paraId="32C3E1E1" w14:textId="77777777" w:rsidR="00285498" w:rsidRPr="00B85D62" w:rsidRDefault="00285498" w:rsidP="00285498">
            <w:pPr>
              <w:rPr>
                <w:rFonts w:eastAsia="Calibri" w:cs="Arial"/>
              </w:rPr>
            </w:pPr>
            <w:r w:rsidRPr="00B85D62">
              <w:rPr>
                <w:rFonts w:eastAsia="Calibri" w:cs="Arial"/>
              </w:rPr>
              <w:t>National Institute For Health And Care Excellence</w:t>
            </w:r>
          </w:p>
        </w:tc>
      </w:tr>
      <w:tr w:rsidR="00285498" w:rsidRPr="00B85D62" w14:paraId="2166A252" w14:textId="77777777" w:rsidTr="00B85D62">
        <w:trPr>
          <w:cantSplit/>
        </w:trPr>
        <w:tc>
          <w:tcPr>
            <w:tcW w:w="0" w:type="auto"/>
            <w:shd w:val="clear" w:color="auto" w:fill="auto"/>
          </w:tcPr>
          <w:p w14:paraId="1C3AE49E" w14:textId="77777777" w:rsidR="00285498" w:rsidRPr="00B85D62" w:rsidRDefault="00285498" w:rsidP="00285498">
            <w:pPr>
              <w:rPr>
                <w:rFonts w:eastAsia="Calibri" w:cs="Arial"/>
                <w:highlight w:val="magenta"/>
              </w:rPr>
            </w:pPr>
            <w:r w:rsidRPr="00B85D62">
              <w:rPr>
                <w:rFonts w:cs="Arial"/>
              </w:rPr>
              <w:t xml:space="preserve">ONS </w:t>
            </w:r>
          </w:p>
        </w:tc>
        <w:tc>
          <w:tcPr>
            <w:tcW w:w="0" w:type="auto"/>
            <w:shd w:val="clear" w:color="auto" w:fill="auto"/>
          </w:tcPr>
          <w:p w14:paraId="1A614A28" w14:textId="77777777" w:rsidR="00285498" w:rsidRPr="00B85D62" w:rsidRDefault="00285498" w:rsidP="00285498">
            <w:pPr>
              <w:rPr>
                <w:rFonts w:eastAsia="Calibri" w:cs="Arial"/>
              </w:rPr>
            </w:pPr>
            <w:r w:rsidRPr="00B85D62">
              <w:rPr>
                <w:rFonts w:eastAsia="Calibri" w:cs="Arial"/>
              </w:rPr>
              <w:t xml:space="preserve">Office National Statistics </w:t>
            </w:r>
          </w:p>
        </w:tc>
      </w:tr>
      <w:tr w:rsidR="00A705F4" w:rsidRPr="00B85D62" w14:paraId="060CCFB2" w14:textId="77777777" w:rsidTr="00B85D62">
        <w:trPr>
          <w:cantSplit/>
        </w:trPr>
        <w:tc>
          <w:tcPr>
            <w:tcW w:w="0" w:type="auto"/>
            <w:shd w:val="clear" w:color="auto" w:fill="auto"/>
          </w:tcPr>
          <w:p w14:paraId="6A69812C" w14:textId="482FDBA3" w:rsidR="00A705F4" w:rsidRPr="00B85D62" w:rsidRDefault="00A705F4" w:rsidP="00285498">
            <w:pPr>
              <w:rPr>
                <w:rFonts w:cs="Arial"/>
              </w:rPr>
            </w:pPr>
            <w:r w:rsidRPr="00B85D62">
              <w:rPr>
                <w:rFonts w:cs="Arial"/>
              </w:rPr>
              <w:t>PASS</w:t>
            </w:r>
          </w:p>
        </w:tc>
        <w:tc>
          <w:tcPr>
            <w:tcW w:w="0" w:type="auto"/>
            <w:shd w:val="clear" w:color="auto" w:fill="auto"/>
          </w:tcPr>
          <w:p w14:paraId="6C8D5BEF" w14:textId="1EABEBB5" w:rsidR="00A705F4" w:rsidRPr="00B85D62" w:rsidRDefault="00A705F4" w:rsidP="00A705F4">
            <w:pPr>
              <w:rPr>
                <w:rFonts w:eastAsia="Calibri" w:cs="Arial"/>
              </w:rPr>
            </w:pPr>
            <w:r w:rsidRPr="00B85D62">
              <w:rPr>
                <w:rFonts w:eastAsia="Calibri" w:cs="Arial"/>
              </w:rPr>
              <w:t>ProActive Software Solutions</w:t>
            </w:r>
          </w:p>
        </w:tc>
      </w:tr>
      <w:tr w:rsidR="00285498" w:rsidRPr="00B85D62" w14:paraId="2C65865E" w14:textId="77777777" w:rsidTr="00B85D62">
        <w:trPr>
          <w:cantSplit/>
        </w:trPr>
        <w:tc>
          <w:tcPr>
            <w:tcW w:w="0" w:type="auto"/>
            <w:shd w:val="clear" w:color="auto" w:fill="auto"/>
          </w:tcPr>
          <w:p w14:paraId="796DE9B2" w14:textId="77777777" w:rsidR="00285498" w:rsidRPr="00B85D62" w:rsidRDefault="00285498" w:rsidP="00285498">
            <w:pPr>
              <w:rPr>
                <w:rFonts w:cs="Arial"/>
              </w:rPr>
            </w:pPr>
            <w:r w:rsidRPr="00B85D62">
              <w:rPr>
                <w:rFonts w:cs="Arial"/>
              </w:rPr>
              <w:t>PBPP</w:t>
            </w:r>
          </w:p>
        </w:tc>
        <w:tc>
          <w:tcPr>
            <w:tcW w:w="0" w:type="auto"/>
            <w:shd w:val="clear" w:color="auto" w:fill="auto"/>
          </w:tcPr>
          <w:p w14:paraId="08AB3D91" w14:textId="77777777" w:rsidR="00285498" w:rsidRPr="00B85D62" w:rsidRDefault="00285498" w:rsidP="00285498">
            <w:pPr>
              <w:rPr>
                <w:rFonts w:eastAsia="Calibri" w:cs="Arial"/>
              </w:rPr>
            </w:pPr>
            <w:r w:rsidRPr="00B85D62">
              <w:rPr>
                <w:rFonts w:eastAsia="Calibri" w:cs="Arial"/>
              </w:rPr>
              <w:t xml:space="preserve">Public Benefit And Privacy Panel </w:t>
            </w:r>
          </w:p>
        </w:tc>
      </w:tr>
      <w:tr w:rsidR="00285498" w:rsidRPr="00B85D62" w14:paraId="189E79F2" w14:textId="77777777" w:rsidTr="00B85D62">
        <w:trPr>
          <w:cantSplit/>
        </w:trPr>
        <w:tc>
          <w:tcPr>
            <w:tcW w:w="0" w:type="auto"/>
            <w:shd w:val="clear" w:color="auto" w:fill="auto"/>
          </w:tcPr>
          <w:p w14:paraId="4DE0A1CF" w14:textId="77777777" w:rsidR="00285498" w:rsidRPr="00B85D62" w:rsidRDefault="00285498" w:rsidP="00285498">
            <w:pPr>
              <w:rPr>
                <w:rFonts w:cs="Arial"/>
              </w:rPr>
            </w:pPr>
            <w:r w:rsidRPr="00B85D62">
              <w:rPr>
                <w:rFonts w:cs="Arial"/>
              </w:rPr>
              <w:t xml:space="preserve">PCI </w:t>
            </w:r>
          </w:p>
        </w:tc>
        <w:tc>
          <w:tcPr>
            <w:tcW w:w="0" w:type="auto"/>
            <w:shd w:val="clear" w:color="auto" w:fill="auto"/>
          </w:tcPr>
          <w:p w14:paraId="3DAC5DFD" w14:textId="77777777" w:rsidR="00285498" w:rsidRPr="00B85D62" w:rsidRDefault="00285498" w:rsidP="00285498">
            <w:pPr>
              <w:rPr>
                <w:rFonts w:eastAsia="Calibri" w:cs="Arial"/>
              </w:rPr>
            </w:pPr>
            <w:r w:rsidRPr="00B85D62">
              <w:rPr>
                <w:rFonts w:eastAsia="Calibri" w:cs="Arial"/>
              </w:rPr>
              <w:t xml:space="preserve">Percutaneous Coronary Intervention </w:t>
            </w:r>
          </w:p>
        </w:tc>
      </w:tr>
      <w:tr w:rsidR="00285498" w:rsidRPr="00B85D62" w14:paraId="75A95874" w14:textId="77777777" w:rsidTr="00B85D62">
        <w:trPr>
          <w:cantSplit/>
        </w:trPr>
        <w:tc>
          <w:tcPr>
            <w:tcW w:w="0" w:type="auto"/>
            <w:shd w:val="clear" w:color="auto" w:fill="auto"/>
          </w:tcPr>
          <w:p w14:paraId="12B8F3E3" w14:textId="77777777" w:rsidR="00285498" w:rsidRPr="00B85D62" w:rsidRDefault="00285498" w:rsidP="00285498">
            <w:pPr>
              <w:rPr>
                <w:rFonts w:eastAsia="Calibri" w:cs="Arial"/>
                <w:highlight w:val="magenta"/>
              </w:rPr>
            </w:pPr>
            <w:r w:rsidRPr="00B85D62">
              <w:rPr>
                <w:rFonts w:cs="Arial"/>
              </w:rPr>
              <w:t>PCSK9</w:t>
            </w:r>
          </w:p>
        </w:tc>
        <w:tc>
          <w:tcPr>
            <w:tcW w:w="0" w:type="auto"/>
            <w:shd w:val="clear" w:color="auto" w:fill="auto"/>
          </w:tcPr>
          <w:p w14:paraId="5C70FD11" w14:textId="77777777" w:rsidR="00285498" w:rsidRPr="00B85D62" w:rsidRDefault="00285498" w:rsidP="00285498">
            <w:pPr>
              <w:rPr>
                <w:rFonts w:eastAsia="Calibri" w:cs="Arial"/>
              </w:rPr>
            </w:pPr>
            <w:r w:rsidRPr="00B85D62">
              <w:rPr>
                <w:rFonts w:eastAsia="Calibri" w:cs="Arial"/>
              </w:rPr>
              <w:t>Proprotein Convertase Subtilisin Kexin Type 9</w:t>
            </w:r>
          </w:p>
        </w:tc>
      </w:tr>
      <w:tr w:rsidR="00285498" w:rsidRPr="00B85D62" w14:paraId="5812604D" w14:textId="77777777" w:rsidTr="00B85D62">
        <w:trPr>
          <w:cantSplit/>
        </w:trPr>
        <w:tc>
          <w:tcPr>
            <w:tcW w:w="0" w:type="auto"/>
            <w:shd w:val="clear" w:color="auto" w:fill="auto"/>
          </w:tcPr>
          <w:p w14:paraId="7CB34DD4" w14:textId="77777777" w:rsidR="00285498" w:rsidRPr="00B85D62" w:rsidRDefault="00285498" w:rsidP="00285498">
            <w:pPr>
              <w:rPr>
                <w:rFonts w:cs="Arial"/>
              </w:rPr>
            </w:pPr>
            <w:r w:rsidRPr="00B85D62">
              <w:rPr>
                <w:rFonts w:cs="Arial"/>
              </w:rPr>
              <w:t xml:space="preserve">PIS </w:t>
            </w:r>
          </w:p>
        </w:tc>
        <w:tc>
          <w:tcPr>
            <w:tcW w:w="0" w:type="auto"/>
            <w:shd w:val="clear" w:color="auto" w:fill="auto"/>
          </w:tcPr>
          <w:p w14:paraId="05BDA93E" w14:textId="77777777" w:rsidR="00285498" w:rsidRPr="00B85D62" w:rsidRDefault="00285498" w:rsidP="00285498">
            <w:pPr>
              <w:rPr>
                <w:rFonts w:eastAsia="Calibri" w:cs="Arial"/>
              </w:rPr>
            </w:pPr>
            <w:r w:rsidRPr="00B85D62">
              <w:rPr>
                <w:rFonts w:eastAsia="Calibri" w:cs="Arial"/>
              </w:rPr>
              <w:t xml:space="preserve">Prescribing Information System </w:t>
            </w:r>
          </w:p>
        </w:tc>
      </w:tr>
      <w:tr w:rsidR="00285498" w:rsidRPr="00B85D62" w14:paraId="0E25E34E" w14:textId="77777777" w:rsidTr="00B85D62">
        <w:trPr>
          <w:cantSplit/>
        </w:trPr>
        <w:tc>
          <w:tcPr>
            <w:tcW w:w="0" w:type="auto"/>
            <w:shd w:val="clear" w:color="auto" w:fill="auto"/>
          </w:tcPr>
          <w:p w14:paraId="54054D54" w14:textId="77777777" w:rsidR="00285498" w:rsidRPr="00B85D62" w:rsidRDefault="00285498" w:rsidP="00285498">
            <w:pPr>
              <w:rPr>
                <w:rFonts w:cs="Arial"/>
              </w:rPr>
            </w:pPr>
            <w:r w:rsidRPr="00B85D62">
              <w:rPr>
                <w:rFonts w:cs="Arial"/>
              </w:rPr>
              <w:t>PRISMA</w:t>
            </w:r>
          </w:p>
        </w:tc>
        <w:tc>
          <w:tcPr>
            <w:tcW w:w="0" w:type="auto"/>
            <w:shd w:val="clear" w:color="auto" w:fill="auto"/>
          </w:tcPr>
          <w:p w14:paraId="6A7463CF" w14:textId="77777777" w:rsidR="00285498" w:rsidRPr="00B85D62" w:rsidRDefault="00285498" w:rsidP="00285498">
            <w:pPr>
              <w:rPr>
                <w:rFonts w:eastAsia="Calibri" w:cs="Arial"/>
              </w:rPr>
            </w:pPr>
            <w:r w:rsidRPr="00B85D62">
              <w:rPr>
                <w:rFonts w:eastAsia="Calibri" w:cs="Arial"/>
              </w:rPr>
              <w:t>Preferred Reporting Items for Systematic Reviews And Meta-Analyses</w:t>
            </w:r>
          </w:p>
        </w:tc>
      </w:tr>
      <w:tr w:rsidR="00285498" w:rsidRPr="00B85D62" w14:paraId="5623ADAF" w14:textId="77777777" w:rsidTr="00B85D62">
        <w:trPr>
          <w:cantSplit/>
        </w:trPr>
        <w:tc>
          <w:tcPr>
            <w:tcW w:w="0" w:type="auto"/>
            <w:shd w:val="clear" w:color="auto" w:fill="auto"/>
          </w:tcPr>
          <w:p w14:paraId="5E8DD86A" w14:textId="77777777" w:rsidR="00285498" w:rsidRPr="00B85D62" w:rsidRDefault="00285498" w:rsidP="00285498">
            <w:pPr>
              <w:rPr>
                <w:rFonts w:cs="Arial"/>
              </w:rPr>
            </w:pPr>
            <w:r w:rsidRPr="00B85D62">
              <w:rPr>
                <w:rFonts w:cs="Arial"/>
              </w:rPr>
              <w:t xml:space="preserve">PVD </w:t>
            </w:r>
          </w:p>
        </w:tc>
        <w:tc>
          <w:tcPr>
            <w:tcW w:w="0" w:type="auto"/>
            <w:shd w:val="clear" w:color="auto" w:fill="auto"/>
          </w:tcPr>
          <w:p w14:paraId="02B43360" w14:textId="77777777" w:rsidR="00285498" w:rsidRPr="00B85D62" w:rsidRDefault="00285498" w:rsidP="00285498">
            <w:pPr>
              <w:rPr>
                <w:rFonts w:eastAsia="Calibri" w:cs="Arial"/>
              </w:rPr>
            </w:pPr>
            <w:r w:rsidRPr="00B85D62">
              <w:rPr>
                <w:rFonts w:eastAsia="Calibri" w:cs="Arial"/>
              </w:rPr>
              <w:t>Peripheral Vascular Disease</w:t>
            </w:r>
          </w:p>
        </w:tc>
      </w:tr>
      <w:tr w:rsidR="00285498" w:rsidRPr="00B85D62" w14:paraId="136A62DC" w14:textId="77777777" w:rsidTr="00B85D62">
        <w:trPr>
          <w:cantSplit/>
        </w:trPr>
        <w:tc>
          <w:tcPr>
            <w:tcW w:w="0" w:type="auto"/>
            <w:shd w:val="clear" w:color="auto" w:fill="auto"/>
          </w:tcPr>
          <w:p w14:paraId="31CAFB2D" w14:textId="77777777" w:rsidR="00285498" w:rsidRPr="00B85D62" w:rsidRDefault="00285498" w:rsidP="00285498">
            <w:pPr>
              <w:rPr>
                <w:rFonts w:cs="Arial"/>
              </w:rPr>
            </w:pPr>
            <w:r w:rsidRPr="00B85D62">
              <w:rPr>
                <w:rFonts w:cs="Arial"/>
              </w:rPr>
              <w:t xml:space="preserve">QALYS </w:t>
            </w:r>
          </w:p>
        </w:tc>
        <w:tc>
          <w:tcPr>
            <w:tcW w:w="0" w:type="auto"/>
            <w:shd w:val="clear" w:color="auto" w:fill="auto"/>
          </w:tcPr>
          <w:p w14:paraId="5312CDB4" w14:textId="7238FB59" w:rsidR="00285498" w:rsidRPr="00B85D62" w:rsidRDefault="00B85D62" w:rsidP="00285498">
            <w:pPr>
              <w:rPr>
                <w:rFonts w:eastAsia="Calibri" w:cs="Arial"/>
              </w:rPr>
            </w:pPr>
            <w:r w:rsidRPr="00B85D62">
              <w:rPr>
                <w:rFonts w:eastAsia="Calibri" w:cs="Arial"/>
                <w:color w:val="00B0F0"/>
              </w:rPr>
              <w:t>Quality-adjusted</w:t>
            </w:r>
            <w:r w:rsidR="00285498" w:rsidRPr="00B85D62">
              <w:rPr>
                <w:rFonts w:eastAsia="Calibri" w:cs="Arial"/>
              </w:rPr>
              <w:t xml:space="preserve"> </w:t>
            </w:r>
            <w:r w:rsidRPr="00B85D62">
              <w:rPr>
                <w:rFonts w:eastAsia="Calibri" w:cs="Arial"/>
                <w:color w:val="00B0F0"/>
              </w:rPr>
              <w:t>Life-year</w:t>
            </w:r>
            <w:r w:rsidR="00285498" w:rsidRPr="00B85D62">
              <w:rPr>
                <w:rFonts w:eastAsia="Calibri" w:cs="Arial"/>
              </w:rPr>
              <w:t xml:space="preserve">s </w:t>
            </w:r>
          </w:p>
        </w:tc>
      </w:tr>
      <w:tr w:rsidR="00285498" w:rsidRPr="00B85D62" w14:paraId="3F766E10" w14:textId="77777777" w:rsidTr="00B85D62">
        <w:trPr>
          <w:cantSplit/>
        </w:trPr>
        <w:tc>
          <w:tcPr>
            <w:tcW w:w="0" w:type="auto"/>
            <w:shd w:val="clear" w:color="auto" w:fill="auto"/>
          </w:tcPr>
          <w:p w14:paraId="735F5E0C" w14:textId="4AA46B6A" w:rsidR="00285498" w:rsidRPr="00B85D62" w:rsidRDefault="00285498" w:rsidP="00285498">
            <w:pPr>
              <w:rPr>
                <w:rFonts w:cs="Arial"/>
              </w:rPr>
            </w:pPr>
            <w:r w:rsidRPr="00B85D62">
              <w:rPr>
                <w:rFonts w:cs="Arial"/>
              </w:rPr>
              <w:t>QUADA</w:t>
            </w:r>
            <w:r w:rsidR="00B85D62" w:rsidRPr="00B85D62">
              <w:rPr>
                <w:rFonts w:cs="Arial"/>
                <w:color w:val="00B0F0"/>
              </w:rPr>
              <w:t>S</w:t>
            </w:r>
            <w:r w:rsidR="00B85D62" w:rsidRPr="00B85D62">
              <w:rPr>
                <w:rFonts w:cs="Arial"/>
                <w:color w:val="00B0F0"/>
              </w:rPr>
              <w:t>-</w:t>
            </w:r>
            <w:r w:rsidR="00B85D62" w:rsidRPr="00B85D62">
              <w:rPr>
                <w:rFonts w:cs="Arial"/>
                <w:color w:val="00B0F0"/>
              </w:rPr>
              <w:t>2</w:t>
            </w:r>
          </w:p>
        </w:tc>
        <w:tc>
          <w:tcPr>
            <w:tcW w:w="0" w:type="auto"/>
            <w:shd w:val="clear" w:color="auto" w:fill="auto"/>
          </w:tcPr>
          <w:p w14:paraId="2CA7E12E" w14:textId="77777777" w:rsidR="00285498" w:rsidRPr="00B85D62" w:rsidRDefault="00285498" w:rsidP="00285498">
            <w:pPr>
              <w:rPr>
                <w:rFonts w:eastAsia="Calibri" w:cs="Arial"/>
              </w:rPr>
            </w:pPr>
            <w:r w:rsidRPr="00B85D62">
              <w:rPr>
                <w:rFonts w:eastAsia="Calibri" w:cs="Arial"/>
              </w:rPr>
              <w:t xml:space="preserve">Quality Assessment of Diagnostic Accuracy Studies </w:t>
            </w:r>
          </w:p>
        </w:tc>
      </w:tr>
      <w:tr w:rsidR="00285498" w:rsidRPr="00B85D62" w14:paraId="439268DB" w14:textId="77777777" w:rsidTr="00B85D62">
        <w:trPr>
          <w:cantSplit/>
        </w:trPr>
        <w:tc>
          <w:tcPr>
            <w:tcW w:w="0" w:type="auto"/>
            <w:shd w:val="clear" w:color="auto" w:fill="auto"/>
          </w:tcPr>
          <w:p w14:paraId="3D69392C" w14:textId="77777777" w:rsidR="00285498" w:rsidRPr="00B85D62" w:rsidRDefault="00285498" w:rsidP="00285498">
            <w:pPr>
              <w:rPr>
                <w:rFonts w:cs="Arial"/>
              </w:rPr>
            </w:pPr>
            <w:r w:rsidRPr="00B85D62">
              <w:rPr>
                <w:rFonts w:cs="Arial"/>
              </w:rPr>
              <w:t xml:space="preserve">R&amp;D </w:t>
            </w:r>
          </w:p>
        </w:tc>
        <w:tc>
          <w:tcPr>
            <w:tcW w:w="0" w:type="auto"/>
            <w:shd w:val="clear" w:color="auto" w:fill="auto"/>
          </w:tcPr>
          <w:p w14:paraId="08C33344" w14:textId="77777777" w:rsidR="00285498" w:rsidRPr="00B85D62" w:rsidRDefault="00285498" w:rsidP="00285498">
            <w:pPr>
              <w:rPr>
                <w:rFonts w:eastAsia="Calibri" w:cs="Arial"/>
              </w:rPr>
            </w:pPr>
            <w:r w:rsidRPr="00B85D62">
              <w:rPr>
                <w:rFonts w:eastAsia="Calibri" w:cs="Arial"/>
              </w:rPr>
              <w:t xml:space="preserve">Research &amp; Development </w:t>
            </w:r>
          </w:p>
        </w:tc>
      </w:tr>
      <w:tr w:rsidR="00285498" w:rsidRPr="00B85D62" w14:paraId="24718D37" w14:textId="77777777" w:rsidTr="00B85D62">
        <w:trPr>
          <w:cantSplit/>
        </w:trPr>
        <w:tc>
          <w:tcPr>
            <w:tcW w:w="0" w:type="auto"/>
            <w:shd w:val="clear" w:color="auto" w:fill="auto"/>
          </w:tcPr>
          <w:p w14:paraId="62CD7964" w14:textId="77777777" w:rsidR="00285498" w:rsidRPr="00B85D62" w:rsidRDefault="00285498" w:rsidP="00285498">
            <w:pPr>
              <w:rPr>
                <w:rFonts w:cs="Arial"/>
              </w:rPr>
            </w:pPr>
            <w:r w:rsidRPr="00B85D62">
              <w:rPr>
                <w:rFonts w:cs="Arial"/>
              </w:rPr>
              <w:t xml:space="preserve">SB </w:t>
            </w:r>
          </w:p>
        </w:tc>
        <w:tc>
          <w:tcPr>
            <w:tcW w:w="0" w:type="auto"/>
            <w:shd w:val="clear" w:color="auto" w:fill="auto"/>
          </w:tcPr>
          <w:p w14:paraId="7FB6D760" w14:textId="214F605F" w:rsidR="00285498" w:rsidRPr="00B85D62" w:rsidRDefault="00537ABE" w:rsidP="00285498">
            <w:pPr>
              <w:rPr>
                <w:rFonts w:eastAsia="Calibri" w:cs="Arial"/>
              </w:rPr>
            </w:pPr>
            <w:r w:rsidRPr="00B85D62">
              <w:rPr>
                <w:rFonts w:eastAsia="Calibri" w:cs="Arial"/>
              </w:rPr>
              <w:t>Simon Broome</w:t>
            </w:r>
          </w:p>
        </w:tc>
      </w:tr>
      <w:tr w:rsidR="00285498" w:rsidRPr="00B85D62" w14:paraId="19DE04D8" w14:textId="77777777" w:rsidTr="00B85D62">
        <w:trPr>
          <w:cantSplit/>
        </w:trPr>
        <w:tc>
          <w:tcPr>
            <w:tcW w:w="0" w:type="auto"/>
            <w:shd w:val="clear" w:color="auto" w:fill="auto"/>
          </w:tcPr>
          <w:p w14:paraId="33433CE4" w14:textId="77777777" w:rsidR="00285498" w:rsidRPr="00B85D62" w:rsidRDefault="00285498" w:rsidP="00285498">
            <w:pPr>
              <w:rPr>
                <w:rFonts w:cs="Arial"/>
              </w:rPr>
            </w:pPr>
            <w:r w:rsidRPr="00B85D62">
              <w:rPr>
                <w:rFonts w:cs="Arial"/>
              </w:rPr>
              <w:t>SD</w:t>
            </w:r>
          </w:p>
        </w:tc>
        <w:tc>
          <w:tcPr>
            <w:tcW w:w="0" w:type="auto"/>
            <w:shd w:val="clear" w:color="auto" w:fill="auto"/>
          </w:tcPr>
          <w:p w14:paraId="3583BC5D" w14:textId="77777777" w:rsidR="00285498" w:rsidRPr="00B85D62" w:rsidRDefault="00285498" w:rsidP="00285498">
            <w:pPr>
              <w:rPr>
                <w:rFonts w:eastAsia="Calibri" w:cs="Arial"/>
              </w:rPr>
            </w:pPr>
            <w:r w:rsidRPr="00B85D62">
              <w:rPr>
                <w:rFonts w:eastAsia="Calibri" w:cs="Arial"/>
              </w:rPr>
              <w:t xml:space="preserve">Standard Deviation </w:t>
            </w:r>
          </w:p>
        </w:tc>
      </w:tr>
      <w:tr w:rsidR="00285498" w:rsidRPr="00B85D62" w14:paraId="48827A61" w14:textId="77777777" w:rsidTr="00B85D62">
        <w:trPr>
          <w:cantSplit/>
        </w:trPr>
        <w:tc>
          <w:tcPr>
            <w:tcW w:w="0" w:type="auto"/>
            <w:shd w:val="clear" w:color="auto" w:fill="auto"/>
          </w:tcPr>
          <w:p w14:paraId="756C89C3" w14:textId="77777777" w:rsidR="00285498" w:rsidRPr="00B85D62" w:rsidRDefault="00285498" w:rsidP="00285498">
            <w:pPr>
              <w:rPr>
                <w:rFonts w:cs="Arial"/>
              </w:rPr>
            </w:pPr>
            <w:r w:rsidRPr="00B85D62">
              <w:rPr>
                <w:rFonts w:cs="Arial"/>
              </w:rPr>
              <w:t>SMbR</w:t>
            </w:r>
          </w:p>
        </w:tc>
        <w:tc>
          <w:tcPr>
            <w:tcW w:w="0" w:type="auto"/>
            <w:shd w:val="clear" w:color="auto" w:fill="auto"/>
          </w:tcPr>
          <w:p w14:paraId="5FEDFFFD" w14:textId="77777777" w:rsidR="00285498" w:rsidRPr="00B85D62" w:rsidRDefault="00285498" w:rsidP="00285498">
            <w:pPr>
              <w:rPr>
                <w:rFonts w:eastAsia="Calibri" w:cs="Arial"/>
              </w:rPr>
            </w:pPr>
            <w:r w:rsidRPr="00B85D62">
              <w:rPr>
                <w:rFonts w:eastAsia="Calibri" w:cs="Arial"/>
              </w:rPr>
              <w:t>Standardised Morbidity Ratios</w:t>
            </w:r>
          </w:p>
        </w:tc>
      </w:tr>
      <w:tr w:rsidR="00285498" w:rsidRPr="00B85D62" w14:paraId="0D07B977" w14:textId="77777777" w:rsidTr="00B85D62">
        <w:trPr>
          <w:cantSplit/>
        </w:trPr>
        <w:tc>
          <w:tcPr>
            <w:tcW w:w="0" w:type="auto"/>
            <w:shd w:val="clear" w:color="auto" w:fill="auto"/>
          </w:tcPr>
          <w:p w14:paraId="4ABDDC20" w14:textId="77777777" w:rsidR="00285498" w:rsidRPr="00B85D62" w:rsidRDefault="00285498" w:rsidP="00285498">
            <w:pPr>
              <w:rPr>
                <w:rFonts w:cs="Arial"/>
              </w:rPr>
            </w:pPr>
            <w:r w:rsidRPr="00B85D62">
              <w:rPr>
                <w:rFonts w:cs="Arial"/>
              </w:rPr>
              <w:t xml:space="preserve">TC </w:t>
            </w:r>
          </w:p>
        </w:tc>
        <w:tc>
          <w:tcPr>
            <w:tcW w:w="0" w:type="auto"/>
            <w:shd w:val="clear" w:color="auto" w:fill="auto"/>
          </w:tcPr>
          <w:p w14:paraId="70B28E3D" w14:textId="77777777" w:rsidR="00285498" w:rsidRPr="00B85D62" w:rsidRDefault="00285498" w:rsidP="00285498">
            <w:pPr>
              <w:rPr>
                <w:rFonts w:eastAsia="Calibri" w:cs="Arial"/>
              </w:rPr>
            </w:pPr>
            <w:r w:rsidRPr="00B85D62">
              <w:rPr>
                <w:rFonts w:eastAsia="Calibri" w:cs="Arial"/>
              </w:rPr>
              <w:t xml:space="preserve">Total Cholesterol </w:t>
            </w:r>
          </w:p>
        </w:tc>
      </w:tr>
      <w:tr w:rsidR="00285498" w:rsidRPr="00B85D62" w14:paraId="5E462F06" w14:textId="77777777" w:rsidTr="00B85D62">
        <w:trPr>
          <w:cantSplit/>
        </w:trPr>
        <w:tc>
          <w:tcPr>
            <w:tcW w:w="0" w:type="auto"/>
            <w:shd w:val="clear" w:color="auto" w:fill="auto"/>
          </w:tcPr>
          <w:p w14:paraId="7C62D515" w14:textId="77777777" w:rsidR="00285498" w:rsidRPr="00B85D62" w:rsidRDefault="00285498" w:rsidP="00285498">
            <w:pPr>
              <w:rPr>
                <w:rFonts w:cs="Arial"/>
              </w:rPr>
            </w:pPr>
            <w:r w:rsidRPr="00B85D62">
              <w:rPr>
                <w:rFonts w:cs="Arial"/>
              </w:rPr>
              <w:t>TIA</w:t>
            </w:r>
          </w:p>
        </w:tc>
        <w:tc>
          <w:tcPr>
            <w:tcW w:w="0" w:type="auto"/>
            <w:shd w:val="clear" w:color="auto" w:fill="auto"/>
          </w:tcPr>
          <w:p w14:paraId="76957213" w14:textId="77777777" w:rsidR="00285498" w:rsidRPr="00B85D62" w:rsidRDefault="00285498" w:rsidP="00285498">
            <w:pPr>
              <w:rPr>
                <w:rFonts w:eastAsia="Calibri" w:cs="Arial"/>
              </w:rPr>
            </w:pPr>
            <w:r w:rsidRPr="00B85D62">
              <w:rPr>
                <w:rFonts w:eastAsia="Calibri" w:cs="Arial"/>
              </w:rPr>
              <w:t>Transient Ischaemic Attack</w:t>
            </w:r>
          </w:p>
        </w:tc>
      </w:tr>
      <w:tr w:rsidR="00285498" w:rsidRPr="00B85D62" w14:paraId="1F9D16AE" w14:textId="77777777" w:rsidTr="00B85D62">
        <w:trPr>
          <w:cantSplit/>
        </w:trPr>
        <w:tc>
          <w:tcPr>
            <w:tcW w:w="0" w:type="auto"/>
            <w:shd w:val="clear" w:color="auto" w:fill="auto"/>
          </w:tcPr>
          <w:p w14:paraId="4586D737" w14:textId="77777777" w:rsidR="00285498" w:rsidRPr="00B85D62" w:rsidRDefault="00285498" w:rsidP="00285498">
            <w:pPr>
              <w:rPr>
                <w:rFonts w:cs="Arial"/>
              </w:rPr>
            </w:pPr>
            <w:r w:rsidRPr="00B85D62">
              <w:rPr>
                <w:rFonts w:cs="Arial"/>
              </w:rPr>
              <w:t>VUS</w:t>
            </w:r>
          </w:p>
        </w:tc>
        <w:tc>
          <w:tcPr>
            <w:tcW w:w="0" w:type="auto"/>
            <w:shd w:val="clear" w:color="auto" w:fill="auto"/>
          </w:tcPr>
          <w:p w14:paraId="60FB313F" w14:textId="77777777" w:rsidR="00285498" w:rsidRPr="00B85D62" w:rsidRDefault="00285498" w:rsidP="00285498">
            <w:pPr>
              <w:rPr>
                <w:rFonts w:eastAsia="Calibri" w:cs="Arial"/>
              </w:rPr>
            </w:pPr>
            <w:r w:rsidRPr="00B85D62">
              <w:rPr>
                <w:rFonts w:eastAsia="Calibri" w:cs="Arial"/>
              </w:rPr>
              <w:t>Variant of Uncertain Significance</w:t>
            </w:r>
          </w:p>
        </w:tc>
      </w:tr>
      <w:tr w:rsidR="00285498" w:rsidRPr="00B85D62" w14:paraId="46E99F65" w14:textId="77777777" w:rsidTr="00B85D62">
        <w:trPr>
          <w:cantSplit/>
        </w:trPr>
        <w:tc>
          <w:tcPr>
            <w:tcW w:w="0" w:type="auto"/>
            <w:shd w:val="clear" w:color="auto" w:fill="auto"/>
          </w:tcPr>
          <w:p w14:paraId="687BCE0D" w14:textId="77777777" w:rsidR="00285498" w:rsidRPr="00B85D62" w:rsidRDefault="00285498" w:rsidP="00285498">
            <w:pPr>
              <w:rPr>
                <w:rFonts w:cs="Arial"/>
              </w:rPr>
            </w:pPr>
            <w:r w:rsidRPr="00B85D62">
              <w:rPr>
                <w:rFonts w:cs="Arial"/>
              </w:rPr>
              <w:t>WDLCN</w:t>
            </w:r>
          </w:p>
        </w:tc>
        <w:tc>
          <w:tcPr>
            <w:tcW w:w="0" w:type="auto"/>
            <w:shd w:val="clear" w:color="auto" w:fill="auto"/>
          </w:tcPr>
          <w:p w14:paraId="709CB571" w14:textId="77777777" w:rsidR="00285498" w:rsidRPr="00B85D62" w:rsidRDefault="00285498" w:rsidP="00285498">
            <w:pPr>
              <w:rPr>
                <w:rFonts w:eastAsia="Calibri" w:cs="Arial"/>
              </w:rPr>
            </w:pPr>
            <w:r w:rsidRPr="00B85D62">
              <w:rPr>
                <w:rFonts w:eastAsia="Calibri" w:cs="Arial"/>
              </w:rPr>
              <w:t>Welsh modified Dutch Lipid Clinic Network</w:t>
            </w:r>
          </w:p>
        </w:tc>
      </w:tr>
      <w:bookmarkEnd w:id="5"/>
    </w:tbl>
    <w:p w14:paraId="0ACD03BA" w14:textId="77777777" w:rsidR="00B85D62" w:rsidRPr="00B85D62" w:rsidRDefault="00B85D62" w:rsidP="00285498">
      <w:pPr>
        <w:rPr>
          <w:rFonts w:eastAsia="Calibri" w:cs="Arial"/>
          <w:b/>
        </w:rPr>
      </w:pPr>
    </w:p>
    <w:p w14:paraId="39707DED" w14:textId="32A8A4F4" w:rsidR="00B85D62" w:rsidRPr="00B85D62" w:rsidRDefault="2A76D8D7" w:rsidP="00B63AF8">
      <w:pPr>
        <w:pStyle w:val="Heading1"/>
        <w:spacing w:line="360" w:lineRule="auto"/>
        <w:rPr>
          <w:rFonts w:ascii="Arial" w:hAnsi="Arial" w:cs="Arial"/>
          <w:sz w:val="22"/>
          <w:szCs w:val="22"/>
        </w:rPr>
      </w:pPr>
      <w:bookmarkStart w:id="6" w:name="_Toc107157431"/>
      <w:r w:rsidRPr="00B85D62">
        <w:rPr>
          <w:rFonts w:ascii="Arial" w:hAnsi="Arial" w:cs="Arial"/>
          <w:sz w:val="22"/>
          <w:szCs w:val="22"/>
        </w:rPr>
        <w:t>Plain English Summary</w:t>
      </w:r>
      <w:bookmarkEnd w:id="6"/>
    </w:p>
    <w:p w14:paraId="1785F878" w14:textId="1A5EB35D" w:rsidR="00DD2782" w:rsidRPr="00B85D62" w:rsidRDefault="00DD2782" w:rsidP="00DD2782">
      <w:pPr>
        <w:rPr>
          <w:rFonts w:eastAsia="Calibri" w:cs="Arial"/>
        </w:rPr>
      </w:pPr>
      <w:bookmarkStart w:id="7" w:name="_Toc76461023"/>
      <w:r w:rsidRPr="00B85D62">
        <w:rPr>
          <w:rFonts w:eastAsia="Calibri" w:cs="Arial"/>
        </w:rPr>
        <w:t>Familial hypercholesterolemia (FH) is an inherited condition that causes raised cholesterol levels from birth and increases risk of heart disease if left untreated. After someone in a family is found to have FH (called an index case), their close relatives need to be contacted and checked to see if they have FH,</w:t>
      </w:r>
      <w:r w:rsidRPr="00B85D62">
        <w:t xml:space="preserve"> </w:t>
      </w:r>
      <w:r w:rsidRPr="00B85D62">
        <w:rPr>
          <w:rFonts w:eastAsia="Calibri" w:cs="Arial"/>
        </w:rPr>
        <w:t xml:space="preserve">using genetic or cholesterol testing. This is called </w:t>
      </w:r>
      <w:r w:rsidR="00B85D62" w:rsidRPr="00B85D62">
        <w:rPr>
          <w:rFonts w:eastAsia="Calibri" w:cs="Arial"/>
        </w:rPr>
        <w:t>‘</w:t>
      </w:r>
      <w:r w:rsidRPr="00B85D62">
        <w:rPr>
          <w:rFonts w:eastAsia="Calibri" w:cs="Arial"/>
        </w:rPr>
        <w:t>cascade testing</w:t>
      </w:r>
      <w:r w:rsidR="00B85D62" w:rsidRPr="00B85D62">
        <w:rPr>
          <w:rFonts w:eastAsia="Calibri" w:cs="Arial"/>
        </w:rPr>
        <w:t>’</w:t>
      </w:r>
      <w:r w:rsidRPr="00B85D62">
        <w:rPr>
          <w:rFonts w:eastAsia="Calibri" w:cs="Arial"/>
        </w:rPr>
        <w:t>. We planned to find the most cost-effective and acceptable way to do this.</w:t>
      </w:r>
    </w:p>
    <w:p w14:paraId="10966919" w14:textId="44540C4E" w:rsidR="00B85D62" w:rsidRPr="00B85D62" w:rsidRDefault="00DD2782" w:rsidP="00DD2782">
      <w:pPr>
        <w:rPr>
          <w:rFonts w:eastAsia="Calibri" w:cs="Arial"/>
        </w:rPr>
      </w:pPr>
      <w:r w:rsidRPr="00B85D62">
        <w:rPr>
          <w:rFonts w:eastAsia="Calibri" w:cs="Arial"/>
        </w:rPr>
        <w:t xml:space="preserve">The relatives could be contacted for testing by the index case (indirect approach), through a healthcare professional (direct approach) or a combination of both approaches. We found, based on looking at hospital records, more relatives were tested if healthcare professionals directly contacted relatives. In previous studies slightly more relatives were tested for FH with a combination approach. Interviews with patients also suggested the direct approach was most effective but the most acceptable and successful approach depends on family relationships; in some families using one approach </w:t>
      </w:r>
      <w:r w:rsidR="00B85D62" w:rsidRPr="00B85D62">
        <w:rPr>
          <w:rFonts w:eastAsia="Calibri" w:cs="Arial"/>
          <w:color w:val="00B0F0"/>
        </w:rPr>
        <w:t>while</w:t>
      </w:r>
      <w:r w:rsidRPr="00B85D62">
        <w:rPr>
          <w:rFonts w:eastAsia="Calibri" w:cs="Arial"/>
        </w:rPr>
        <w:t xml:space="preserve"> in others using both.</w:t>
      </w:r>
    </w:p>
    <w:p w14:paraId="4A6B71B3" w14:textId="77777777" w:rsidR="00B85D62" w:rsidRPr="00B85D62" w:rsidRDefault="00DD2782" w:rsidP="00DD2782">
      <w:pPr>
        <w:rPr>
          <w:rFonts w:eastAsia="Calibri" w:cs="Arial"/>
        </w:rPr>
      </w:pPr>
      <w:r w:rsidRPr="00B85D62">
        <w:rPr>
          <w:rFonts w:eastAsia="Calibri" w:cs="Arial"/>
        </w:rPr>
        <w:t xml:space="preserve">Also, by looking at the healthcare records of large numbers of patients, we confirmed people with recorded diagnosis of FH in GP records have a much higher risk of heart disease </w:t>
      </w:r>
      <w:r w:rsidRPr="00B85D62">
        <w:rPr>
          <w:rFonts w:eastAsia="Calibri" w:cs="Arial"/>
          <w:highlight w:val="magenta"/>
        </w:rPr>
        <w:t>compared to</w:t>
      </w:r>
      <w:r w:rsidRPr="00B85D62">
        <w:rPr>
          <w:rFonts w:eastAsia="Calibri" w:cs="Arial"/>
        </w:rPr>
        <w:t xml:space="preserve"> the general population, and</w:t>
      </w:r>
      <w:r w:rsidR="00B85D62" w:rsidRPr="00B85D62">
        <w:rPr>
          <w:rFonts w:eastAsia="Calibri" w:cs="Arial"/>
        </w:rPr>
        <w:t xml:space="preserve"> </w:t>
      </w:r>
      <w:r w:rsidRPr="00B85D62">
        <w:rPr>
          <w:rFonts w:eastAsia="Calibri" w:cs="Arial"/>
        </w:rPr>
        <w:t>this was especially so for those with previous heart disease and/or raised cholesterols levels when diagnosed. However, a quarter of new patients with FH recorded in their records were not treated within two years, with less than a third reaching recommended cholesterol levels.</w:t>
      </w:r>
    </w:p>
    <w:p w14:paraId="0E620805" w14:textId="754A9CBA" w:rsidR="00DD2782" w:rsidRPr="00B85D62" w:rsidRDefault="00DD2782" w:rsidP="00DD2782">
      <w:pPr>
        <w:rPr>
          <w:rFonts w:eastAsia="Calibri" w:cs="Arial"/>
        </w:rPr>
      </w:pPr>
      <w:r w:rsidRPr="00B85D62">
        <w:rPr>
          <w:rFonts w:eastAsia="Calibri" w:cs="Arial"/>
        </w:rPr>
        <w:t xml:space="preserve">We used what we had learned so far to help us estimate the most cost-effective way to do cascade testing. This showed that if the health service </w:t>
      </w:r>
      <w:r w:rsidRPr="00B85D62">
        <w:rPr>
          <w:rFonts w:eastAsia="Calibri" w:cs="Arial"/>
          <w:shd w:val="clear" w:color="auto" w:fill="E6E6E6"/>
        </w:rPr>
        <w:t>directly contact</w:t>
      </w:r>
      <w:r w:rsidRPr="00B85D62">
        <w:rPr>
          <w:rFonts w:eastAsia="Calibri" w:cs="Arial"/>
        </w:rPr>
        <w:t xml:space="preserve"> all relatives simultaneously for further assessment, rather than the current approach where close (first-degree) relatives are contacted first, this was cost-effective and good value for money.</w:t>
      </w:r>
    </w:p>
    <w:p w14:paraId="5A1EE07F" w14:textId="77777777" w:rsidR="00B85D62" w:rsidRPr="00B85D62" w:rsidRDefault="00B85D62" w:rsidP="00B63AF8">
      <w:pPr>
        <w:pStyle w:val="Heading1"/>
        <w:spacing w:line="360" w:lineRule="auto"/>
        <w:rPr>
          <w:rFonts w:ascii="Arial" w:eastAsia="Arial" w:hAnsi="Arial" w:cs="Arial"/>
          <w:sz w:val="22"/>
          <w:szCs w:val="22"/>
        </w:rPr>
      </w:pPr>
      <w:r w:rsidRPr="00B85D62">
        <w:rPr>
          <w:highlight w:val="green"/>
        </w:rPr>
        <w:t xml:space="preserve">  </w:t>
      </w:r>
      <w:bookmarkStart w:id="8" w:name="_3wn0yvtyhm8q"/>
      <w:bookmarkStart w:id="9" w:name="_Toc61283483"/>
      <w:bookmarkStart w:id="10" w:name="_Toc71708222"/>
      <w:bookmarkStart w:id="11" w:name="_m0pdh0nkpqa2"/>
      <w:bookmarkStart w:id="12" w:name="_z5mjk5axo39v"/>
      <w:bookmarkStart w:id="13" w:name="_Toc107157432"/>
      <w:bookmarkStart w:id="14" w:name="_Toc76461024"/>
      <w:bookmarkEnd w:id="7"/>
      <w:bookmarkEnd w:id="8"/>
      <w:bookmarkEnd w:id="9"/>
      <w:bookmarkEnd w:id="10"/>
      <w:bookmarkEnd w:id="11"/>
      <w:bookmarkEnd w:id="12"/>
      <w:r w:rsidR="0032777F" w:rsidRPr="00B85D62">
        <w:rPr>
          <w:rFonts w:ascii="Arial" w:eastAsia="Arial" w:hAnsi="Arial" w:cs="Arial"/>
          <w:sz w:val="22"/>
          <w:szCs w:val="22"/>
        </w:rPr>
        <w:t>Scientific summary</w:t>
      </w:r>
      <w:bookmarkEnd w:id="13"/>
      <w:r w:rsidR="0032777F" w:rsidRPr="00B85D62">
        <w:rPr>
          <w:rFonts w:ascii="Arial" w:eastAsia="Arial" w:hAnsi="Arial" w:cs="Arial"/>
          <w:sz w:val="22"/>
          <w:szCs w:val="22"/>
        </w:rPr>
        <w:tab/>
      </w:r>
    </w:p>
    <w:p w14:paraId="2C44D5D9" w14:textId="0AF0FCCC" w:rsidR="007751DB" w:rsidRPr="00B85D62" w:rsidRDefault="007751DB" w:rsidP="007751DB">
      <w:pPr>
        <w:rPr>
          <w:rFonts w:eastAsia="Arial" w:cs="Arial"/>
          <w:b/>
          <w:bCs/>
        </w:rPr>
      </w:pPr>
      <w:r w:rsidRPr="00B85D62">
        <w:rPr>
          <w:rFonts w:eastAsia="Arial" w:cs="Arial"/>
          <w:b/>
          <w:bCs/>
        </w:rPr>
        <w:t>Background</w:t>
      </w:r>
    </w:p>
    <w:p w14:paraId="13C5A124" w14:textId="77777777" w:rsidR="00B85D62" w:rsidRPr="00B85D62" w:rsidRDefault="00DD2782" w:rsidP="00DD2782">
      <w:pPr>
        <w:rPr>
          <w:rFonts w:eastAsia="Arial" w:cs="Arial"/>
        </w:rPr>
      </w:pPr>
      <w:r w:rsidRPr="00B85D62">
        <w:rPr>
          <w:rFonts w:eastAsia="Arial" w:cs="Arial"/>
        </w:rPr>
        <w:t>Cascade testing in relatives of index cases is the most efficient and cost-effective approach to identifying people with familial hypercholesterolemia (FH). The cascade testing protocols starts with identifying the first patient in the family with FH (index case) and followed broadly by 3 approaches: In</w:t>
      </w:r>
      <w:r w:rsidRPr="00B85D62">
        <w:rPr>
          <w:rFonts w:eastAsia="Arial" w:cs="Arial"/>
          <w:shd w:val="clear" w:color="auto" w:fill="E6E6E6"/>
        </w:rPr>
        <w:t>direct approach</w:t>
      </w:r>
      <w:r w:rsidRPr="00B85D62">
        <w:rPr>
          <w:rFonts w:eastAsia="Arial" w:cs="Arial"/>
        </w:rPr>
        <w:t xml:space="preserve"> when the patients with FH contact their relatives, D</w:t>
      </w:r>
      <w:r w:rsidRPr="00B85D62">
        <w:rPr>
          <w:rFonts w:eastAsia="Arial" w:cs="Arial"/>
          <w:shd w:val="clear" w:color="auto" w:fill="E6E6E6"/>
        </w:rPr>
        <w:t>irect approach</w:t>
      </w:r>
      <w:r w:rsidRPr="00B85D62">
        <w:rPr>
          <w:rFonts w:eastAsia="Arial" w:cs="Arial"/>
        </w:rPr>
        <w:t xml:space="preserve"> where the genetic specialist contact the relatives, or a combination of the two approaches.</w:t>
      </w:r>
    </w:p>
    <w:p w14:paraId="5E6929E3" w14:textId="714B92D9" w:rsidR="00B85D62" w:rsidRPr="00B85D62" w:rsidRDefault="00DD2782" w:rsidP="00DD2782">
      <w:pPr>
        <w:rPr>
          <w:rFonts w:eastAsia="Arial" w:cs="Arial"/>
        </w:rPr>
      </w:pPr>
      <w:r w:rsidRPr="00B85D62">
        <w:rPr>
          <w:rFonts w:eastAsia="Arial" w:cs="Arial"/>
          <w:shd w:val="clear" w:color="auto" w:fill="E6E6E6"/>
        </w:rPr>
        <w:lastRenderedPageBreak/>
        <w:t>National Institute for Health and Care Excellence (NICE) recommend</w:t>
      </w:r>
      <w:r w:rsidRPr="00B85D62">
        <w:rPr>
          <w:rFonts w:eastAsia="Arial" w:cs="Arial"/>
        </w:rPr>
        <w:t xml:space="preserve"> once FH is genetically confirmed in index cases, FH cascade testing should be offered to first then second-degree relatives using streamlined genetic testing for pathogenic variants identified in the index case. </w:t>
      </w:r>
      <w:r w:rsidRPr="00B85D62">
        <w:rPr>
          <w:rFonts w:eastAsia="Arial" w:cs="Arial"/>
          <w:highlight w:val="magenta"/>
        </w:rPr>
        <w:t>Alternate</w:t>
      </w:r>
      <w:r w:rsidRPr="00B85D62">
        <w:rPr>
          <w:rFonts w:eastAsia="Arial" w:cs="Arial"/>
        </w:rPr>
        <w:t xml:space="preserve"> protocols include</w:t>
      </w:r>
      <w:r w:rsidR="00B85D62" w:rsidRPr="00B85D62">
        <w:rPr>
          <w:rFonts w:eastAsia="Arial" w:cs="Arial"/>
        </w:rPr>
        <w:t xml:space="preserve"> </w:t>
      </w:r>
      <w:r w:rsidRPr="00B85D62">
        <w:rPr>
          <w:rFonts w:eastAsia="Arial" w:cs="Arial"/>
        </w:rPr>
        <w:t>testing of first and second degree relatives simultaneously rather than sequentially, and also consider the role of non-genetic markers for FH status in relatives.</w:t>
      </w:r>
      <w:r w:rsidRPr="00B85D62">
        <w:rPr>
          <w:rFonts w:cs="Arial"/>
        </w:rPr>
        <w:t xml:space="preserve"> </w:t>
      </w:r>
      <w:r w:rsidRPr="00B85D62">
        <w:rPr>
          <w:rFonts w:eastAsia="Arial" w:cs="Arial"/>
        </w:rPr>
        <w:t xml:space="preserve">However, it is currently unclear how FH cascade testing services should be configured to improve the number of relatives identified </w:t>
      </w:r>
      <w:r w:rsidR="00B85D62" w:rsidRPr="00B85D62">
        <w:rPr>
          <w:rFonts w:eastAsia="Arial" w:cs="Arial"/>
          <w:color w:val="00B0F0"/>
        </w:rPr>
        <w:t>while</w:t>
      </w:r>
      <w:r w:rsidRPr="00B85D62">
        <w:rPr>
          <w:rFonts w:eastAsia="Arial" w:cs="Arial"/>
        </w:rPr>
        <w:t xml:space="preserve"> offering value for money.</w:t>
      </w:r>
    </w:p>
    <w:p w14:paraId="56E901BA" w14:textId="6D973F6D" w:rsidR="00DD2782" w:rsidRPr="00B85D62" w:rsidRDefault="00DD2782" w:rsidP="00DD2782">
      <w:pPr>
        <w:rPr>
          <w:rFonts w:eastAsia="Arial" w:cs="Arial"/>
          <w:b/>
          <w:bCs/>
        </w:rPr>
      </w:pPr>
      <w:r w:rsidRPr="00B85D62">
        <w:rPr>
          <w:rFonts w:eastAsia="Arial" w:cs="Arial"/>
          <w:b/>
          <w:bCs/>
        </w:rPr>
        <w:t>Aim</w:t>
      </w:r>
    </w:p>
    <w:p w14:paraId="4E982E97" w14:textId="77777777" w:rsidR="00B85D62" w:rsidRPr="00B85D62" w:rsidRDefault="00DD2782" w:rsidP="00DD2782">
      <w:pPr>
        <w:rPr>
          <w:rFonts w:eastAsia="Arial" w:cs="Arial"/>
        </w:rPr>
      </w:pPr>
      <w:r w:rsidRPr="00B85D62">
        <w:rPr>
          <w:rFonts w:eastAsia="Arial" w:cs="Arial"/>
        </w:rPr>
        <w:t>To identify the most cost-effective protocol for cascade testing for familial hypercholesterolaemia (FH).</w:t>
      </w:r>
    </w:p>
    <w:p w14:paraId="769A579F" w14:textId="0378DBE2" w:rsidR="00DD2782" w:rsidRPr="00B85D62" w:rsidRDefault="00DD2782" w:rsidP="00DD2782">
      <w:pPr>
        <w:rPr>
          <w:rFonts w:eastAsia="Arial" w:cs="Arial"/>
          <w:b/>
          <w:bCs/>
        </w:rPr>
      </w:pPr>
      <w:r w:rsidRPr="00B85D62">
        <w:rPr>
          <w:rFonts w:eastAsia="Arial" w:cs="Arial"/>
          <w:b/>
          <w:bCs/>
        </w:rPr>
        <w:t>This aim was answered through 3 interrelated objectives</w:t>
      </w:r>
    </w:p>
    <w:p w14:paraId="2FF39BBD" w14:textId="77777777" w:rsidR="00B85D62" w:rsidRPr="00B85D62" w:rsidRDefault="00DD2782" w:rsidP="00DD2782">
      <w:pPr>
        <w:numPr>
          <w:ilvl w:val="0"/>
          <w:numId w:val="3"/>
        </w:numPr>
        <w:contextualSpacing/>
        <w:rPr>
          <w:rFonts w:eastAsia="Arial" w:cs="Arial"/>
        </w:rPr>
      </w:pPr>
      <w:r w:rsidRPr="00B85D62">
        <w:rPr>
          <w:rFonts w:eastAsia="Arial" w:cs="Arial"/>
        </w:rPr>
        <w:t>To determine the yield of cases, treatment patterns, and short-and long-term outcomes for FH patients.</w:t>
      </w:r>
    </w:p>
    <w:p w14:paraId="383A073A" w14:textId="77777777" w:rsidR="00B85D62" w:rsidRPr="00B85D62" w:rsidRDefault="00DD2782" w:rsidP="00DD2782">
      <w:pPr>
        <w:numPr>
          <w:ilvl w:val="0"/>
          <w:numId w:val="3"/>
        </w:numPr>
        <w:contextualSpacing/>
        <w:rPr>
          <w:rFonts w:eastAsia="Arial" w:cs="Arial"/>
        </w:rPr>
      </w:pPr>
      <w:r w:rsidRPr="00B85D62">
        <w:rPr>
          <w:rFonts w:eastAsia="Arial" w:cs="Arial"/>
        </w:rPr>
        <w:t xml:space="preserve">To evaluate the cost-effectiveness of alternative protocols for FH cascade testing using </w:t>
      </w:r>
      <w:r w:rsidRPr="00B85D62">
        <w:rPr>
          <w:rFonts w:eastAsia="Arial" w:cs="Arial"/>
          <w:highlight w:val="magenta"/>
        </w:rPr>
        <w:t>data</w:t>
      </w:r>
      <w:r w:rsidRPr="00B85D62">
        <w:rPr>
          <w:rFonts w:eastAsia="Arial" w:cs="Arial"/>
        </w:rPr>
        <w:t xml:space="preserve"> from services in two UK regions, the literature, and linkage of national clinical databases.</w:t>
      </w:r>
    </w:p>
    <w:p w14:paraId="7A9AD51B" w14:textId="2FAA6D90" w:rsidR="00DD2782" w:rsidRPr="00B85D62" w:rsidRDefault="00DD2782" w:rsidP="00DD2782">
      <w:pPr>
        <w:numPr>
          <w:ilvl w:val="0"/>
          <w:numId w:val="3"/>
        </w:numPr>
        <w:contextualSpacing/>
        <w:rPr>
          <w:rFonts w:eastAsia="Arial" w:cs="Arial"/>
          <w:b/>
          <w:bCs/>
        </w:rPr>
      </w:pPr>
      <w:r w:rsidRPr="00B85D62">
        <w:rPr>
          <w:rFonts w:eastAsia="Arial" w:cs="Arial"/>
        </w:rPr>
        <w:t>To qualitatively assess the acceptability of cascade testing protocols to individuals and families with potential and confirmed FH, and to health care providers.</w:t>
      </w:r>
    </w:p>
    <w:p w14:paraId="20EE6093" w14:textId="77777777" w:rsidR="00DD2782" w:rsidRPr="00B85D62" w:rsidRDefault="00DD2782" w:rsidP="00DD2782">
      <w:pPr>
        <w:rPr>
          <w:rFonts w:eastAsia="Arial" w:cs="Arial"/>
          <w:color w:val="FF0000"/>
        </w:rPr>
      </w:pPr>
    </w:p>
    <w:p w14:paraId="1B2EBEA2" w14:textId="69F39853" w:rsidR="00B85D62" w:rsidRPr="00B85D62" w:rsidRDefault="00DD2782" w:rsidP="00DD2782">
      <w:pPr>
        <w:rPr>
          <w:rFonts w:eastAsia="Arial" w:cs="Arial"/>
          <w:b/>
          <w:bCs/>
          <w:i/>
          <w:iCs/>
        </w:rPr>
      </w:pPr>
      <w:r w:rsidRPr="00B85D62">
        <w:rPr>
          <w:rFonts w:eastAsia="Arial" w:cs="Arial"/>
        </w:rPr>
        <w:t xml:space="preserve">The </w:t>
      </w:r>
      <w:r w:rsidRPr="00B85D62">
        <w:rPr>
          <w:rFonts w:eastAsia="Arial" w:cs="Arial"/>
          <w:b/>
          <w:bCs/>
          <w:i/>
          <w:iCs/>
        </w:rPr>
        <w:t>yield of cases</w:t>
      </w:r>
      <w:r w:rsidRPr="00B85D62">
        <w:rPr>
          <w:rFonts w:eastAsia="Arial" w:cs="Arial"/>
        </w:rPr>
        <w:t xml:space="preserve"> was assessed through systematic reviews and theanalysis of PASS hospital FH database, </w:t>
      </w:r>
      <w:r w:rsidR="00B85D62" w:rsidRPr="00B85D62">
        <w:rPr>
          <w:rFonts w:eastAsia="Arial" w:cs="Arial"/>
          <w:color w:val="00B0F0"/>
        </w:rPr>
        <w:t>while</w:t>
      </w:r>
      <w:r w:rsidRPr="00B85D62">
        <w:rPr>
          <w:rFonts w:eastAsia="Arial" w:cs="Arial"/>
        </w:rPr>
        <w:t xml:space="preserve"> </w:t>
      </w:r>
      <w:r w:rsidRPr="00B85D62">
        <w:rPr>
          <w:rFonts w:eastAsia="Arial" w:cs="Arial"/>
          <w:b/>
          <w:bCs/>
          <w:i/>
          <w:iCs/>
        </w:rPr>
        <w:t>treatment patterns,</w:t>
      </w:r>
      <w:r w:rsidRPr="00B85D62">
        <w:rPr>
          <w:rFonts w:eastAsia="Arial" w:cs="Arial"/>
        </w:rPr>
        <w:t xml:space="preserve"> </w:t>
      </w:r>
      <w:r w:rsidRPr="00B85D62">
        <w:rPr>
          <w:rFonts w:eastAsia="Arial" w:cs="Arial"/>
          <w:b/>
          <w:bCs/>
          <w:i/>
          <w:iCs/>
        </w:rPr>
        <w:t>short and long-term outcomes of FH</w:t>
      </w:r>
      <w:r w:rsidRPr="00B85D62">
        <w:rPr>
          <w:rFonts w:eastAsia="Arial" w:cs="Arial"/>
        </w:rPr>
        <w:t xml:space="preserve"> were investigated through systematic reviews, analysis of a specialist FH register and the CPRD-HES databases. The </w:t>
      </w:r>
      <w:r w:rsidRPr="00B85D62">
        <w:rPr>
          <w:rFonts w:eastAsia="Arial" w:cs="Arial"/>
          <w:b/>
          <w:bCs/>
          <w:i/>
          <w:iCs/>
        </w:rPr>
        <w:t>cost-effectiveness analyses</w:t>
      </w:r>
      <w:r w:rsidRPr="00B85D62">
        <w:rPr>
          <w:rFonts w:eastAsia="Arial" w:cs="Arial"/>
        </w:rPr>
        <w:t xml:space="preserve"> incorporated the previous analyses, together with stakeholder input and </w:t>
      </w:r>
      <w:r w:rsidRPr="00B85D62">
        <w:rPr>
          <w:rFonts w:eastAsia="Arial" w:cs="Arial"/>
          <w:highlight w:val="magenta"/>
        </w:rPr>
        <w:t>data</w:t>
      </w:r>
      <w:r w:rsidRPr="00B85D62">
        <w:rPr>
          <w:rFonts w:eastAsia="Arial" w:cs="Arial"/>
        </w:rPr>
        <w:t xml:space="preserve"> from the Dutch FH service. Finally, </w:t>
      </w:r>
      <w:r w:rsidRPr="00B85D62">
        <w:rPr>
          <w:rFonts w:eastAsia="Arial" w:cs="Arial"/>
          <w:b/>
          <w:bCs/>
          <w:i/>
          <w:iCs/>
        </w:rPr>
        <w:t>acceptability of the cascade testing approaches</w:t>
      </w:r>
      <w:r w:rsidRPr="00B85D62">
        <w:rPr>
          <w:rFonts w:eastAsia="Arial" w:cs="Arial"/>
        </w:rPr>
        <w:t xml:space="preserve"> were evaluated through semi-structured interviews with FH patients, their relatives and health care professionals.</w:t>
      </w:r>
    </w:p>
    <w:p w14:paraId="08431CE5" w14:textId="3F402741" w:rsidR="00DD2782" w:rsidRPr="00B85D62" w:rsidRDefault="00DD2782" w:rsidP="00DD2782">
      <w:pPr>
        <w:rPr>
          <w:rFonts w:eastAsia="Arial" w:cs="Arial"/>
          <w:b/>
          <w:bCs/>
        </w:rPr>
      </w:pPr>
      <w:r w:rsidRPr="00B85D62">
        <w:rPr>
          <w:rFonts w:eastAsia="Arial" w:cs="Arial"/>
          <w:b/>
          <w:bCs/>
        </w:rPr>
        <w:t>Methods &amp; Results</w:t>
      </w:r>
    </w:p>
    <w:p w14:paraId="11B82C1A" w14:textId="77777777" w:rsidR="00DD2782" w:rsidRPr="00B85D62" w:rsidRDefault="00DD2782" w:rsidP="00DD2782">
      <w:pPr>
        <w:rPr>
          <w:rFonts w:eastAsia="Arial" w:cs="Arial"/>
          <w:b/>
          <w:bCs/>
          <w:i/>
          <w:iCs/>
        </w:rPr>
      </w:pPr>
      <w:r w:rsidRPr="00B85D62">
        <w:rPr>
          <w:rFonts w:eastAsia="Arial" w:cs="Arial"/>
          <w:b/>
          <w:bCs/>
          <w:i/>
          <w:iCs/>
        </w:rPr>
        <w:t>Yield of Cases</w:t>
      </w:r>
    </w:p>
    <w:p w14:paraId="618089AE" w14:textId="77777777" w:rsidR="00DD2782" w:rsidRPr="00B85D62" w:rsidRDefault="00DD2782" w:rsidP="00DD2782">
      <w:pPr>
        <w:rPr>
          <w:rFonts w:eastAsia="Arial" w:cs="Arial"/>
          <w:bCs/>
          <w:i/>
          <w:iCs/>
        </w:rPr>
      </w:pPr>
      <w:r w:rsidRPr="00B85D62">
        <w:rPr>
          <w:rFonts w:eastAsia="Arial" w:cs="Arial"/>
          <w:bCs/>
          <w:i/>
          <w:iCs/>
        </w:rPr>
        <w:t>Effectiveness of contact strategies for cascade testing in relatives for familial hypercholesterolemia (Systematic Review 1)</w:t>
      </w:r>
    </w:p>
    <w:p w14:paraId="139FC588" w14:textId="77777777" w:rsidR="00B85D62" w:rsidRPr="00B85D62" w:rsidRDefault="00DD2782" w:rsidP="00DD2782">
      <w:pPr>
        <w:rPr>
          <w:rFonts w:eastAsia="Arial" w:cs="Arial"/>
        </w:rPr>
      </w:pPr>
      <w:r w:rsidRPr="00B85D62">
        <w:rPr>
          <w:rFonts w:eastAsia="Arial" w:cs="Arial"/>
        </w:rPr>
        <w:t>This review was performed to quantify the effectiveness of different contact approaches in cascade testing. There was a total of 2347 titles and abstracts screened, with 217</w:t>
      </w:r>
      <w:r w:rsidR="00B85D62" w:rsidRPr="00B85D62">
        <w:rPr>
          <w:rFonts w:eastAsia="Arial" w:cs="Arial"/>
        </w:rPr>
        <w:t xml:space="preserve"> </w:t>
      </w:r>
      <w:r w:rsidRPr="00B85D62">
        <w:rPr>
          <w:rFonts w:eastAsia="Arial" w:cs="Arial"/>
        </w:rPr>
        <w:t>screened at full text stage. Twenty-four non-comparative studies were included, of which 12 used a direct, 7 used an indirect approach and 5 used a combination of both. Although evidence is very limited, the combined approach resulted in more relatives being tested for FH (40%, 95% CI 37% to 42%, 1 study) than either the direct or indirect approaches (direct 33%, 95% CI 28% to 39%, 1 study; indirect 34%, 95% CI 30% to 37%, 2 studies).</w:t>
      </w:r>
    </w:p>
    <w:p w14:paraId="11D585CC" w14:textId="6B541468" w:rsidR="00DD2782" w:rsidRPr="00B85D62" w:rsidRDefault="00DD2782" w:rsidP="00DD2782">
      <w:pPr>
        <w:rPr>
          <w:rFonts w:eastAsia="Arial" w:cs="Arial"/>
          <w:i/>
          <w:iCs/>
        </w:rPr>
      </w:pPr>
      <w:r w:rsidRPr="00B85D62">
        <w:rPr>
          <w:rFonts w:eastAsia="Arial" w:cs="Arial"/>
          <w:bCs/>
          <w:i/>
          <w:iCs/>
        </w:rPr>
        <w:t>Diagnostic accuracy of clinical and biochemical criteria and scoring systems based on these characteristics to diagnose relatives of index cases with familial hypercholesterolemia (Systematic Review 2)</w:t>
      </w:r>
    </w:p>
    <w:p w14:paraId="38389353" w14:textId="77777777" w:rsidR="00B85D62" w:rsidRPr="00B85D62" w:rsidRDefault="00DD2782" w:rsidP="00DD2782">
      <w:pPr>
        <w:rPr>
          <w:rFonts w:eastAsia="Arial" w:cs="Arial"/>
        </w:rPr>
      </w:pPr>
      <w:r w:rsidRPr="00B85D62">
        <w:rPr>
          <w:rFonts w:eastAsia="Arial" w:cs="Arial"/>
        </w:rPr>
        <w:t>This review aimed to assess the diagnostic accuracy of clinical and biochemical tests in relatives of index cases with genetically-confirmed FH. Nine studies met the inclusion criteria. None of the studies reported the low-density lipoprotein cholesterol</w:t>
      </w:r>
      <w:r w:rsidRPr="00B85D62" w:rsidDel="005A1731">
        <w:rPr>
          <w:rFonts w:eastAsia="Arial" w:cs="Arial"/>
        </w:rPr>
        <w:t xml:space="preserve"> </w:t>
      </w:r>
      <w:r w:rsidRPr="00B85D62">
        <w:rPr>
          <w:rFonts w:eastAsia="Arial" w:cs="Arial"/>
        </w:rPr>
        <w:t xml:space="preserve">(or other biochemical characteristics) distribution for relatives with and without FH by age and sex, therefore could not be used to directly inform the cost-effectiveness analysis. The included studies suggested that the Dutch national FH cascade screening programme had relevant </w:t>
      </w:r>
      <w:r w:rsidRPr="00B85D62">
        <w:rPr>
          <w:rFonts w:eastAsia="Arial" w:cs="Arial"/>
          <w:highlight w:val="magenta"/>
        </w:rPr>
        <w:t>data</w:t>
      </w:r>
      <w:r w:rsidRPr="00B85D62">
        <w:rPr>
          <w:rFonts w:eastAsia="Arial" w:cs="Arial"/>
        </w:rPr>
        <w:t xml:space="preserve"> for our research. The </w:t>
      </w:r>
      <w:r w:rsidRPr="00B85D62">
        <w:rPr>
          <w:rFonts w:eastAsia="Arial" w:cs="Arial"/>
          <w:highlight w:val="magenta"/>
        </w:rPr>
        <w:t>data</w:t>
      </w:r>
      <w:r w:rsidRPr="00B85D62">
        <w:rPr>
          <w:rFonts w:eastAsia="Arial" w:cs="Arial"/>
        </w:rPr>
        <w:t xml:space="preserve"> controllers provided aggregate </w:t>
      </w:r>
      <w:r w:rsidRPr="00B85D62">
        <w:rPr>
          <w:rFonts w:eastAsia="Arial" w:cs="Arial"/>
          <w:highlight w:val="magenta"/>
        </w:rPr>
        <w:t>data</w:t>
      </w:r>
      <w:r w:rsidRPr="00B85D62">
        <w:rPr>
          <w:rFonts w:eastAsia="Arial" w:cs="Arial"/>
        </w:rPr>
        <w:t xml:space="preserve"> on the distributions of low-density lipoprotein cholesterol</w:t>
      </w:r>
      <w:r w:rsidRPr="00B85D62" w:rsidDel="005A1731">
        <w:rPr>
          <w:rFonts w:eastAsia="Arial" w:cs="Arial"/>
        </w:rPr>
        <w:t xml:space="preserve"> </w:t>
      </w:r>
      <w:r w:rsidRPr="00B85D62">
        <w:rPr>
          <w:rFonts w:eastAsia="Arial" w:cs="Arial"/>
        </w:rPr>
        <w:t>(LDL-C) of relatives tested,</w:t>
      </w:r>
      <w:r w:rsidRPr="00B85D62">
        <w:rPr>
          <w:rFonts w:cs="Arial"/>
        </w:rPr>
        <w:t xml:space="preserve"> </w:t>
      </w:r>
      <w:r w:rsidRPr="00B85D62">
        <w:rPr>
          <w:rFonts w:eastAsia="Arial" w:cs="Arial"/>
        </w:rPr>
        <w:t>which were used to inform the cost-effectiveness analysis of alternative cascade testing protocols.</w:t>
      </w:r>
    </w:p>
    <w:p w14:paraId="57618FE7" w14:textId="7369ADAC" w:rsidR="00DD2782" w:rsidRPr="00B85D62" w:rsidRDefault="00DD2782" w:rsidP="00DD2782">
      <w:pPr>
        <w:rPr>
          <w:rFonts w:eastAsia="Arial" w:cs="Arial"/>
          <w:bCs/>
          <w:i/>
          <w:iCs/>
        </w:rPr>
      </w:pPr>
      <w:r w:rsidRPr="00B85D62">
        <w:rPr>
          <w:rFonts w:eastAsia="Arial" w:cs="Arial"/>
          <w:bCs/>
          <w:i/>
          <w:iCs/>
        </w:rPr>
        <w:t>Yield of cases in PASS Welsh &amp; Wessex FH service databases</w:t>
      </w:r>
    </w:p>
    <w:p w14:paraId="49225DD8" w14:textId="77777777" w:rsidR="00B85D62" w:rsidRPr="00B85D62" w:rsidRDefault="00DD2782" w:rsidP="00DD2782">
      <w:pPr>
        <w:rPr>
          <w:rFonts w:eastAsia="Arial" w:cs="Arial"/>
        </w:rPr>
      </w:pPr>
      <w:r w:rsidRPr="00B85D62">
        <w:rPr>
          <w:rFonts w:eastAsia="Arial" w:cs="Arial"/>
        </w:rPr>
        <w:t xml:space="preserve">We analysed a large sample of index cases (Wales: </w:t>
      </w:r>
      <w:r w:rsidRPr="00B85D62">
        <w:rPr>
          <w:rFonts w:eastAsia="Arial" w:cs="Arial"/>
          <w:i/>
          <w:color w:val="00B0F0"/>
        </w:rPr>
        <w:t>n</w:t>
      </w:r>
      <w:r w:rsidRPr="00B85D62">
        <w:rPr>
          <w:rFonts w:eastAsia="Arial" w:cs="Arial"/>
        </w:rPr>
        <w:t xml:space="preserve">=2,618; Wessex: </w:t>
      </w:r>
      <w:r w:rsidRPr="00B85D62">
        <w:rPr>
          <w:rFonts w:eastAsia="Arial" w:cs="Arial"/>
          <w:i/>
          <w:color w:val="00B0F0"/>
        </w:rPr>
        <w:t>n</w:t>
      </w:r>
      <w:r w:rsidRPr="00B85D62">
        <w:rPr>
          <w:rFonts w:eastAsia="Arial" w:cs="Arial"/>
        </w:rPr>
        <w:t xml:space="preserve">=1,116) and relatives (Wales: </w:t>
      </w:r>
      <w:r w:rsidRPr="00B85D62">
        <w:rPr>
          <w:rFonts w:eastAsia="Arial" w:cs="Arial"/>
          <w:i/>
          <w:color w:val="00B0F0"/>
        </w:rPr>
        <w:t>n</w:t>
      </w:r>
      <w:r w:rsidRPr="00B85D62">
        <w:rPr>
          <w:rFonts w:eastAsia="Arial" w:cs="Arial"/>
        </w:rPr>
        <w:t xml:space="preserve">=3,815; Wessex: </w:t>
      </w:r>
      <w:r w:rsidRPr="00B85D62">
        <w:rPr>
          <w:rFonts w:eastAsia="Arial" w:cs="Arial"/>
          <w:i/>
          <w:color w:val="00B0F0"/>
        </w:rPr>
        <w:t>n</w:t>
      </w:r>
      <w:r w:rsidRPr="00B85D62">
        <w:rPr>
          <w:rFonts w:eastAsia="Arial" w:cs="Arial"/>
        </w:rPr>
        <w:t>=2,143) within these FH services to characterise individuals and estimate the yield of different cascade testing protocols in the subsequent cost-effectiveness modelling. The performance of alternative criteria for selecting index cases for genetic testing was also assessed, and predictors of cascade testing success were evaluated using logistic regression.</w:t>
      </w:r>
    </w:p>
    <w:p w14:paraId="5DC20DA5" w14:textId="61605E5E" w:rsidR="00B85D62" w:rsidRPr="00B85D62" w:rsidRDefault="00DD2782" w:rsidP="00DD2782">
      <w:pPr>
        <w:rPr>
          <w:rFonts w:eastAsia="Arial" w:cs="Arial"/>
        </w:rPr>
      </w:pPr>
      <w:r w:rsidRPr="00B85D62">
        <w:rPr>
          <w:rFonts w:eastAsia="Arial" w:cs="Arial"/>
        </w:rPr>
        <w:t xml:space="preserve">In Wales, female relatives, </w:t>
      </w:r>
      <w:r w:rsidR="00B85D62" w:rsidRPr="00B85D62">
        <w:rPr>
          <w:rFonts w:eastAsia="Arial" w:cs="Arial"/>
          <w:color w:val="00B0F0"/>
        </w:rPr>
        <w:t>1st</w:t>
      </w:r>
      <w:r w:rsidRPr="00B85D62">
        <w:rPr>
          <w:rFonts w:eastAsia="Arial" w:cs="Arial"/>
        </w:rPr>
        <w:t xml:space="preserve"> degree relatives of index cases, and relatives contacted directly by service were more likely to complete cascade testing (</w:t>
      </w:r>
      <w:r w:rsidRPr="00B85D62">
        <w:rPr>
          <w:rFonts w:eastAsia="Arial" w:cs="Arial"/>
          <w:i/>
          <w:color w:val="00B0F0"/>
        </w:rPr>
        <w:t>p</w:t>
      </w:r>
      <w:r w:rsidR="00B85D62" w:rsidRPr="00B85D62">
        <w:rPr>
          <w:rFonts w:eastAsia="Arial" w:cs="Arial"/>
          <w:color w:val="00B0F0"/>
        </w:rPr>
        <w:t>&lt;</w:t>
      </w:r>
      <w:r w:rsidR="00B85D62" w:rsidRPr="00B85D62">
        <w:rPr>
          <w:rFonts w:eastAsia="Arial" w:cs="Arial"/>
          <w:color w:val="00B0F0"/>
        </w:rPr>
        <w:t> </w:t>
      </w:r>
      <w:r w:rsidR="00B85D62" w:rsidRPr="00B85D62">
        <w:rPr>
          <w:rFonts w:eastAsia="Arial" w:cs="Arial"/>
          <w:color w:val="00B0F0"/>
        </w:rPr>
        <w:t>0</w:t>
      </w:r>
      <w:r w:rsidRPr="00B85D62">
        <w:rPr>
          <w:rFonts w:eastAsia="Arial" w:cs="Arial"/>
        </w:rPr>
        <w:t>.01). In Wessex, females were more likely to complete cascade testing (</w:t>
      </w:r>
      <w:r w:rsidRPr="00B85D62">
        <w:rPr>
          <w:rFonts w:eastAsia="Arial" w:cs="Arial"/>
          <w:i/>
          <w:color w:val="00B0F0"/>
        </w:rPr>
        <w:t>p</w:t>
      </w:r>
      <w:r w:rsidR="00B85D62" w:rsidRPr="00B85D62">
        <w:rPr>
          <w:rFonts w:eastAsia="Arial" w:cs="Arial"/>
          <w:color w:val="00B0F0"/>
        </w:rPr>
        <w:t>&lt;</w:t>
      </w:r>
      <w:r w:rsidR="00B85D62" w:rsidRPr="00B85D62">
        <w:rPr>
          <w:rFonts w:eastAsia="Arial" w:cs="Arial"/>
          <w:color w:val="00B0F0"/>
        </w:rPr>
        <w:t> </w:t>
      </w:r>
      <w:r w:rsidR="00B85D62" w:rsidRPr="00B85D62">
        <w:rPr>
          <w:rFonts w:eastAsia="Arial" w:cs="Arial"/>
          <w:color w:val="00B0F0"/>
        </w:rPr>
        <w:t>0</w:t>
      </w:r>
      <w:r w:rsidRPr="00B85D62">
        <w:rPr>
          <w:rFonts w:eastAsia="Arial" w:cs="Arial"/>
        </w:rPr>
        <w:t>.01).</w:t>
      </w:r>
      <w:r w:rsidR="00B85D62" w:rsidRPr="00B85D62">
        <w:rPr>
          <w:rFonts w:eastAsia="Arial" w:cs="Arial"/>
        </w:rPr>
        <w:t xml:space="preserve"> </w:t>
      </w:r>
      <w:r w:rsidRPr="00B85D62">
        <w:rPr>
          <w:rFonts w:eastAsia="Arial" w:cs="Arial"/>
        </w:rPr>
        <w:t xml:space="preserve">For relatives, approximately a quarter of cases were deemed out-of-area. Cardiovascular Disease (CVD) history was more common in older age groups and those with FH, </w:t>
      </w:r>
      <w:r w:rsidR="00B85D62" w:rsidRPr="00B85D62">
        <w:rPr>
          <w:rFonts w:eastAsia="Arial" w:cs="Arial"/>
          <w:color w:val="00B0F0"/>
        </w:rPr>
        <w:t>while</w:t>
      </w:r>
      <w:r w:rsidRPr="00B85D62">
        <w:rPr>
          <w:rFonts w:eastAsia="Arial" w:cs="Arial"/>
        </w:rPr>
        <w:t xml:space="preserve"> lipid-lowering treatment (LLT) prior to the cascade was more common in relatives with CVD, and relatives without a CVD history were more likely to be treated prior to cascade testing if they had FH.</w:t>
      </w:r>
    </w:p>
    <w:p w14:paraId="15A536B7" w14:textId="4676FC83" w:rsidR="00B85D62" w:rsidRPr="00B85D62" w:rsidRDefault="00DD2782" w:rsidP="00DD2782">
      <w:pPr>
        <w:rPr>
          <w:rFonts w:eastAsia="Arial" w:cs="Arial"/>
          <w:b/>
          <w:bCs/>
          <w:i/>
          <w:iCs/>
        </w:rPr>
      </w:pPr>
      <w:r w:rsidRPr="00B85D62">
        <w:rPr>
          <w:rFonts w:eastAsia="Arial" w:cs="Arial"/>
          <w:b/>
          <w:bCs/>
          <w:i/>
          <w:iCs/>
        </w:rPr>
        <w:t>Treatment patterns, Short and Long-term outcomes in FH cases</w:t>
      </w:r>
    </w:p>
    <w:p w14:paraId="248EED2B" w14:textId="4A04E450" w:rsidR="00B85D62" w:rsidRPr="00B85D62" w:rsidRDefault="00DD2782" w:rsidP="00DD2782">
      <w:pPr>
        <w:rPr>
          <w:rFonts w:eastAsia="Arial" w:cs="Arial"/>
        </w:rPr>
      </w:pPr>
      <w:r w:rsidRPr="00B85D62">
        <w:rPr>
          <w:rFonts w:eastAsia="Arial" w:cs="Arial"/>
        </w:rPr>
        <w:t xml:space="preserve">The search of relevant systematic reviews looking at the effectiveness of lipid-lowering treatments to prevent cardiovascular disease in adults identified 14 systematic reviews, none of these met the methodological quality to be included in the review of reviews. Our analysis of 2,879 individuals with a recorded diagnosis of FH in primary care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 xml:space="preserve"> (CPRD) indicated only 26% of these individuals are treated with LLT within two years of their diagnosis, and </w:t>
      </w:r>
      <w:r w:rsidR="00B85D62" w:rsidRPr="00B85D62">
        <w:rPr>
          <w:rFonts w:eastAsia="Arial" w:cs="Arial"/>
          <w:color w:val="00B0F0"/>
        </w:rPr>
        <w:t>among</w:t>
      </w:r>
      <w:r w:rsidRPr="00B85D62">
        <w:rPr>
          <w:rFonts w:eastAsia="Arial" w:cs="Arial"/>
        </w:rPr>
        <w:t xml:space="preserve"> those that are treated, less than 30% achieve the NICE recommended reductions in LDL-Cholesterol (</w:t>
      </w:r>
      <w:r w:rsidR="00B85D62" w:rsidRPr="00B85D62">
        <w:rPr>
          <w:rFonts w:eastAsia="Arial" w:cs="Arial"/>
          <w:color w:val="00B0F0"/>
        </w:rPr>
        <w:t>≥</w:t>
      </w:r>
      <w:r w:rsidR="00B85D62" w:rsidRPr="00B85D62">
        <w:rPr>
          <w:rFonts w:eastAsia="Arial" w:cs="Arial"/>
          <w:color w:val="00B0F0"/>
        </w:rPr>
        <w:t> </w:t>
      </w:r>
      <w:r w:rsidR="00B85D62" w:rsidRPr="00B85D62">
        <w:rPr>
          <w:rFonts w:eastAsia="Arial" w:cs="Arial"/>
          <w:color w:val="00B0F0"/>
        </w:rPr>
        <w:t>5</w:t>
      </w:r>
      <w:r w:rsidRPr="00B85D62">
        <w:rPr>
          <w:rFonts w:eastAsia="Arial" w:cs="Arial"/>
        </w:rPr>
        <w:t>0% reduction).</w:t>
      </w:r>
    </w:p>
    <w:p w14:paraId="579F7521" w14:textId="06BD8095" w:rsidR="00B85D62" w:rsidRPr="00B85D62" w:rsidRDefault="00DD2782" w:rsidP="00DD2782">
      <w:pPr>
        <w:rPr>
          <w:rFonts w:eastAsia="Arial" w:cs="Arial"/>
        </w:rPr>
      </w:pPr>
      <w:r w:rsidRPr="00B85D62">
        <w:rPr>
          <w:rFonts w:eastAsia="Arial" w:cs="Arial"/>
        </w:rPr>
        <w:lastRenderedPageBreak/>
        <w:t xml:space="preserve">Cardiovascular outcomes in FH cases were evaluated in primary care CPRD and in the specialist FH (Simon-Broome) register. Both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 xml:space="preserve">s were linked to the secondary care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 Hospital Episode Statistics (HES).</w:t>
      </w:r>
    </w:p>
    <w:p w14:paraId="653E92BB" w14:textId="5A2BAE42" w:rsidR="00DD2782" w:rsidRPr="00B85D62" w:rsidRDefault="00DD2782" w:rsidP="00DD2782">
      <w:pPr>
        <w:rPr>
          <w:rFonts w:eastAsia="Arial" w:cs="Arial"/>
          <w:i/>
          <w:iCs/>
        </w:rPr>
      </w:pPr>
      <w:r w:rsidRPr="00B85D62">
        <w:rPr>
          <w:rFonts w:eastAsia="Arial" w:cs="Arial"/>
          <w:i/>
          <w:iCs/>
        </w:rPr>
        <w:t xml:space="preserve">Cardiovascular disease outcomes using CPRD (primary-secondary care linked </w:t>
      </w:r>
      <w:r w:rsidR="00B85D62" w:rsidRPr="00B85D62">
        <w:rPr>
          <w:rFonts w:eastAsia="Arial" w:cs="Arial"/>
          <w:i/>
          <w:iCs/>
          <w:color w:val="00B0F0"/>
          <w:highlight w:val="magenta"/>
        </w:rPr>
        <w:t>data</w:t>
      </w:r>
      <w:r w:rsidR="00B85D62" w:rsidRPr="00B85D62">
        <w:rPr>
          <w:rFonts w:eastAsia="Arial" w:cs="Arial"/>
          <w:i/>
          <w:iCs/>
          <w:color w:val="00B0F0"/>
        </w:rPr>
        <w:t xml:space="preserve"> set</w:t>
      </w:r>
      <w:r w:rsidRPr="00B85D62">
        <w:rPr>
          <w:rFonts w:eastAsia="Arial" w:cs="Arial"/>
          <w:i/>
          <w:iCs/>
        </w:rPr>
        <w:t>)</w:t>
      </w:r>
    </w:p>
    <w:p w14:paraId="65AF6ECE" w14:textId="14654973" w:rsidR="00B85D62" w:rsidRPr="00B85D62" w:rsidRDefault="00DD2782" w:rsidP="00DD2782">
      <w:pPr>
        <w:rPr>
          <w:rFonts w:eastAsia="Arial" w:cs="Arial"/>
        </w:rPr>
      </w:pPr>
      <w:r w:rsidRPr="00B85D62">
        <w:rPr>
          <w:rFonts w:eastAsia="Arial" w:cs="Arial"/>
        </w:rPr>
        <w:t>Patients with FH codes in primary care records and no pre-existing CVD recorded were identified (</w:t>
      </w:r>
      <w:r w:rsidRPr="00B85D62">
        <w:rPr>
          <w:rFonts w:eastAsia="Arial" w:cs="Arial"/>
          <w:i/>
          <w:color w:val="00B0F0"/>
        </w:rPr>
        <w:t>n</w:t>
      </w:r>
      <w:r w:rsidRPr="00B85D62">
        <w:rPr>
          <w:rFonts w:eastAsia="Arial" w:cs="Arial"/>
        </w:rPr>
        <w:t>=14,097) and matched with randomly identified non-FH controls (</w:t>
      </w:r>
      <w:r w:rsidRPr="00B85D62">
        <w:rPr>
          <w:rFonts w:eastAsia="Arial" w:cs="Arial"/>
          <w:i/>
          <w:color w:val="00B0F0"/>
        </w:rPr>
        <w:t>n</w:t>
      </w:r>
      <w:r w:rsidRPr="00B85D62">
        <w:rPr>
          <w:rFonts w:eastAsia="Arial" w:cs="Arial"/>
        </w:rPr>
        <w:t>=42,506).</w:t>
      </w:r>
      <w:r w:rsidR="00B85D62" w:rsidRPr="00B85D62">
        <w:rPr>
          <w:rFonts w:eastAsia="Arial" w:cs="Arial"/>
        </w:rPr>
        <w:t xml:space="preserve"> </w:t>
      </w:r>
      <w:r w:rsidRPr="00B85D62">
        <w:rPr>
          <w:rFonts w:eastAsia="Arial" w:cs="Arial"/>
          <w:highlight w:val="magenta"/>
        </w:rPr>
        <w:t>Incidence</w:t>
      </w:r>
      <w:r w:rsidRPr="00B85D62">
        <w:rPr>
          <w:rFonts w:eastAsia="Arial" w:cs="Arial"/>
        </w:rPr>
        <w:t xml:space="preserve"> rates of CHD, Stroke</w:t>
      </w:r>
      <w:r w:rsidR="00B85D62" w:rsidRPr="00B85D62">
        <w:rPr>
          <w:rFonts w:eastAsia="Arial" w:cs="Arial"/>
          <w:color w:val="00B0F0"/>
        </w:rPr>
        <w:t>/</w:t>
      </w:r>
      <w:r w:rsidRPr="00B85D62">
        <w:rPr>
          <w:rFonts w:eastAsia="Calibri" w:cs="Arial"/>
        </w:rPr>
        <w:t>Transient Ischaemic Attack</w:t>
      </w:r>
      <w:r w:rsidRPr="00B85D62">
        <w:rPr>
          <w:rFonts w:eastAsia="Arial" w:cs="Arial"/>
        </w:rPr>
        <w:t xml:space="preserve"> (TIA) and Peripheral vascular disease (PVD) were higher in FH cases: overall cardiovascular risk was increased (hazards ratio [HR] 9.14, 95% CI 8.55</w:t>
      </w:r>
      <w:r w:rsidR="00B85D62" w:rsidRPr="00B85D62">
        <w:rPr>
          <w:rFonts w:eastAsia="Arial" w:cs="Arial"/>
          <w:color w:val="00B0F0"/>
        </w:rPr>
        <w:t>–</w:t>
      </w:r>
      <w:r w:rsidR="00B85D62" w:rsidRPr="00B85D62">
        <w:rPr>
          <w:rFonts w:eastAsia="Arial" w:cs="Arial"/>
          <w:color w:val="00B0F0"/>
        </w:rPr>
        <w:t>9</w:t>
      </w:r>
      <w:r w:rsidRPr="00B85D62">
        <w:rPr>
          <w:rFonts w:eastAsia="Arial" w:cs="Arial"/>
        </w:rPr>
        <w:t xml:space="preserve">.76, </w:t>
      </w:r>
      <w:r w:rsidRPr="00B85D62">
        <w:rPr>
          <w:rFonts w:eastAsia="Arial" w:cs="Arial"/>
          <w:i/>
          <w:color w:val="00B0F0"/>
        </w:rPr>
        <w:t>p</w:t>
      </w:r>
      <w:r w:rsidR="00B85D62" w:rsidRPr="00B85D62">
        <w:rPr>
          <w:rFonts w:eastAsia="Arial" w:cs="Arial"/>
          <w:color w:val="00B0F0"/>
        </w:rPr>
        <w:t>&lt;</w:t>
      </w:r>
      <w:r w:rsidR="00B85D62" w:rsidRPr="00B85D62">
        <w:rPr>
          <w:rFonts w:eastAsia="Arial" w:cs="Arial"/>
          <w:color w:val="00B0F0"/>
        </w:rPr>
        <w:t> </w:t>
      </w:r>
      <w:r w:rsidR="00B85D62" w:rsidRPr="00B85D62">
        <w:rPr>
          <w:rFonts w:eastAsia="Arial" w:cs="Arial"/>
          <w:color w:val="00B0F0"/>
        </w:rPr>
        <w:t>0</w:t>
      </w:r>
      <w:r w:rsidRPr="00B85D62">
        <w:rPr>
          <w:rFonts w:eastAsia="Arial" w:cs="Arial"/>
        </w:rPr>
        <w:t>.001), as was CHD (HR 10.63, 95% CI 9.82</w:t>
      </w:r>
      <w:r w:rsidR="00B85D62" w:rsidRPr="00B85D62">
        <w:rPr>
          <w:rFonts w:eastAsia="Arial" w:cs="Arial"/>
          <w:color w:val="00B0F0"/>
        </w:rPr>
        <w:t>–</w:t>
      </w:r>
      <w:r w:rsidR="00B85D62" w:rsidRPr="00B85D62">
        <w:rPr>
          <w:rFonts w:eastAsia="Arial" w:cs="Arial"/>
          <w:color w:val="00B0F0"/>
        </w:rPr>
        <w:t>1</w:t>
      </w:r>
      <w:r w:rsidRPr="00B85D62">
        <w:rPr>
          <w:rFonts w:eastAsia="Arial" w:cs="Arial"/>
        </w:rPr>
        <w:t xml:space="preserve">1.49, </w:t>
      </w:r>
      <w:r w:rsidRPr="00B85D62">
        <w:rPr>
          <w:rFonts w:eastAsia="Arial" w:cs="Arial"/>
          <w:i/>
          <w:color w:val="00B0F0"/>
        </w:rPr>
        <w:t>p</w:t>
      </w:r>
      <w:r w:rsidR="00B85D62" w:rsidRPr="00B85D62">
        <w:rPr>
          <w:rFonts w:eastAsia="Arial" w:cs="Arial"/>
          <w:color w:val="00B0F0"/>
        </w:rPr>
        <w:t>&lt;</w:t>
      </w:r>
      <w:r w:rsidR="00B85D62" w:rsidRPr="00B85D62">
        <w:rPr>
          <w:rFonts w:eastAsia="Arial" w:cs="Arial"/>
          <w:color w:val="00B0F0"/>
        </w:rPr>
        <w:t> </w:t>
      </w:r>
      <w:r w:rsidR="00B85D62" w:rsidRPr="00B85D62">
        <w:rPr>
          <w:rFonts w:eastAsia="Arial" w:cs="Arial"/>
          <w:color w:val="00B0F0"/>
        </w:rPr>
        <w:t>0</w:t>
      </w:r>
      <w:r w:rsidRPr="00B85D62">
        <w:rPr>
          <w:rFonts w:eastAsia="Arial" w:cs="Arial"/>
        </w:rPr>
        <w:t>.001), stroke/TIA (HR 6.74, 95% CI 5.84</w:t>
      </w:r>
      <w:r w:rsidR="00B85D62" w:rsidRPr="00B85D62">
        <w:rPr>
          <w:rFonts w:eastAsia="Arial" w:cs="Arial"/>
          <w:color w:val="00B0F0"/>
        </w:rPr>
        <w:t>–</w:t>
      </w:r>
      <w:r w:rsidR="00B85D62" w:rsidRPr="00B85D62">
        <w:rPr>
          <w:rFonts w:eastAsia="Arial" w:cs="Arial"/>
          <w:color w:val="00B0F0"/>
        </w:rPr>
        <w:t>7</w:t>
      </w:r>
      <w:r w:rsidRPr="00B85D62">
        <w:rPr>
          <w:rFonts w:eastAsia="Arial" w:cs="Arial"/>
        </w:rPr>
        <w:t xml:space="preserve">.77, </w:t>
      </w:r>
      <w:r w:rsidRPr="00B85D62">
        <w:rPr>
          <w:rFonts w:eastAsia="Arial" w:cs="Arial"/>
          <w:i/>
          <w:color w:val="00B0F0"/>
        </w:rPr>
        <w:t>p</w:t>
      </w:r>
      <w:r w:rsidR="00B85D62" w:rsidRPr="00B85D62">
        <w:rPr>
          <w:rFonts w:eastAsia="Arial" w:cs="Arial"/>
          <w:color w:val="00B0F0"/>
        </w:rPr>
        <w:t>&lt;</w:t>
      </w:r>
      <w:r w:rsidR="00B85D62" w:rsidRPr="00B85D62">
        <w:rPr>
          <w:rFonts w:eastAsia="Arial" w:cs="Arial"/>
          <w:color w:val="00B0F0"/>
        </w:rPr>
        <w:t> </w:t>
      </w:r>
      <w:r w:rsidR="00B85D62" w:rsidRPr="00B85D62">
        <w:rPr>
          <w:rFonts w:eastAsia="Arial" w:cs="Arial"/>
          <w:color w:val="00B0F0"/>
        </w:rPr>
        <w:t>0</w:t>
      </w:r>
      <w:r w:rsidRPr="00B85D62">
        <w:rPr>
          <w:rFonts w:eastAsia="Arial" w:cs="Arial"/>
        </w:rPr>
        <w:t>.001) and PVD risk (HR 7.17, 95% CI 6.08</w:t>
      </w:r>
      <w:r w:rsidR="00B85D62" w:rsidRPr="00B85D62">
        <w:rPr>
          <w:rFonts w:eastAsia="Arial" w:cs="Arial"/>
          <w:color w:val="00B0F0"/>
        </w:rPr>
        <w:t>–</w:t>
      </w:r>
      <w:r w:rsidR="00B85D62" w:rsidRPr="00B85D62">
        <w:rPr>
          <w:rFonts w:eastAsia="Arial" w:cs="Arial"/>
          <w:color w:val="00B0F0"/>
        </w:rPr>
        <w:t>8</w:t>
      </w:r>
      <w:r w:rsidRPr="00B85D62">
        <w:rPr>
          <w:rFonts w:eastAsia="Arial" w:cs="Arial"/>
        </w:rPr>
        <w:t xml:space="preserve">.46, </w:t>
      </w:r>
      <w:r w:rsidRPr="00B85D62">
        <w:rPr>
          <w:rFonts w:eastAsia="Arial" w:cs="Arial"/>
          <w:i/>
          <w:color w:val="00B0F0"/>
        </w:rPr>
        <w:t>p</w:t>
      </w:r>
      <w:r w:rsidR="00B85D62" w:rsidRPr="00B85D62">
        <w:rPr>
          <w:rFonts w:eastAsia="Arial" w:cs="Arial"/>
          <w:color w:val="00B0F0"/>
        </w:rPr>
        <w:t>&lt;</w:t>
      </w:r>
      <w:r w:rsidR="00B85D62" w:rsidRPr="00B85D62">
        <w:rPr>
          <w:rFonts w:eastAsia="Arial" w:cs="Arial"/>
          <w:color w:val="00B0F0"/>
        </w:rPr>
        <w:t> </w:t>
      </w:r>
      <w:r w:rsidR="00B85D62" w:rsidRPr="00B85D62">
        <w:rPr>
          <w:rFonts w:eastAsia="Arial" w:cs="Arial"/>
          <w:color w:val="00B0F0"/>
        </w:rPr>
        <w:t>0</w:t>
      </w:r>
      <w:r w:rsidRPr="00B85D62">
        <w:rPr>
          <w:rFonts w:eastAsia="Arial" w:cs="Arial"/>
        </w:rPr>
        <w:t>.001).</w:t>
      </w:r>
    </w:p>
    <w:p w14:paraId="68B2C1D2" w14:textId="77777777" w:rsidR="00B85D62" w:rsidRPr="00B85D62" w:rsidRDefault="00DD2782" w:rsidP="00DD2782">
      <w:pPr>
        <w:rPr>
          <w:rFonts w:eastAsia="Arial" w:cs="Arial"/>
        </w:rPr>
      </w:pPr>
      <w:r w:rsidRPr="00B85D62">
        <w:rPr>
          <w:rFonts w:eastAsia="Arial" w:cs="Arial"/>
        </w:rPr>
        <w:t xml:space="preserve">Further, cardiovascular risk modelling was conducted to inform the cost-effectiveness analysis. This analysis included 2,135 individuals with a recorded diagnosis of FH in primary care, linked hospital </w:t>
      </w:r>
      <w:r w:rsidRPr="00B85D62">
        <w:rPr>
          <w:rFonts w:eastAsia="Arial" w:cs="Arial"/>
          <w:highlight w:val="magenta"/>
        </w:rPr>
        <w:t>data</w:t>
      </w:r>
      <w:r w:rsidRPr="00B85D62">
        <w:rPr>
          <w:rFonts w:eastAsia="Arial" w:cs="Arial"/>
        </w:rPr>
        <w:t xml:space="preserve"> and who had received LLT following diagnosis. After 20 years follow-up</w:t>
      </w:r>
      <w:r w:rsidR="00B85D62" w:rsidRPr="00B85D62">
        <w:rPr>
          <w:rFonts w:eastAsia="Arial" w:cs="Arial"/>
          <w:color w:val="00B0F0"/>
        </w:rPr>
        <w:t>,</w:t>
      </w:r>
      <w:r w:rsidRPr="00B85D62">
        <w:rPr>
          <w:rFonts w:eastAsia="Arial" w:cs="Arial"/>
        </w:rPr>
        <w:t xml:space="preserve"> parametric modelling predicted the average risk of a first major non-fatal cardiovascular event or cardiovascular-related death as 11%. History of CVD was identified as a key prognostic variable, with age, gender and raised pre-treatment LDL-C also important prognosticator.</w:t>
      </w:r>
    </w:p>
    <w:p w14:paraId="0DFFFC0E" w14:textId="163ACC0D" w:rsidR="00DD2782" w:rsidRPr="00B85D62" w:rsidRDefault="00DD2782" w:rsidP="00DD2782">
      <w:pPr>
        <w:rPr>
          <w:rFonts w:eastAsia="Arial" w:cs="Arial"/>
          <w:i/>
          <w:iCs/>
        </w:rPr>
      </w:pPr>
      <w:r w:rsidRPr="00B85D62">
        <w:rPr>
          <w:rFonts w:eastAsia="Arial" w:cs="Arial"/>
          <w:i/>
          <w:iCs/>
        </w:rPr>
        <w:t>Cardiovascular disease outcomes in secondary care using a national FH register</w:t>
      </w:r>
    </w:p>
    <w:p w14:paraId="3F3B9C77" w14:textId="49EF1F2F" w:rsidR="00B85D62" w:rsidRPr="00B85D62" w:rsidRDefault="00DD2782" w:rsidP="00DD2782">
      <w:pPr>
        <w:rPr>
          <w:rFonts w:cs="Arial"/>
        </w:rPr>
      </w:pPr>
      <w:r w:rsidRPr="00B85D62">
        <w:rPr>
          <w:rFonts w:eastAsia="Arial" w:cs="Arial"/>
        </w:rPr>
        <w:t xml:space="preserve">Of 3,553 FH individuals in the Simon-Broome register, 2988 (52.5% women) had linked HES records. Standardised Morbidity Ratios (SMbR) </w:t>
      </w:r>
      <w:r w:rsidRPr="00B85D62">
        <w:rPr>
          <w:rFonts w:eastAsia="Arial" w:cs="Arial"/>
          <w:highlight w:val="magenta"/>
        </w:rPr>
        <w:t>compared to</w:t>
      </w:r>
      <w:r w:rsidRPr="00B85D62">
        <w:rPr>
          <w:rFonts w:eastAsia="Arial" w:cs="Arial"/>
        </w:rPr>
        <w:t xml:space="preserve"> an age and sex-matched UK general </w:t>
      </w:r>
      <w:r w:rsidRPr="00B85D62">
        <w:rPr>
          <w:rFonts w:eastAsia="Arial" w:cs="Arial"/>
          <w:highlight w:val="magenta"/>
        </w:rPr>
        <w:t>practice</w:t>
      </w:r>
      <w:r w:rsidRPr="00B85D62">
        <w:rPr>
          <w:rFonts w:eastAsia="Arial" w:cs="Arial"/>
        </w:rPr>
        <w:t xml:space="preserve"> population were calculated for composite cardiovascular outcomes (first HES outcome of coronary heart disease (CHD), myocardial infarction (MI), stable or unstable angina, stroke, TIA, PVD, heart failure, coronary revascularisation interventions). The SMbR </w:t>
      </w:r>
      <w:r w:rsidRPr="00B85D62">
        <w:rPr>
          <w:rFonts w:eastAsia="Arial" w:cs="Arial"/>
          <w:color w:val="000000" w:themeColor="text1"/>
        </w:rPr>
        <w:t>(95% CI)</w:t>
      </w:r>
      <w:r w:rsidRPr="00B85D62">
        <w:rPr>
          <w:rFonts w:eastAsia="Arial" w:cs="Arial"/>
        </w:rPr>
        <w:t xml:space="preserve"> for FH patients was 7.17 (6.79</w:t>
      </w:r>
      <w:r w:rsidR="00B85D62" w:rsidRPr="00B85D62">
        <w:rPr>
          <w:rFonts w:eastAsia="Arial" w:cs="Arial"/>
          <w:color w:val="00B0F0"/>
        </w:rPr>
        <w:t>–</w:t>
      </w:r>
      <w:r w:rsidR="00B85D62" w:rsidRPr="00B85D62">
        <w:rPr>
          <w:rFonts w:eastAsia="Arial" w:cs="Arial"/>
          <w:color w:val="00B0F0"/>
        </w:rPr>
        <w:t>7</w:t>
      </w:r>
      <w:r w:rsidRPr="00B85D62">
        <w:rPr>
          <w:rFonts w:eastAsia="Arial" w:cs="Arial"/>
        </w:rPr>
        <w:t>.56). The SMbR (95% CI) for CHD was substantially higher in women than men aged 30 to 50 years (19.66 (16.78</w:t>
      </w:r>
      <w:r w:rsidR="00B85D62" w:rsidRPr="00B85D62">
        <w:rPr>
          <w:rFonts w:eastAsia="Arial" w:cs="Arial"/>
          <w:color w:val="00B0F0"/>
        </w:rPr>
        <w:t>–</w:t>
      </w:r>
      <w:r w:rsidR="00B85D62" w:rsidRPr="00B85D62">
        <w:rPr>
          <w:rFonts w:eastAsia="Arial" w:cs="Arial"/>
          <w:color w:val="00B0F0"/>
        </w:rPr>
        <w:t>2</w:t>
      </w:r>
      <w:r w:rsidRPr="00B85D62">
        <w:rPr>
          <w:rFonts w:eastAsia="Arial" w:cs="Arial"/>
        </w:rPr>
        <w:t>3.04) vs 12.54 (11.22</w:t>
      </w:r>
      <w:r w:rsidR="00B85D62" w:rsidRPr="00B85D62">
        <w:rPr>
          <w:rFonts w:eastAsia="Arial" w:cs="Arial"/>
          <w:color w:val="00B0F0"/>
        </w:rPr>
        <w:t>–</w:t>
      </w:r>
      <w:r w:rsidR="00B85D62" w:rsidRPr="00B85D62">
        <w:rPr>
          <w:rFonts w:eastAsia="Arial" w:cs="Arial"/>
          <w:color w:val="00B0F0"/>
        </w:rPr>
        <w:t>1</w:t>
      </w:r>
      <w:r w:rsidRPr="00B85D62">
        <w:rPr>
          <w:rFonts w:eastAsia="Arial" w:cs="Arial"/>
        </w:rPr>
        <w:t>4.01))..</w:t>
      </w:r>
    </w:p>
    <w:p w14:paraId="3C1F17EE" w14:textId="2CC290D9" w:rsidR="00DD2782" w:rsidRPr="00B85D62" w:rsidRDefault="00DD2782" w:rsidP="00DD2782">
      <w:pPr>
        <w:rPr>
          <w:rFonts w:eastAsia="Arial" w:cs="Arial"/>
          <w:b/>
          <w:bCs/>
          <w:i/>
          <w:iCs/>
          <w:shd w:val="clear" w:color="auto" w:fill="E6E6E6"/>
        </w:rPr>
      </w:pPr>
      <w:r w:rsidRPr="00B85D62">
        <w:rPr>
          <w:rFonts w:eastAsia="Arial" w:cs="Arial"/>
          <w:b/>
          <w:bCs/>
          <w:i/>
          <w:iCs/>
          <w:shd w:val="clear" w:color="auto" w:fill="E6E6E6"/>
        </w:rPr>
        <w:t>Cost-effectiveness of Cascade Testing</w:t>
      </w:r>
    </w:p>
    <w:p w14:paraId="0FE5CB86" w14:textId="77777777" w:rsidR="00DD2782" w:rsidRPr="00B85D62" w:rsidRDefault="00DD2782" w:rsidP="00DD2782">
      <w:pPr>
        <w:rPr>
          <w:rFonts w:eastAsia="Arial" w:cs="Arial"/>
          <w:i/>
          <w:iCs/>
        </w:rPr>
      </w:pPr>
      <w:r w:rsidRPr="00B85D62">
        <w:rPr>
          <w:rFonts w:eastAsia="Arial" w:cs="Arial"/>
          <w:bCs/>
          <w:i/>
          <w:iCs/>
          <w:shd w:val="clear" w:color="auto" w:fill="E6E6E6"/>
        </w:rPr>
        <w:t>Cost and health benefits of diagnosis of people with familial hypercholesterolaemia in the long term</w:t>
      </w:r>
    </w:p>
    <w:p w14:paraId="0D232A7E" w14:textId="77777777" w:rsidR="00B85D62" w:rsidRPr="00B85D62" w:rsidRDefault="00DD2782" w:rsidP="00DD2782">
      <w:pPr>
        <w:rPr>
          <w:rFonts w:eastAsia="Arial" w:cs="Arial"/>
        </w:rPr>
      </w:pPr>
      <w:r w:rsidRPr="00B85D62">
        <w:rPr>
          <w:rFonts w:eastAsia="Arial" w:cs="Arial"/>
        </w:rPr>
        <w:t>We developed a new cost-effectiveness model to estimate the impact of FH diagnosis and treatment on health outcomes and inform the cost-effectiveness analysis of alternative cascade protocols.</w:t>
      </w:r>
    </w:p>
    <w:p w14:paraId="442E6E32" w14:textId="000BAA3F" w:rsidR="00B85D62" w:rsidRPr="00B85D62" w:rsidRDefault="00DD2782" w:rsidP="00DD2782">
      <w:pPr>
        <w:rPr>
          <w:rFonts w:eastAsia="Arial" w:cs="Arial"/>
        </w:rPr>
      </w:pPr>
      <w:r w:rsidRPr="00B85D62">
        <w:rPr>
          <w:rFonts w:eastAsia="Arial" w:cs="Arial"/>
        </w:rPr>
        <w:t xml:space="preserve">Our cohort Markov model takes the UK National Health Service perspective over a lifetime horizon and discounts future health outcomes and costs to their present value at 3.5%. The model is informed by the analysis of time to cardiovascular event and effect of treatment on LDL-C using the CPRD/HES primary-secondary care linked </w:t>
      </w:r>
      <w:r w:rsidRPr="00B85D62">
        <w:rPr>
          <w:rFonts w:eastAsia="Arial" w:cs="Arial"/>
          <w:highlight w:val="magenta"/>
        </w:rPr>
        <w:t>data</w:t>
      </w:r>
      <w:r w:rsidRPr="00B85D62">
        <w:rPr>
          <w:rFonts w:eastAsia="Arial" w:cs="Arial"/>
        </w:rPr>
        <w:t xml:space="preserve"> for patients with a coded diagnosis of FH in primary care.</w:t>
      </w:r>
      <w:r w:rsidR="00B85D62" w:rsidRPr="00B85D62">
        <w:rPr>
          <w:rFonts w:eastAsia="Arial" w:cs="Arial"/>
        </w:rPr>
        <w:t xml:space="preserve"> </w:t>
      </w:r>
      <w:r w:rsidRPr="00B85D62">
        <w:rPr>
          <w:rFonts w:eastAsia="Arial" w:cs="Arial"/>
        </w:rPr>
        <w:t xml:space="preserve">We estimated the counterfactual risk had they not been treated, considering the increased effect of LDL-C on cardiovascular risk over time (known as </w:t>
      </w:r>
      <w:r w:rsidR="00B85D62" w:rsidRPr="00B85D62">
        <w:rPr>
          <w:rFonts w:eastAsia="Arial" w:cs="Arial"/>
        </w:rPr>
        <w:t>“</w:t>
      </w:r>
      <w:r w:rsidRPr="00B85D62">
        <w:rPr>
          <w:rFonts w:eastAsia="Arial" w:cs="Arial"/>
        </w:rPr>
        <w:t>cholesterol burden</w:t>
      </w:r>
      <w:r w:rsidR="00B85D62" w:rsidRPr="00B85D62">
        <w:rPr>
          <w:rFonts w:eastAsia="Arial" w:cs="Arial"/>
        </w:rPr>
        <w:t>”</w:t>
      </w:r>
      <w:r w:rsidRPr="00B85D62">
        <w:rPr>
          <w:rFonts w:eastAsia="Arial" w:cs="Arial"/>
        </w:rPr>
        <w:t>).</w:t>
      </w:r>
    </w:p>
    <w:p w14:paraId="57D511EA" w14:textId="23D3C6A2" w:rsidR="00B85D62" w:rsidRPr="00B85D62" w:rsidRDefault="00DD2782" w:rsidP="00DD2782">
      <w:pPr>
        <w:rPr>
          <w:rFonts w:eastAsia="Arial" w:cs="Arial"/>
        </w:rPr>
      </w:pPr>
      <w:r w:rsidRPr="00B85D62">
        <w:rPr>
          <w:rFonts w:eastAsia="Arial" w:cs="Arial"/>
        </w:rPr>
        <w:t xml:space="preserve">The cost-effectiveness model found the net health gain from diagnosis ranged between </w:t>
      </w:r>
      <w:r w:rsidR="00B85D62" w:rsidRPr="00B85D62">
        <w:rPr>
          <w:rFonts w:eastAsia="Arial" w:cs="Arial"/>
          <w:color w:val="00B0F0"/>
        </w:rPr>
        <w:t>–</w:t>
      </w:r>
      <w:r w:rsidR="00B85D62" w:rsidRPr="00B85D62">
        <w:rPr>
          <w:rFonts w:eastAsia="Arial" w:cs="Arial"/>
          <w:color w:val="00B0F0"/>
        </w:rPr>
        <w:t>0</w:t>
      </w:r>
      <w:r w:rsidRPr="00B85D62">
        <w:rPr>
          <w:rFonts w:eastAsia="Arial" w:cs="Arial"/>
        </w:rPr>
        <w:t xml:space="preserve">.27 to 2.51 QALYs at the £15,000/QALY threshold. The net health gain is positive (i.e., diagnosis is cost-effective) in people with pre-treatment LDL-C at or above 2.5 mmol/L or who have prior CVD history. </w:t>
      </w:r>
      <w:r w:rsidRPr="00B85D62">
        <w:rPr>
          <w:rFonts w:eastAsia="Calibri" w:cs="Arial"/>
        </w:rPr>
        <w:t>In general, the net health gain of diagnosis is greater in males, people with higher pre-treatment LDL-C and people with prior CVD history at diagnosis.</w:t>
      </w:r>
      <w:r w:rsidRPr="00B85D62">
        <w:rPr>
          <w:rFonts w:eastAsia="Arial" w:cs="Arial"/>
        </w:rPr>
        <w:t xml:space="preserve"> The main areas of uncertainty related to the effects of </w:t>
      </w:r>
      <w:r w:rsidR="00B85D62" w:rsidRPr="00B85D62">
        <w:rPr>
          <w:rFonts w:eastAsia="Arial" w:cs="Arial"/>
        </w:rPr>
        <w:t>“</w:t>
      </w:r>
      <w:r w:rsidRPr="00B85D62">
        <w:rPr>
          <w:rFonts w:eastAsia="Arial" w:cs="Arial"/>
        </w:rPr>
        <w:t>cholesterol burden</w:t>
      </w:r>
      <w:r w:rsidR="00B85D62" w:rsidRPr="00B85D62">
        <w:rPr>
          <w:rFonts w:eastAsia="Arial" w:cs="Arial"/>
        </w:rPr>
        <w:t>”</w:t>
      </w:r>
      <w:r w:rsidRPr="00B85D62">
        <w:rPr>
          <w:rFonts w:eastAsia="Arial" w:cs="Arial"/>
        </w:rPr>
        <w:t xml:space="preserve"> and of age on long-term cardiovascular risk, and the effect of diagnosis (and management) on LDL-Cholesterol.</w:t>
      </w:r>
    </w:p>
    <w:p w14:paraId="31AAC58B" w14:textId="44464BC1" w:rsidR="00DD2782" w:rsidRPr="00B85D62" w:rsidRDefault="00DD2782" w:rsidP="00DD2782">
      <w:pPr>
        <w:rPr>
          <w:rFonts w:eastAsia="Arial" w:cs="Arial"/>
          <w:b/>
          <w:bCs/>
          <w:i/>
          <w:iCs/>
        </w:rPr>
      </w:pPr>
      <w:r w:rsidRPr="00B85D62">
        <w:rPr>
          <w:rFonts w:eastAsia="Arial" w:cs="Arial"/>
          <w:b/>
          <w:bCs/>
          <w:i/>
          <w:iCs/>
          <w:shd w:val="clear" w:color="auto" w:fill="E6E6E6"/>
        </w:rPr>
        <w:t xml:space="preserve">Cost-effectiveness of alternative cascade </w:t>
      </w:r>
      <w:r w:rsidRPr="00B85D62">
        <w:rPr>
          <w:rFonts w:eastAsia="Arial" w:cs="Arial"/>
          <w:b/>
          <w:bCs/>
          <w:i/>
          <w:iCs/>
        </w:rPr>
        <w:t xml:space="preserve">testing </w:t>
      </w:r>
      <w:r w:rsidRPr="00B85D62">
        <w:rPr>
          <w:rFonts w:eastAsia="Arial" w:cs="Arial"/>
          <w:b/>
          <w:bCs/>
          <w:i/>
          <w:iCs/>
          <w:shd w:val="clear" w:color="auto" w:fill="E6E6E6"/>
        </w:rPr>
        <w:t>protocols for familial hypercholesterolaemia</w:t>
      </w:r>
    </w:p>
    <w:p w14:paraId="0C5F238A" w14:textId="321B9521" w:rsidR="00B85D62" w:rsidRPr="00B85D62" w:rsidRDefault="00DD2782" w:rsidP="00DD2782">
      <w:pPr>
        <w:rPr>
          <w:rFonts w:eastAsia="Arial" w:cs="Arial"/>
        </w:rPr>
      </w:pPr>
      <w:r w:rsidRPr="00B85D62">
        <w:rPr>
          <w:rFonts w:eastAsia="Arial" w:cs="Arial"/>
        </w:rPr>
        <w:t xml:space="preserve">We developed a new decision model to simulate cascade protocols and predict their implications for long-term health outcomes and costs. Our decision tree was informed by the analysis of </w:t>
      </w:r>
      <w:r w:rsidRPr="00B85D62">
        <w:rPr>
          <w:rFonts w:eastAsia="Arial" w:cs="Arial"/>
          <w:highlight w:val="magenta"/>
        </w:rPr>
        <w:t>data</w:t>
      </w:r>
      <w:r w:rsidRPr="00B85D62">
        <w:rPr>
          <w:rFonts w:eastAsia="Arial" w:cs="Arial"/>
        </w:rPr>
        <w:t xml:space="preserve"> from the PASS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 xml:space="preserve">, </w:t>
      </w:r>
      <w:r w:rsidRPr="00B85D62">
        <w:rPr>
          <w:rFonts w:eastAsia="Arial" w:cs="Arial"/>
          <w:highlight w:val="magenta"/>
        </w:rPr>
        <w:t>data</w:t>
      </w:r>
      <w:r w:rsidRPr="00B85D62">
        <w:rPr>
          <w:rFonts w:eastAsia="Arial" w:cs="Arial"/>
        </w:rPr>
        <w:t xml:space="preserve"> on LDL-C of relatives with and without FH from the Dutch FH service, the long-term health outcomes and costs estimated by our cost-effectiveness model of diagnosis and treatment, together with other sources of </w:t>
      </w:r>
      <w:r w:rsidRPr="00B85D62">
        <w:rPr>
          <w:rFonts w:eastAsia="Arial" w:cs="Arial"/>
          <w:highlight w:val="magenta"/>
        </w:rPr>
        <w:t>data</w:t>
      </w:r>
      <w:r w:rsidRPr="00B85D62">
        <w:rPr>
          <w:rFonts w:eastAsia="Arial" w:cs="Arial"/>
        </w:rPr>
        <w:t xml:space="preserve"> and input from our Stakeholder Group. </w:t>
      </w:r>
      <w:r w:rsidRPr="00B85D62">
        <w:rPr>
          <w:rFonts w:eastAsia="Arial" w:cs="Arial"/>
          <w:shd w:val="clear" w:color="auto" w:fill="E6E6E6"/>
        </w:rPr>
        <w:t>The model takes the UK National Health Service perspective and calculates the proportion and number of relatives diagnosed, cascade costs, and cost-effectiveness at the thresholds of £15,000 and £20,000 per QALY gained.</w:t>
      </w:r>
    </w:p>
    <w:p w14:paraId="7D6D10BC" w14:textId="5F88731B" w:rsidR="00B85D62" w:rsidRPr="00B85D62" w:rsidRDefault="00DD2782" w:rsidP="00DD2782">
      <w:pPr>
        <w:rPr>
          <w:rFonts w:eastAsia="Arial" w:cs="Arial"/>
        </w:rPr>
      </w:pPr>
      <w:r w:rsidRPr="00B85D62">
        <w:rPr>
          <w:rFonts w:eastAsia="Arial" w:cs="Arial"/>
        </w:rPr>
        <w:t>The protocols on the cost-effectiveness frontier generally involved starting cascade testing from genetically-confirmed index cases and contacting first and second-degree relatives simultaneously and directly by the service.</w:t>
      </w:r>
      <w:r w:rsidRPr="00B85D62">
        <w:rPr>
          <w:rFonts w:cs="Arial"/>
        </w:rPr>
        <w:t xml:space="preserve"> The most cost-effective protocol diagnoses relatives according to treatment status, LDL-C and age, with some having confirmatory genetic testing. Per index family assessed for cascade, the cost-effective protocol diagnoses 52%</w:t>
      </w:r>
      <w:r w:rsidR="00B85D62" w:rsidRPr="00B85D62">
        <w:rPr>
          <w:rFonts w:cs="Arial"/>
        </w:rPr>
        <w:t xml:space="preserve"> </w:t>
      </w:r>
      <w:r w:rsidRPr="00B85D62">
        <w:rPr>
          <w:rFonts w:cs="Arial"/>
        </w:rPr>
        <w:t xml:space="preserve">of relatives with the disease, at a cascade cost of £536; and with an incremental </w:t>
      </w:r>
      <w:r w:rsidR="00B85D62" w:rsidRPr="00B85D62">
        <w:rPr>
          <w:rFonts w:cs="Arial"/>
          <w:color w:val="00B0F0"/>
        </w:rPr>
        <w:t>cost-effectiveness</w:t>
      </w:r>
      <w:r w:rsidR="00B85D62" w:rsidRPr="00B85D62">
        <w:rPr>
          <w:rFonts w:cs="Arial"/>
          <w:color w:val="00B0F0"/>
        </w:rPr>
        <w:t xml:space="preserve"> ratio</w:t>
      </w:r>
      <w:r w:rsidRPr="00B85D62">
        <w:rPr>
          <w:rFonts w:cs="Arial"/>
        </w:rPr>
        <w:t xml:space="preserve"> of £13,996/QALY. </w:t>
      </w:r>
      <w:r w:rsidRPr="00B85D62">
        <w:rPr>
          <w:rFonts w:eastAsia="Arial" w:cs="Arial"/>
        </w:rPr>
        <w:t>The cost-effective protocol using the same genetic testing strategy for all relatives regardless of age – the harmonised cost-effective protocol</w:t>
      </w:r>
      <w:r w:rsidR="00B85D62" w:rsidRPr="00B85D62">
        <w:rPr>
          <w:rFonts w:eastAsia="Arial" w:cs="Arial"/>
          <w:color w:val="00B0F0"/>
        </w:rPr>
        <w:t xml:space="preserve"> – </w:t>
      </w:r>
      <w:r w:rsidRPr="00B85D62">
        <w:rPr>
          <w:rFonts w:eastAsia="Arial" w:cs="Arial"/>
        </w:rPr>
        <w:t>achieves similar outcomes and may be preferable if additional nurse time (unaccounted for here) is required to implement a testing approach that differs according to relatives</w:t>
      </w:r>
      <w:r w:rsidR="00B85D62" w:rsidRPr="00B85D62">
        <w:rPr>
          <w:rFonts w:eastAsia="Arial" w:cs="Arial"/>
        </w:rPr>
        <w:t>’</w:t>
      </w:r>
      <w:r w:rsidRPr="00B85D62">
        <w:rPr>
          <w:rFonts w:eastAsia="Arial" w:cs="Arial"/>
        </w:rPr>
        <w:t xml:space="preserve"> age</w:t>
      </w:r>
      <w:r w:rsidRPr="00B85D62">
        <w:rPr>
          <w:rFonts w:eastAsia="Arial" w:cs="Arial"/>
          <w:highlight w:val="magenta"/>
        </w:rPr>
        <w:t>. Further</w:t>
      </w:r>
      <w:r w:rsidRPr="00B85D62">
        <w:rPr>
          <w:rFonts w:eastAsia="Arial" w:cs="Arial"/>
        </w:rPr>
        <w:t xml:space="preserve">, offering genetic testing to all relatives diagnoses more relatives (56%) but it is not cost-effective </w:t>
      </w:r>
      <w:r w:rsidRPr="00B85D62">
        <w:rPr>
          <w:rFonts w:eastAsia="Arial" w:cs="Arial"/>
          <w:highlight w:val="magenta"/>
        </w:rPr>
        <w:t>due to</w:t>
      </w:r>
      <w:r w:rsidRPr="00B85D62">
        <w:rPr>
          <w:rFonts w:eastAsia="Arial" w:cs="Arial"/>
        </w:rPr>
        <w:t xml:space="preserve"> its additional costs, although the difference with the cost-effective protocol is small (cascade cost of £589; net health gain</w:t>
      </w:r>
      <w:r w:rsidR="00B85D62" w:rsidRPr="00B85D62">
        <w:rPr>
          <w:rFonts w:eastAsia="Arial" w:cs="Arial"/>
          <w:color w:val="00B0F0"/>
        </w:rPr>
        <w:t>=</w:t>
      </w:r>
      <w:r w:rsidR="00B85D62" w:rsidRPr="00B85D62">
        <w:rPr>
          <w:rFonts w:eastAsia="Arial" w:cs="Arial"/>
          <w:color w:val="00B0F0"/>
        </w:rPr>
        <w:t>–</w:t>
      </w:r>
      <w:r w:rsidR="00B85D62" w:rsidRPr="00B85D62">
        <w:rPr>
          <w:rFonts w:eastAsia="Arial" w:cs="Arial"/>
          <w:color w:val="00B0F0"/>
        </w:rPr>
        <w:t>0</w:t>
      </w:r>
      <w:r w:rsidRPr="00B85D62">
        <w:rPr>
          <w:rFonts w:eastAsia="Arial" w:cs="Arial"/>
        </w:rPr>
        <w:t xml:space="preserve">.003 QALYs at the £15,000/QALY threshold per index family assessed). The uncertainties relate to the generalisability of the input </w:t>
      </w:r>
      <w:r w:rsidRPr="00B85D62">
        <w:rPr>
          <w:rFonts w:eastAsia="Arial" w:cs="Arial"/>
          <w:highlight w:val="magenta"/>
        </w:rPr>
        <w:t>data</w:t>
      </w:r>
      <w:r w:rsidRPr="00B85D62">
        <w:rPr>
          <w:rFonts w:eastAsia="Arial" w:cs="Arial"/>
        </w:rPr>
        <w:t xml:space="preserve"> to the FH patients and </w:t>
      </w:r>
      <w:r w:rsidRPr="00B85D62">
        <w:rPr>
          <w:rFonts w:eastAsia="Arial" w:cs="Arial"/>
        </w:rPr>
        <w:lastRenderedPageBreak/>
        <w:t>FH services in the UK, hence the generalisability of the cost-effectiveness results, and the effect of cholesterol burden on CVD risk.</w:t>
      </w:r>
    </w:p>
    <w:p w14:paraId="1089A899" w14:textId="38E32772" w:rsidR="00DD2782" w:rsidRPr="00B85D62" w:rsidRDefault="00DD2782" w:rsidP="00DD2782">
      <w:pPr>
        <w:rPr>
          <w:rFonts w:eastAsia="Arial" w:cs="Arial"/>
          <w:b/>
          <w:bCs/>
          <w:i/>
          <w:iCs/>
        </w:rPr>
      </w:pPr>
      <w:r w:rsidRPr="00B85D62">
        <w:rPr>
          <w:rFonts w:eastAsia="Arial" w:cs="Arial"/>
          <w:b/>
          <w:bCs/>
          <w:i/>
          <w:iCs/>
        </w:rPr>
        <w:t>Acceptability of cascade testing protocols for FH to patients and health professionals</w:t>
      </w:r>
    </w:p>
    <w:p w14:paraId="03709EE0" w14:textId="77777777" w:rsidR="00B85D62" w:rsidRPr="00B85D62" w:rsidRDefault="00DD2782" w:rsidP="00DD2782">
      <w:pPr>
        <w:rPr>
          <w:rFonts w:eastAsia="Arial" w:cs="Arial"/>
        </w:rPr>
      </w:pPr>
      <w:r w:rsidRPr="00B85D62">
        <w:rPr>
          <w:rFonts w:eastAsia="Arial" w:cs="Arial"/>
        </w:rPr>
        <w:t>The qualitative study in two UK settings with a purposeful sample of 40 index patients, relatives, and health professionals found a solely indirect contact approach was often problematic. A service-led direct contact approach was more reliable and effective. Flexibly combining approaches (using either or both) guided by consultation with each index patient and tailored to differing relationships within families may have greater acceptability and success to facilitate uptake of cascade testing.</w:t>
      </w:r>
      <w:r w:rsidRPr="00B85D62">
        <w:rPr>
          <w:rFonts w:cs="Arial"/>
        </w:rPr>
        <w:t xml:space="preserve"> </w:t>
      </w:r>
      <w:r w:rsidRPr="00B85D62">
        <w:rPr>
          <w:rFonts w:eastAsia="Arial" w:cs="Arial"/>
        </w:rPr>
        <w:t xml:space="preserve">Experience related to quality of communication about FH, the accessibility and organisation of pathways, and continuity of care further determined acceptability of approach. </w:t>
      </w:r>
      <w:r w:rsidRPr="00B85D62">
        <w:rPr>
          <w:rFonts w:eastAsia="Arial" w:cs="Arial"/>
          <w:highlight w:val="magenta"/>
        </w:rPr>
        <w:t>An F</w:t>
      </w:r>
      <w:r w:rsidRPr="00B85D62">
        <w:rPr>
          <w:rFonts w:eastAsia="Arial" w:cs="Arial"/>
        </w:rPr>
        <w:t>H specialist nurse-led model providing adequate time for enhanced communication and continuity of care for families from commencement and throughout the cascade testing pathway was preferred and strongly supported.</w:t>
      </w:r>
    </w:p>
    <w:p w14:paraId="1623A150" w14:textId="5C27F1B5" w:rsidR="00B85D62" w:rsidRPr="00B85D62" w:rsidRDefault="00DD2782" w:rsidP="00DD2782">
      <w:pPr>
        <w:rPr>
          <w:rFonts w:eastAsia="Arial" w:cs="Arial"/>
          <w:b/>
          <w:bCs/>
        </w:rPr>
      </w:pPr>
      <w:r w:rsidRPr="00B85D62">
        <w:rPr>
          <w:rFonts w:eastAsia="Arial" w:cs="Arial"/>
          <w:b/>
          <w:bCs/>
        </w:rPr>
        <w:t>Conclusion</w:t>
      </w:r>
    </w:p>
    <w:p w14:paraId="111276CC" w14:textId="77777777" w:rsidR="00B85D62" w:rsidRPr="00B85D62" w:rsidRDefault="00DD2782" w:rsidP="00DD2782">
      <w:pPr>
        <w:rPr>
          <w:rFonts w:eastAsia="Calibri" w:cs="Arial"/>
        </w:rPr>
      </w:pPr>
      <w:r w:rsidRPr="00B85D62">
        <w:rPr>
          <w:rFonts w:eastAsia="Arial" w:cs="Arial"/>
        </w:rPr>
        <w:t>The analysis of PASS database suggested that protocols which involved a more direct approach to relatives led to increased completion of cascade testing with qualitative interviews supporting this service-led direct approach.</w:t>
      </w:r>
      <w:r w:rsidR="00B85D62" w:rsidRPr="00B85D62">
        <w:rPr>
          <w:rFonts w:eastAsia="Arial" w:cs="Arial"/>
        </w:rPr>
        <w:t xml:space="preserve"> </w:t>
      </w:r>
      <w:r w:rsidRPr="00B85D62">
        <w:rPr>
          <w:rFonts w:eastAsia="Arial" w:cs="Arial"/>
        </w:rPr>
        <w:t>In the related systematic review, limited evidence from 4 low quality studies indicated the combined approach</w:t>
      </w:r>
      <w:r w:rsidRPr="00B85D62">
        <w:rPr>
          <w:rFonts w:cs="Arial"/>
        </w:rPr>
        <w:t xml:space="preserve"> (</w:t>
      </w:r>
      <w:r w:rsidRPr="00B85D62">
        <w:rPr>
          <w:rFonts w:eastAsia="Arial" w:cs="Arial"/>
        </w:rPr>
        <w:t xml:space="preserve">with health professionals directly contacting relatives and indirectly through index cases) may test more relatives than direct. The flexibility offered by the combined approach was also attractive to patients interviewed in the study. Findings from the PASS analysis were at risk of bias given the observational nature of the </w:t>
      </w:r>
      <w:r w:rsidRPr="00B85D62">
        <w:rPr>
          <w:rFonts w:eastAsia="Arial" w:cs="Arial"/>
          <w:highlight w:val="magenta"/>
        </w:rPr>
        <w:t>data</w:t>
      </w:r>
      <w:r w:rsidRPr="00B85D62">
        <w:rPr>
          <w:rFonts w:eastAsia="Arial" w:cs="Arial"/>
        </w:rPr>
        <w:t>.</w:t>
      </w:r>
    </w:p>
    <w:p w14:paraId="6BAB3D54" w14:textId="128B9CFE" w:rsidR="00B85D62" w:rsidRPr="00B85D62" w:rsidRDefault="00DD2782" w:rsidP="00DD2782">
      <w:pPr>
        <w:rPr>
          <w:rFonts w:eastAsia="Arial" w:cs="Arial"/>
          <w:bCs/>
        </w:rPr>
      </w:pPr>
      <w:r w:rsidRPr="00B85D62">
        <w:rPr>
          <w:rFonts w:eastAsia="Arial" w:cs="Arial"/>
          <w:bCs/>
        </w:rPr>
        <w:t>Epidemiological analysis of FH coded patients in primary care databases informed treatment patterns, identifying only a quarter of individuals start treatment within 2 year, and those treated only 30% reached LDL reduction levels recommended by NICE FH guidelines.</w:t>
      </w:r>
    </w:p>
    <w:p w14:paraId="77E9EC58" w14:textId="75544857" w:rsidR="00B85D62" w:rsidRPr="00B85D62" w:rsidRDefault="00DD2782" w:rsidP="00DD2782">
      <w:pPr>
        <w:rPr>
          <w:rFonts w:eastAsia="Arial" w:cs="Arial"/>
        </w:rPr>
      </w:pPr>
      <w:r w:rsidRPr="00B85D62">
        <w:rPr>
          <w:rFonts w:eastAsia="Arial" w:cs="Arial"/>
        </w:rPr>
        <w:t xml:space="preserve">Primary care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 xml:space="preserve"> and the specialist FH (Simon-Broome) register both confirmed that (long-term) CVD risk is greater in FH patients </w:t>
      </w:r>
      <w:r w:rsidRPr="00B85D62">
        <w:rPr>
          <w:rFonts w:eastAsia="Arial" w:cs="Arial"/>
          <w:highlight w:val="magenta"/>
        </w:rPr>
        <w:t>compared to</w:t>
      </w:r>
      <w:r w:rsidRPr="00B85D62">
        <w:rPr>
          <w:rFonts w:eastAsia="Arial" w:cs="Arial"/>
        </w:rPr>
        <w:t xml:space="preserve"> non-FH patients and to general population. This was both for overall risk and risk of specific CVD conditions (CHD; Stroke; PVD). The FH register also demonstrated comparatively poorer outcomes in women and younger patients.</w:t>
      </w:r>
    </w:p>
    <w:p w14:paraId="4266DF49" w14:textId="0636A965" w:rsidR="00B85D62" w:rsidRPr="00B85D62" w:rsidRDefault="00DD2782" w:rsidP="00DD2782">
      <w:pPr>
        <w:rPr>
          <w:rFonts w:eastAsia="Arial" w:cs="Arial"/>
        </w:rPr>
      </w:pPr>
      <w:r w:rsidRPr="00B85D62">
        <w:rPr>
          <w:rFonts w:eastAsia="Arial" w:cs="Arial"/>
        </w:rPr>
        <w:t xml:space="preserve">In the cost-effectiveness analysis, the cascade protocols diagnosing the most relatives and providing the best value for money were those where index cases were selected for genetic testing, based on current criteria used by Wales and Wessex FH services, and involved the FH service directly contacting relatives, and contacting the </w:t>
      </w:r>
      <w:r w:rsidR="00B85D62" w:rsidRPr="00B85D62">
        <w:rPr>
          <w:rFonts w:eastAsia="Arial" w:cs="Arial"/>
          <w:color w:val="00B0F0"/>
        </w:rPr>
        <w:t>2nd</w:t>
      </w:r>
      <w:r w:rsidRPr="00B85D62">
        <w:rPr>
          <w:rFonts w:eastAsia="Arial" w:cs="Arial"/>
        </w:rPr>
        <w:t xml:space="preserve"> degree relatives even if their </w:t>
      </w:r>
      <w:r w:rsidR="00B85D62" w:rsidRPr="00B85D62">
        <w:rPr>
          <w:rFonts w:eastAsia="Arial" w:cs="Arial"/>
          <w:color w:val="00B0F0"/>
        </w:rPr>
        <w:t>1st</w:t>
      </w:r>
      <w:r w:rsidRPr="00B85D62">
        <w:rPr>
          <w:rFonts w:eastAsia="Arial" w:cs="Arial"/>
        </w:rPr>
        <w:t xml:space="preserve"> degree relative has not been tested. Focusing genetic testing on relatives not taking LLT and with LDL-C around 2 to 6 mmol/l (depending on age), with diagnosis of other relatives based on LDL-C levels, is better value for money for the NHS than offering genetic testing to all.</w:t>
      </w:r>
    </w:p>
    <w:p w14:paraId="6E57544B" w14:textId="5DD08C09" w:rsidR="00B85D62" w:rsidRPr="00B85D62" w:rsidRDefault="00DD2782" w:rsidP="00DD2782">
      <w:pPr>
        <w:rPr>
          <w:rFonts w:eastAsia="Arial" w:cs="Arial"/>
        </w:rPr>
      </w:pPr>
      <w:r w:rsidRPr="00B85D62">
        <w:rPr>
          <w:rFonts w:eastAsia="Arial" w:cs="Arial"/>
          <w:bCs/>
        </w:rPr>
        <w:t>Considering other limitations: t</w:t>
      </w:r>
      <w:r w:rsidRPr="00B85D62">
        <w:rPr>
          <w:rFonts w:eastAsia="Arial" w:cs="Arial"/>
        </w:rPr>
        <w:t xml:space="preserve">he systematic reviews on contact strategies identified a few low quality studies and no relevant studies on diagnostic accuracy. These could not be used in the cost-effectiveness analysis. The CPRD primary care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 xml:space="preserve"> defined FH as patients coded with FH in primary care. We acknowledge this may not be accurate. The major limitations of the cost-effectiveness analyses related to the assumptions required, namely about the generalisability of the available </w:t>
      </w:r>
      <w:r w:rsidRPr="00B85D62">
        <w:rPr>
          <w:rFonts w:eastAsia="Arial" w:cs="Arial"/>
          <w:highlight w:val="magenta"/>
        </w:rPr>
        <w:t>data</w:t>
      </w:r>
      <w:r w:rsidRPr="00B85D62">
        <w:rPr>
          <w:rFonts w:eastAsia="Arial" w:cs="Arial"/>
        </w:rPr>
        <w:t xml:space="preserve"> to FH patients and FH services, about the effect of cholesterol burden on CVD risk and long-term CVD risk. Hence, there is uncertainty about the generalisability of the cost-effectiveness results to clinical </w:t>
      </w:r>
      <w:r w:rsidRPr="00B85D62">
        <w:rPr>
          <w:rFonts w:eastAsia="Arial" w:cs="Arial"/>
          <w:highlight w:val="magenta"/>
        </w:rPr>
        <w:t>practice. Further</w:t>
      </w:r>
      <w:r w:rsidRPr="00B85D62">
        <w:rPr>
          <w:rFonts w:eastAsia="Arial" w:cs="Arial"/>
        </w:rPr>
        <w:t>, patient recruitment for interviews was limited to white English-speaking and genetic counsellors were not available for interviews.</w:t>
      </w:r>
    </w:p>
    <w:p w14:paraId="520DFBDA" w14:textId="7C329DFB" w:rsidR="00B85D62" w:rsidRPr="00B85D62" w:rsidRDefault="00DD2782" w:rsidP="00DD2782">
      <w:pPr>
        <w:rPr>
          <w:rFonts w:eastAsia="Arial" w:cs="Arial"/>
        </w:rPr>
      </w:pPr>
      <w:r w:rsidRPr="00B85D62">
        <w:rPr>
          <w:rFonts w:eastAsia="Arial" w:cs="Arial"/>
        </w:rPr>
        <w:t xml:space="preserve">These findings are consistent with the NICE guideline recommendations. The further elaboration on the most effective protocol, specifically testing </w:t>
      </w:r>
      <w:r w:rsidR="00B85D62" w:rsidRPr="00B85D62">
        <w:rPr>
          <w:rFonts w:eastAsia="Arial" w:cs="Arial"/>
          <w:color w:val="00B0F0"/>
        </w:rPr>
        <w:t>1st</w:t>
      </w:r>
      <w:r w:rsidRPr="00B85D62">
        <w:rPr>
          <w:rFonts w:eastAsia="Arial" w:cs="Arial"/>
        </w:rPr>
        <w:t xml:space="preserve"> and </w:t>
      </w:r>
      <w:r w:rsidR="00B85D62" w:rsidRPr="00B85D62">
        <w:rPr>
          <w:rFonts w:eastAsia="Arial" w:cs="Arial"/>
          <w:color w:val="00B0F0"/>
        </w:rPr>
        <w:t>2nd</w:t>
      </w:r>
      <w:r w:rsidRPr="00B85D62">
        <w:rPr>
          <w:rFonts w:eastAsia="Arial" w:cs="Arial"/>
        </w:rPr>
        <w:t xml:space="preserve"> degree relatives simultaneously, may be considered in future updates to the FH guidelines.</w:t>
      </w:r>
    </w:p>
    <w:p w14:paraId="698B0A21" w14:textId="2749B769" w:rsidR="00B85D62" w:rsidRPr="00B85D62" w:rsidRDefault="00DD2782" w:rsidP="00DD2782">
      <w:pPr>
        <w:rPr>
          <w:rFonts w:cs="Arial"/>
        </w:rPr>
      </w:pPr>
      <w:r w:rsidRPr="00B85D62">
        <w:rPr>
          <w:rFonts w:cs="Arial"/>
        </w:rPr>
        <w:t>Research recommendations</w:t>
      </w:r>
    </w:p>
    <w:p w14:paraId="49C27597" w14:textId="1247DA36" w:rsidR="00DD2782" w:rsidRPr="00B85D62" w:rsidRDefault="00DD2782" w:rsidP="00DD2782">
      <w:pPr>
        <w:rPr>
          <w:rFonts w:cs="Arial"/>
        </w:rPr>
      </w:pPr>
      <w:r w:rsidRPr="00B85D62">
        <w:rPr>
          <w:rFonts w:cs="Arial"/>
        </w:rPr>
        <w:t>1. Establish long term FH cohort with robust measurement of cholesterol levels, treatment and cardiovascular outcomes.</w:t>
      </w:r>
    </w:p>
    <w:p w14:paraId="4425F567" w14:textId="5B110CF1" w:rsidR="00DD2782" w:rsidRPr="00B85D62" w:rsidRDefault="00DD2782" w:rsidP="00DD2782">
      <w:pPr>
        <w:rPr>
          <w:rFonts w:cs="Arial"/>
        </w:rPr>
      </w:pPr>
      <w:r w:rsidRPr="00B85D62">
        <w:rPr>
          <w:rFonts w:cs="Arial"/>
        </w:rPr>
        <w:t>2.</w:t>
      </w:r>
      <w:r w:rsidR="00B85D62" w:rsidRPr="00B85D62">
        <w:rPr>
          <w:rFonts w:cs="Arial"/>
        </w:rPr>
        <w:t xml:space="preserve"> </w:t>
      </w:r>
      <w:r w:rsidRPr="00B85D62">
        <w:rPr>
          <w:rFonts w:cs="Arial"/>
        </w:rPr>
        <w:t>Randomised study directly comparing different approaches to contact relatives</w:t>
      </w:r>
    </w:p>
    <w:p w14:paraId="43DD4991" w14:textId="77777777" w:rsidR="00B85D62" w:rsidRPr="00B85D62" w:rsidRDefault="00DD2782" w:rsidP="00DD2782">
      <w:pPr>
        <w:rPr>
          <w:rFonts w:cs="Arial"/>
        </w:rPr>
      </w:pPr>
      <w:r w:rsidRPr="00B85D62">
        <w:rPr>
          <w:rFonts w:cs="Arial"/>
        </w:rPr>
        <w:t>3. Qualitative interviews in a more diverse patient population, including ethnic minorities, male and more distant relatives</w:t>
      </w:r>
    </w:p>
    <w:p w14:paraId="36FB323F" w14:textId="77777777" w:rsidR="00B85D62" w:rsidRPr="00B85D62" w:rsidRDefault="00DD2782" w:rsidP="00DD2782">
      <w:pPr>
        <w:rPr>
          <w:rFonts w:cs="Arial"/>
        </w:rPr>
      </w:pPr>
      <w:r w:rsidRPr="00B85D62">
        <w:rPr>
          <w:rFonts w:cs="Arial"/>
        </w:rPr>
        <w:t>Systematic Reviews registered PROSPERO</w:t>
      </w:r>
      <w:r w:rsidRPr="00B85D62">
        <w:rPr>
          <w:rFonts w:eastAsia="Arial" w:cs="Arial"/>
        </w:rPr>
        <w:t xml:space="preserve"> CRD42018117445 &amp; </w:t>
      </w:r>
      <w:r w:rsidRPr="00B85D62">
        <w:rPr>
          <w:rFonts w:cs="Arial"/>
        </w:rPr>
        <w:t>CRD42019125775</w:t>
      </w:r>
    </w:p>
    <w:p w14:paraId="3EAC4D69" w14:textId="1B5C176B" w:rsidR="004F3182" w:rsidRPr="00B85D62" w:rsidRDefault="00DD2782" w:rsidP="004F3182">
      <w:pPr>
        <w:rPr>
          <w:rFonts w:eastAsiaTheme="majorEastAsia" w:cs="Arial"/>
          <w:b/>
          <w:bCs/>
        </w:rPr>
      </w:pPr>
      <w:r w:rsidRPr="00B85D62">
        <w:rPr>
          <w:rFonts w:cs="Arial"/>
          <w:bCs/>
        </w:rPr>
        <w:t>This project was funded by the National Institute for Health Research (NIHR) HTA programme and will be published in full in XXX Journal; Vol. XX, No. XX</w:t>
      </w:r>
    </w:p>
    <w:p w14:paraId="2E5C1581" w14:textId="77777777" w:rsidR="00B85D62" w:rsidRPr="00B85D62" w:rsidRDefault="00DD2782" w:rsidP="004F3182">
      <w:pPr>
        <w:rPr>
          <w:rFonts w:eastAsiaTheme="majorEastAsia" w:cs="Arial"/>
          <w:b/>
          <w:bCs/>
        </w:rPr>
      </w:pPr>
      <w:r w:rsidRPr="00B85D62">
        <w:rPr>
          <w:rFonts w:eastAsiaTheme="majorEastAsia" w:cs="Arial"/>
          <w:b/>
          <w:bCs/>
        </w:rPr>
        <w:t>Word count: 2399</w:t>
      </w:r>
    </w:p>
    <w:p w14:paraId="2D7BAD46" w14:textId="5DC37493" w:rsidR="00B85D62" w:rsidRPr="00B85D62" w:rsidRDefault="2A76D8D7" w:rsidP="0066232B">
      <w:pPr>
        <w:pStyle w:val="Heading1"/>
        <w:spacing w:line="360" w:lineRule="auto"/>
        <w:rPr>
          <w:rFonts w:ascii="Arial" w:eastAsia="Arial" w:hAnsi="Arial" w:cs="Arial"/>
          <w:sz w:val="22"/>
          <w:szCs w:val="22"/>
        </w:rPr>
      </w:pPr>
      <w:bookmarkStart w:id="15" w:name="_Toc107157433"/>
      <w:r w:rsidRPr="00B85D62">
        <w:rPr>
          <w:rFonts w:ascii="Arial" w:eastAsia="Arial" w:hAnsi="Arial" w:cs="Arial"/>
          <w:sz w:val="22"/>
          <w:szCs w:val="22"/>
        </w:rPr>
        <w:t>Introduction</w:t>
      </w:r>
      <w:bookmarkEnd w:id="14"/>
      <w:bookmarkEnd w:id="15"/>
    </w:p>
    <w:p w14:paraId="208EE26E" w14:textId="54DC9637" w:rsidR="00201D4F" w:rsidRPr="00B85D62" w:rsidRDefault="1EF1C9BC" w:rsidP="0066232B">
      <w:pPr>
        <w:rPr>
          <w:rFonts w:eastAsia="Arial" w:cs="Arial"/>
        </w:rPr>
      </w:pPr>
      <w:r w:rsidRPr="00B85D62">
        <w:rPr>
          <w:rFonts w:eastAsia="Arial" w:cs="Arial"/>
        </w:rPr>
        <w:t>Familial Hypercholesterolaemia (FH) is the commonest autosomal dominant disorder with a</w:t>
      </w:r>
      <w:r w:rsidR="5984ADB0" w:rsidRPr="00B85D62">
        <w:rPr>
          <w:rFonts w:eastAsia="Arial" w:cs="Arial"/>
        </w:rPr>
        <w:t>round</w:t>
      </w:r>
      <w:r w:rsidRPr="00B85D62">
        <w:rPr>
          <w:rFonts w:eastAsia="Arial" w:cs="Arial"/>
        </w:rPr>
        <w:t xml:space="preserve"> 1 in </w:t>
      </w:r>
      <w:r w:rsidR="03CDAD22" w:rsidRPr="00B85D62">
        <w:rPr>
          <w:rFonts w:eastAsia="Arial" w:cs="Arial"/>
        </w:rPr>
        <w:t xml:space="preserve">250 </w:t>
      </w:r>
      <w:r w:rsidRPr="00B85D62">
        <w:rPr>
          <w:rFonts w:eastAsia="Arial" w:cs="Arial"/>
        </w:rPr>
        <w:t>individuals (0.</w:t>
      </w:r>
      <w:r w:rsidR="294ADB02" w:rsidRPr="00B85D62">
        <w:rPr>
          <w:rFonts w:eastAsia="Arial" w:cs="Arial"/>
        </w:rPr>
        <w:t>4</w:t>
      </w:r>
      <w:r w:rsidRPr="00B85D62">
        <w:rPr>
          <w:rFonts w:eastAsia="Arial" w:cs="Arial"/>
        </w:rPr>
        <w:t>%) affected by the more common heterozygote form</w:t>
      </w:r>
      <w:r w:rsidR="00F80015" w:rsidRPr="00B85D62">
        <w:rPr>
          <w:rFonts w:eastAsia="Arial" w:cs="Arial"/>
          <w:noProof/>
          <w:vertAlign w:val="superscript"/>
        </w:rPr>
        <w:t>1, 2</w:t>
      </w:r>
      <w:r w:rsidR="771B0E5A" w:rsidRPr="00B85D62">
        <w:rPr>
          <w:rFonts w:eastAsia="Arial" w:cs="Arial"/>
        </w:rPr>
        <w:t>.</w:t>
      </w:r>
      <w:r w:rsidRPr="00B85D62">
        <w:rPr>
          <w:rFonts w:eastAsia="Arial" w:cs="Arial"/>
        </w:rPr>
        <w:t xml:space="preserve"> However world-wide it is estimated that less than </w:t>
      </w:r>
      <w:r w:rsidR="008E14C1" w:rsidRPr="00B85D62">
        <w:rPr>
          <w:rFonts w:eastAsia="Arial" w:cs="Arial"/>
        </w:rPr>
        <w:t>7</w:t>
      </w:r>
      <w:r w:rsidRPr="00B85D62">
        <w:rPr>
          <w:rFonts w:eastAsia="Arial" w:cs="Arial"/>
        </w:rPr>
        <w:t>% of those with the condition are currently identified</w:t>
      </w:r>
      <w:r w:rsidR="00F80015" w:rsidRPr="00B85D62">
        <w:rPr>
          <w:rFonts w:eastAsia="Arial" w:cs="Arial"/>
          <w:noProof/>
          <w:vertAlign w:val="superscript"/>
        </w:rPr>
        <w:t>3, 4</w:t>
      </w:r>
      <w:r w:rsidRPr="00B85D62">
        <w:rPr>
          <w:rFonts w:eastAsia="Arial" w:cs="Arial"/>
        </w:rPr>
        <w:t>.</w:t>
      </w:r>
    </w:p>
    <w:p w14:paraId="24915FEB" w14:textId="1B4A25A9" w:rsidR="00201D4F" w:rsidRPr="00B85D62" w:rsidRDefault="3F51A572">
      <w:pPr>
        <w:rPr>
          <w:rFonts w:eastAsia="Arial" w:cs="Arial"/>
        </w:rPr>
      </w:pPr>
      <w:r w:rsidRPr="00B85D62">
        <w:rPr>
          <w:rFonts w:eastAsia="Lato" w:cs="Arial"/>
        </w:rPr>
        <w:lastRenderedPageBreak/>
        <w:t xml:space="preserve">Historic </w:t>
      </w:r>
      <w:r w:rsidRPr="00B85D62">
        <w:rPr>
          <w:rFonts w:eastAsia="Lato" w:cs="Arial"/>
          <w:highlight w:val="magenta"/>
        </w:rPr>
        <w:t>data</w:t>
      </w:r>
      <w:r w:rsidRPr="00B85D62">
        <w:rPr>
          <w:rFonts w:eastAsia="Lato" w:cs="Arial"/>
        </w:rPr>
        <w:t xml:space="preserve"> from the time before effective lipid-lowering agents such as statins were available, shows that, if l</w:t>
      </w:r>
      <w:r w:rsidR="1EF1C9BC" w:rsidRPr="00B85D62">
        <w:rPr>
          <w:rFonts w:eastAsia="Arial" w:cs="Arial"/>
        </w:rPr>
        <w:t xml:space="preserve">eft untreated, individuals with FH have a dramatically higher risk of coronary heart disease (CHD), with a 100-fold increased mortality risk </w:t>
      </w:r>
      <w:r w:rsidR="1EF1C9BC" w:rsidRPr="00B85D62">
        <w:rPr>
          <w:rFonts w:eastAsia="Arial" w:cs="Arial"/>
          <w:highlight w:val="magenta"/>
        </w:rPr>
        <w:t>compared to</w:t>
      </w:r>
      <w:r w:rsidR="1EF1C9BC" w:rsidRPr="00B85D62">
        <w:rPr>
          <w:rFonts w:eastAsia="Arial" w:cs="Arial"/>
        </w:rPr>
        <w:t xml:space="preserve"> the general population</w:t>
      </w:r>
      <w:r w:rsidR="00F80015" w:rsidRPr="00B85D62">
        <w:rPr>
          <w:rFonts w:eastAsia="Arial" w:cs="Arial"/>
          <w:noProof/>
          <w:vertAlign w:val="superscript"/>
        </w:rPr>
        <w:t>5, 6</w:t>
      </w:r>
      <w:r w:rsidR="1EF1C9BC" w:rsidRPr="00B85D62">
        <w:rPr>
          <w:rFonts w:eastAsia="Arial" w:cs="Arial"/>
        </w:rPr>
        <w:t>. CHD in people with FH can be very effectively prevented by high intensity lipid lowering treatment, with a 48% reduction in CHD mortality</w:t>
      </w:r>
      <w:r w:rsidR="00F80015" w:rsidRPr="00B85D62">
        <w:rPr>
          <w:rFonts w:eastAsia="Arial" w:cs="Arial"/>
          <w:noProof/>
          <w:vertAlign w:val="superscript"/>
        </w:rPr>
        <w:t>6</w:t>
      </w:r>
      <w:r w:rsidR="1EF1C9BC" w:rsidRPr="00B85D62">
        <w:rPr>
          <w:rFonts w:eastAsia="Arial" w:cs="Arial"/>
        </w:rPr>
        <w:t xml:space="preserve">. Moreover, 50% of their </w:t>
      </w:r>
      <w:r w:rsidR="0060650F" w:rsidRPr="00B85D62">
        <w:rPr>
          <w:rFonts w:eastAsia="Arial" w:cs="Arial"/>
        </w:rPr>
        <w:t>first-degree</w:t>
      </w:r>
      <w:r w:rsidR="1EF1C9BC" w:rsidRPr="00B85D62">
        <w:rPr>
          <w:rFonts w:eastAsia="Arial" w:cs="Arial"/>
        </w:rPr>
        <w:t xml:space="preserve"> relatives and 25% of second degree relatives will also have the condition and so benefit from intervention.</w:t>
      </w:r>
    </w:p>
    <w:p w14:paraId="7819788F" w14:textId="4555B9A4" w:rsidR="00201D4F" w:rsidRPr="00B85D62" w:rsidRDefault="1EF1C9BC" w:rsidP="0066232B">
      <w:pPr>
        <w:rPr>
          <w:rFonts w:eastAsia="Arial" w:cs="Arial"/>
        </w:rPr>
      </w:pPr>
      <w:r w:rsidRPr="00B85D62">
        <w:rPr>
          <w:rFonts w:eastAsia="Arial" w:cs="Arial"/>
        </w:rPr>
        <w:t xml:space="preserve">Improving the current low detection rate of FH is urgently needed. More effective cascade testing to identify affected relatives, especially younger relatives, and to initiate early statin treatment to lower </w:t>
      </w:r>
      <w:r w:rsidR="00B466AF" w:rsidRPr="00B85D62">
        <w:rPr>
          <w:rFonts w:eastAsia="Arial" w:cs="Arial"/>
        </w:rPr>
        <w:t>LDL-C</w:t>
      </w:r>
      <w:r w:rsidR="283D0CE1" w:rsidRPr="00B85D62">
        <w:rPr>
          <w:rFonts w:eastAsia="Arial" w:cs="Arial"/>
        </w:rPr>
        <w:t xml:space="preserve"> </w:t>
      </w:r>
      <w:r w:rsidRPr="00B85D62">
        <w:rPr>
          <w:rFonts w:eastAsia="Arial" w:cs="Arial"/>
        </w:rPr>
        <w:t xml:space="preserve">will prevent and reduce premature mortality, and long-term morbidity. Available service </w:t>
      </w:r>
      <w:r w:rsidRPr="00B85D62">
        <w:rPr>
          <w:rFonts w:eastAsia="Arial" w:cs="Arial"/>
          <w:highlight w:val="magenta"/>
        </w:rPr>
        <w:t>data</w:t>
      </w:r>
      <w:r w:rsidRPr="00B85D62">
        <w:rPr>
          <w:rFonts w:eastAsia="Arial" w:cs="Arial"/>
        </w:rPr>
        <w:t xml:space="preserve"> highlight the major extent of the problem. National audits show only around 1 affected relative is identified for each index case</w:t>
      </w:r>
      <w:r w:rsidR="00F80015" w:rsidRPr="00B85D62">
        <w:rPr>
          <w:rFonts w:eastAsia="Arial" w:cs="Arial"/>
          <w:noProof/>
          <w:vertAlign w:val="superscript"/>
        </w:rPr>
        <w:t>7</w:t>
      </w:r>
      <w:r w:rsidR="003B022A" w:rsidRPr="00B85D62">
        <w:rPr>
          <w:rFonts w:eastAsia="Arial" w:cs="Arial"/>
        </w:rPr>
        <w:t>.</w:t>
      </w:r>
    </w:p>
    <w:p w14:paraId="3D5F4AE3" w14:textId="77777777" w:rsidR="00B85D62" w:rsidRPr="00B85D62" w:rsidRDefault="1EF1C9BC" w:rsidP="3F51A572">
      <w:pPr>
        <w:rPr>
          <w:rFonts w:eastAsia="Arial" w:cs="Arial"/>
        </w:rPr>
      </w:pPr>
      <w:r w:rsidRPr="00B85D62">
        <w:rPr>
          <w:rFonts w:eastAsia="Arial" w:cs="Arial"/>
        </w:rPr>
        <w:t>Current national guidelines recommend the early identification and management of patients with FH. Despite recommendations in the 2008 NICE guidelines, the RCP audit in 2010 indicated</w:t>
      </w:r>
      <w:r w:rsidR="00ED686B" w:rsidRPr="00B85D62">
        <w:rPr>
          <w:rFonts w:eastAsia="Arial" w:cs="Arial"/>
        </w:rPr>
        <w:t xml:space="preserve"> </w:t>
      </w:r>
      <w:r w:rsidRPr="00B85D62">
        <w:rPr>
          <w:rFonts w:eastAsia="Arial" w:cs="Arial"/>
        </w:rPr>
        <w:t xml:space="preserve">there were </w:t>
      </w:r>
      <w:r w:rsidR="3F51A572" w:rsidRPr="00B85D62">
        <w:rPr>
          <w:rFonts w:eastAsia="Lato" w:cs="Arial"/>
        </w:rPr>
        <w:t>15,341 FH adults and 1106 FH children known and under care in a UK lipid clinic, suggesting up to 200,000 individuals with FH were not being treated according to guidelines and would be at elevated risk of CHD</w:t>
      </w:r>
      <w:r w:rsidR="3F51A572" w:rsidRPr="00B85D62">
        <w:rPr>
          <w:rFonts w:eastAsia="Arial" w:cs="Arial"/>
        </w:rPr>
        <w:t xml:space="preserve"> </w:t>
      </w:r>
      <w:r w:rsidR="00F80015" w:rsidRPr="00B85D62">
        <w:rPr>
          <w:rFonts w:eastAsia="Arial" w:cs="Arial"/>
          <w:noProof/>
          <w:vertAlign w:val="superscript"/>
        </w:rPr>
        <w:t>8</w:t>
      </w:r>
      <w:r w:rsidRPr="00B85D62">
        <w:rPr>
          <w:rFonts w:eastAsia="Arial" w:cs="Arial"/>
        </w:rPr>
        <w:t>.</w:t>
      </w:r>
    </w:p>
    <w:p w14:paraId="332127B2" w14:textId="2D9EBA56" w:rsidR="00201D4F" w:rsidRPr="00B85D62" w:rsidRDefault="1EF1C9BC" w:rsidP="0066232B">
      <w:pPr>
        <w:rPr>
          <w:rFonts w:eastAsia="Arial" w:cs="Arial"/>
        </w:rPr>
      </w:pPr>
      <w:r w:rsidRPr="00B85D62">
        <w:rPr>
          <w:rFonts w:eastAsia="Arial" w:cs="Arial"/>
        </w:rPr>
        <w:t>Identification in primary care remains poor and opportunistic.</w:t>
      </w:r>
      <w:r w:rsidR="00895586" w:rsidRPr="00B85D62">
        <w:rPr>
          <w:rFonts w:eastAsia="Arial" w:cs="Arial"/>
        </w:rPr>
        <w:t xml:space="preserve"> </w:t>
      </w:r>
      <w:r w:rsidR="1DBAF286" w:rsidRPr="00B85D62">
        <w:rPr>
          <w:rFonts w:eastAsia="Arial" w:cs="Arial"/>
        </w:rPr>
        <w:t>The most recent NICE guidelines advise pr</w:t>
      </w:r>
      <w:r w:rsidR="16461922" w:rsidRPr="00B85D62">
        <w:rPr>
          <w:rFonts w:eastAsia="Arial" w:cs="Arial"/>
        </w:rPr>
        <w:t>imary care to search for patients with possible FH based on cholesterol levels</w:t>
      </w:r>
      <w:r w:rsidR="263EFA23" w:rsidRPr="00B85D62">
        <w:rPr>
          <w:rFonts w:eastAsia="Arial" w:cs="Arial"/>
        </w:rPr>
        <w:t>.</w:t>
      </w:r>
      <w:r w:rsidR="68423109" w:rsidRPr="00B85D62">
        <w:rPr>
          <w:rFonts w:eastAsia="Arial" w:cs="Arial"/>
          <w:color w:val="0E0E0E"/>
        </w:rPr>
        <w:t xml:space="preserve"> This is followed by</w:t>
      </w:r>
      <w:r w:rsidR="16461922" w:rsidRPr="00B85D62">
        <w:rPr>
          <w:rFonts w:eastAsia="Arial" w:cs="Arial"/>
        </w:rPr>
        <w:t xml:space="preserve"> refer</w:t>
      </w:r>
      <w:r w:rsidR="6E63A2E8" w:rsidRPr="00B85D62">
        <w:rPr>
          <w:rFonts w:eastAsia="Arial" w:cs="Arial"/>
        </w:rPr>
        <w:t>ral</w:t>
      </w:r>
      <w:r w:rsidR="16461922" w:rsidRPr="00B85D62">
        <w:rPr>
          <w:rFonts w:eastAsia="Arial" w:cs="Arial"/>
        </w:rPr>
        <w:t xml:space="preserve"> </w:t>
      </w:r>
      <w:r w:rsidR="5CA635D0" w:rsidRPr="00B85D62">
        <w:rPr>
          <w:rFonts w:eastAsia="Arial" w:cs="Arial"/>
        </w:rPr>
        <w:t xml:space="preserve">to specialist care based on Simon-Broome or </w:t>
      </w:r>
      <w:r w:rsidR="00435A17" w:rsidRPr="00B85D62">
        <w:rPr>
          <w:rFonts w:eastAsia="Arial" w:cs="Arial"/>
        </w:rPr>
        <w:t>Dutch Lipid Clinic Network (</w:t>
      </w:r>
      <w:r w:rsidR="5CA635D0" w:rsidRPr="00B85D62">
        <w:rPr>
          <w:rFonts w:eastAsia="Arial" w:cs="Arial"/>
        </w:rPr>
        <w:t>DLCN</w:t>
      </w:r>
      <w:r w:rsidR="00435A17" w:rsidRPr="00B85D62">
        <w:rPr>
          <w:rFonts w:eastAsia="Arial" w:cs="Arial"/>
        </w:rPr>
        <w:t>)</w:t>
      </w:r>
      <w:r w:rsidR="5CA635D0" w:rsidRPr="00B85D62">
        <w:rPr>
          <w:rFonts w:eastAsia="Arial" w:cs="Arial"/>
        </w:rPr>
        <w:t xml:space="preserve"> criteria</w:t>
      </w:r>
      <w:r w:rsidR="43EB918E" w:rsidRPr="00B85D62">
        <w:rPr>
          <w:rFonts w:eastAsia="Arial" w:cs="Arial"/>
        </w:rPr>
        <w:t xml:space="preserve"> </w:t>
      </w:r>
      <w:r w:rsidR="00F80015" w:rsidRPr="00B85D62">
        <w:rPr>
          <w:rFonts w:cs="Arial"/>
          <w:noProof/>
          <w:vertAlign w:val="superscript"/>
        </w:rPr>
        <w:t>9</w:t>
      </w:r>
      <w:r w:rsidR="5CA635D0" w:rsidRPr="00B85D62">
        <w:rPr>
          <w:rFonts w:eastAsia="Arial" w:cs="Arial"/>
        </w:rPr>
        <w:t>.</w:t>
      </w:r>
      <w:r w:rsidR="3ACF39AF" w:rsidRPr="00B85D62">
        <w:rPr>
          <w:rFonts w:eastAsia="Arial" w:cs="Arial"/>
        </w:rPr>
        <w:t xml:space="preserve"> In specialist care,</w:t>
      </w:r>
      <w:r w:rsidR="00895586" w:rsidRPr="00B85D62">
        <w:rPr>
          <w:rFonts w:eastAsia="Arial" w:cs="Arial"/>
        </w:rPr>
        <w:t xml:space="preserve"> </w:t>
      </w:r>
      <w:r w:rsidR="3ACF39AF" w:rsidRPr="00B85D62">
        <w:rPr>
          <w:rFonts w:eastAsia="Arial" w:cs="Arial"/>
        </w:rPr>
        <w:t>thes</w:t>
      </w:r>
      <w:r w:rsidR="53121165" w:rsidRPr="00B85D62">
        <w:rPr>
          <w:rFonts w:eastAsia="Arial" w:cs="Arial"/>
        </w:rPr>
        <w:t xml:space="preserve">e patients are reassessed </w:t>
      </w:r>
      <w:r w:rsidR="3ACF39AF" w:rsidRPr="00B85D62">
        <w:rPr>
          <w:rFonts w:eastAsia="Arial" w:cs="Arial"/>
        </w:rPr>
        <w:t>using these criteria or modified version e.</w:t>
      </w:r>
      <w:r w:rsidR="35EAFD80" w:rsidRPr="00B85D62">
        <w:rPr>
          <w:rFonts w:eastAsia="Arial" w:cs="Arial"/>
        </w:rPr>
        <w:t>g. Welsh DLCN</w:t>
      </w:r>
      <w:r w:rsidR="00F80015" w:rsidRPr="00B85D62">
        <w:rPr>
          <w:rFonts w:cs="Arial"/>
          <w:noProof/>
          <w:vertAlign w:val="superscript"/>
        </w:rPr>
        <w:t>10</w:t>
      </w:r>
      <w:r w:rsidR="00895586" w:rsidRPr="00B85D62">
        <w:rPr>
          <w:rFonts w:eastAsia="Arial" w:cs="Arial"/>
        </w:rPr>
        <w:t xml:space="preserve"> </w:t>
      </w:r>
      <w:r w:rsidR="046404FF" w:rsidRPr="00B85D62">
        <w:rPr>
          <w:rFonts w:eastAsia="Arial" w:cs="Arial"/>
        </w:rPr>
        <w:t>and FH confirmed using genetic testing.</w:t>
      </w:r>
      <w:r w:rsidR="16461922" w:rsidRPr="00B85D62">
        <w:rPr>
          <w:rFonts w:eastAsia="Arial" w:cs="Arial"/>
        </w:rPr>
        <w:t xml:space="preserve"> </w:t>
      </w:r>
      <w:r w:rsidRPr="00B85D62">
        <w:rPr>
          <w:rFonts w:eastAsia="Arial" w:cs="Arial"/>
        </w:rPr>
        <w:t>Subsequent cascade testing of relatives is also sub-optimal due partly to perceived barriers for specialists to approach relatives directly, particularly if the</w:t>
      </w:r>
      <w:r w:rsidR="6DFBEF69" w:rsidRPr="00B85D62">
        <w:rPr>
          <w:rFonts w:eastAsia="Arial" w:cs="Arial"/>
        </w:rPr>
        <w:t xml:space="preserve"> relatives </w:t>
      </w:r>
      <w:r w:rsidRPr="00B85D62">
        <w:rPr>
          <w:rFonts w:eastAsia="Arial" w:cs="Arial"/>
        </w:rPr>
        <w:t>live in different geographies. Moreover, people with FH are mainly managed by specialist care, despite the potential for greater management in primary care.</w:t>
      </w:r>
    </w:p>
    <w:p w14:paraId="19FC95B5" w14:textId="469F8318" w:rsidR="00201D4F" w:rsidRPr="00B85D62" w:rsidRDefault="1EF1C9BC" w:rsidP="0066232B">
      <w:pPr>
        <w:rPr>
          <w:rFonts w:eastAsia="Arial" w:cs="Arial"/>
        </w:rPr>
      </w:pPr>
      <w:r w:rsidRPr="00B85D62">
        <w:rPr>
          <w:rFonts w:eastAsia="Arial" w:cs="Arial"/>
        </w:rPr>
        <w:t xml:space="preserve">Existing cost-effectiveness analyses (UK and internationally) have explored whether or not specific protocols for cascading are cost-effective </w:t>
      </w:r>
      <w:r w:rsidR="00F80015" w:rsidRPr="00B85D62">
        <w:rPr>
          <w:rFonts w:cs="Arial"/>
          <w:noProof/>
          <w:vertAlign w:val="superscript"/>
        </w:rPr>
        <w:t>11</w:t>
      </w:r>
      <w:r w:rsidR="00B85D62" w:rsidRPr="00B85D62">
        <w:rPr>
          <w:rFonts w:cs="Arial"/>
          <w:noProof/>
          <w:color w:val="00B0F0"/>
          <w:vertAlign w:val="superscript"/>
        </w:rPr>
        <w:t>–</w:t>
      </w:r>
      <w:r w:rsidR="00B85D62" w:rsidRPr="00B85D62">
        <w:rPr>
          <w:rFonts w:cs="Arial"/>
          <w:noProof/>
          <w:color w:val="00B0F0"/>
          <w:vertAlign w:val="superscript"/>
        </w:rPr>
        <w:t>1</w:t>
      </w:r>
      <w:r w:rsidR="00F80015" w:rsidRPr="00B85D62">
        <w:rPr>
          <w:rFonts w:cs="Arial"/>
          <w:noProof/>
          <w:vertAlign w:val="superscript"/>
        </w:rPr>
        <w:t>4</w:t>
      </w:r>
      <w:r w:rsidR="266C02A5" w:rsidRPr="00B85D62">
        <w:rPr>
          <w:rFonts w:eastAsia="Arial" w:cs="Arial"/>
        </w:rPr>
        <w:t>.</w:t>
      </w:r>
      <w:r w:rsidRPr="00B85D62">
        <w:rPr>
          <w:rFonts w:eastAsia="Arial" w:cs="Arial"/>
        </w:rPr>
        <w:t xml:space="preserve"> However, commissioners and </w:t>
      </w:r>
      <w:r w:rsidR="00B85D62" w:rsidRPr="00B85D62">
        <w:rPr>
          <w:rFonts w:eastAsia="Arial" w:cs="Arial"/>
          <w:color w:val="00B0F0"/>
        </w:rPr>
        <w:t>policy-mak</w:t>
      </w:r>
      <w:r w:rsidRPr="00B85D62">
        <w:rPr>
          <w:rFonts w:eastAsia="Arial" w:cs="Arial"/>
        </w:rPr>
        <w:t xml:space="preserve">ers are uncertain about whether current cascade programmes represent the best value for money in </w:t>
      </w:r>
      <w:r w:rsidRPr="00B85D62">
        <w:rPr>
          <w:rFonts w:eastAsia="Arial" w:cs="Arial"/>
          <w:highlight w:val="magenta"/>
        </w:rPr>
        <w:t>practice</w:t>
      </w:r>
      <w:r w:rsidR="43EB918E" w:rsidRPr="00B85D62">
        <w:rPr>
          <w:rFonts w:eastAsia="Arial" w:cs="Arial"/>
        </w:rPr>
        <w:t xml:space="preserve"> </w:t>
      </w:r>
      <w:r w:rsidR="00F80015" w:rsidRPr="00B85D62">
        <w:rPr>
          <w:rFonts w:cs="Arial"/>
          <w:noProof/>
          <w:vertAlign w:val="superscript"/>
        </w:rPr>
        <w:t>15, 16</w:t>
      </w:r>
      <w:r w:rsidRPr="00B85D62">
        <w:rPr>
          <w:rFonts w:eastAsia="Arial" w:cs="Arial"/>
        </w:rPr>
        <w:t>. They have questioned whether tighter criteria for cascading could offer better value for money, and whether service protocols could do more to maximise the number of relatives tested.</w:t>
      </w:r>
    </w:p>
    <w:p w14:paraId="0A080385" w14:textId="131DC306" w:rsidR="00201D4F" w:rsidRPr="00B85D62" w:rsidRDefault="1EF1C9BC" w:rsidP="0066232B">
      <w:pPr>
        <w:rPr>
          <w:rFonts w:eastAsia="Arial" w:cs="Arial"/>
        </w:rPr>
      </w:pPr>
      <w:r w:rsidRPr="00B85D62">
        <w:rPr>
          <w:rFonts w:eastAsia="Arial" w:cs="Arial"/>
        </w:rPr>
        <w:t xml:space="preserve">By using robust and multiple </w:t>
      </w:r>
      <w:r w:rsidRPr="00B85D62">
        <w:rPr>
          <w:rFonts w:eastAsia="Arial" w:cs="Arial"/>
          <w:highlight w:val="magenta"/>
        </w:rPr>
        <w:t>data</w:t>
      </w:r>
      <w:r w:rsidRPr="00B85D62">
        <w:rPr>
          <w:rFonts w:eastAsia="Arial" w:cs="Arial"/>
        </w:rPr>
        <w:t xml:space="preserve"> sources and modelling a wide range of possible protocols for cascade testing, this study </w:t>
      </w:r>
      <w:r w:rsidR="5C9BDC44" w:rsidRPr="00B85D62">
        <w:rPr>
          <w:rFonts w:eastAsia="Arial" w:cs="Arial"/>
        </w:rPr>
        <w:t>has</w:t>
      </w:r>
      <w:r w:rsidRPr="00B85D62">
        <w:rPr>
          <w:rFonts w:eastAsia="Arial" w:cs="Arial"/>
        </w:rPr>
        <w:t xml:space="preserve"> identif</w:t>
      </w:r>
      <w:r w:rsidR="6E9967B5" w:rsidRPr="00B85D62">
        <w:rPr>
          <w:rFonts w:eastAsia="Arial" w:cs="Arial"/>
        </w:rPr>
        <w:t xml:space="preserve">ied </w:t>
      </w:r>
      <w:r w:rsidRPr="00B85D62">
        <w:rPr>
          <w:rFonts w:eastAsia="Arial" w:cs="Arial"/>
        </w:rPr>
        <w:t>the most cost-effective protocol</w:t>
      </w:r>
      <w:r w:rsidR="26FFC469" w:rsidRPr="00B85D62">
        <w:rPr>
          <w:rFonts w:eastAsia="Arial" w:cs="Arial"/>
        </w:rPr>
        <w:t>s</w:t>
      </w:r>
      <w:r w:rsidRPr="00B85D62">
        <w:rPr>
          <w:rFonts w:eastAsia="Arial" w:cs="Arial"/>
        </w:rPr>
        <w:t xml:space="preserve"> for cascade testing for familial hypercholesterolaemia in UK clinical </w:t>
      </w:r>
      <w:r w:rsidRPr="00B85D62">
        <w:rPr>
          <w:rFonts w:eastAsia="Arial" w:cs="Arial"/>
          <w:highlight w:val="magenta"/>
        </w:rPr>
        <w:t>practice</w:t>
      </w:r>
      <w:r w:rsidRPr="00B85D62">
        <w:rPr>
          <w:rFonts w:eastAsia="Arial" w:cs="Arial"/>
        </w:rPr>
        <w:t xml:space="preserve"> and the NHS.</w:t>
      </w:r>
    </w:p>
    <w:p w14:paraId="707BB2B8" w14:textId="28ED5BD5" w:rsidR="00201D4F" w:rsidRPr="00B85D62" w:rsidRDefault="1EF1C9BC" w:rsidP="0066232B">
      <w:pPr>
        <w:rPr>
          <w:rFonts w:eastAsia="Arial" w:cs="Arial"/>
        </w:rPr>
      </w:pPr>
      <w:r w:rsidRPr="00B85D62">
        <w:rPr>
          <w:rFonts w:eastAsia="Arial" w:cs="Arial"/>
        </w:rPr>
        <w:t xml:space="preserve">The study </w:t>
      </w:r>
      <w:r w:rsidR="17E39856" w:rsidRPr="00B85D62">
        <w:rPr>
          <w:rFonts w:eastAsia="Arial" w:cs="Arial"/>
        </w:rPr>
        <w:t>us</w:t>
      </w:r>
      <w:r w:rsidRPr="00B85D62">
        <w:rPr>
          <w:rFonts w:eastAsia="Arial" w:cs="Arial"/>
        </w:rPr>
        <w:t>e</w:t>
      </w:r>
      <w:r w:rsidR="4BB05327" w:rsidRPr="00B85D62">
        <w:rPr>
          <w:rFonts w:eastAsia="Arial" w:cs="Arial"/>
        </w:rPr>
        <w:t>d</w:t>
      </w:r>
      <w:r w:rsidRPr="00B85D62">
        <w:rPr>
          <w:rFonts w:eastAsia="Arial" w:cs="Arial"/>
        </w:rPr>
        <w:t xml:space="preserve"> economic modelling to evaluate the cost-effectiveness of alternative cascade testing protocols. Parameters to inform these models w</w:t>
      </w:r>
      <w:r w:rsidR="04E9B7FB" w:rsidRPr="00B85D62">
        <w:rPr>
          <w:rFonts w:eastAsia="Arial" w:cs="Arial"/>
        </w:rPr>
        <w:t>er</w:t>
      </w:r>
      <w:r w:rsidRPr="00B85D62">
        <w:rPr>
          <w:rFonts w:eastAsia="Arial" w:cs="Arial"/>
        </w:rPr>
        <w:t xml:space="preserve">e derived from existing published literature and routinely available </w:t>
      </w:r>
      <w:r w:rsidRPr="00B85D62">
        <w:rPr>
          <w:rFonts w:eastAsia="Arial" w:cs="Arial"/>
          <w:highlight w:val="magenta"/>
        </w:rPr>
        <w:t>data</w:t>
      </w:r>
      <w:r w:rsidRPr="00B85D62">
        <w:rPr>
          <w:rFonts w:eastAsia="Arial" w:cs="Arial"/>
        </w:rPr>
        <w:t xml:space="preserve"> in primary and specialist care. In this study we</w:t>
      </w:r>
      <w:r w:rsidR="00C7372D" w:rsidRPr="00B85D62">
        <w:rPr>
          <w:rFonts w:eastAsia="Arial" w:cs="Arial"/>
        </w:rPr>
        <w:t xml:space="preserve"> originally </w:t>
      </w:r>
      <w:r w:rsidR="4ADAB44E" w:rsidRPr="00B85D62">
        <w:rPr>
          <w:rFonts w:eastAsia="Arial" w:cs="Arial"/>
        </w:rPr>
        <w:t xml:space="preserve">proposed to </w:t>
      </w:r>
      <w:r w:rsidRPr="00B85D62">
        <w:rPr>
          <w:rFonts w:eastAsia="Arial" w:cs="Arial"/>
        </w:rPr>
        <w:t xml:space="preserve">collect </w:t>
      </w:r>
      <w:r w:rsidRPr="00B85D62">
        <w:rPr>
          <w:rFonts w:eastAsia="Arial" w:cs="Arial"/>
          <w:highlight w:val="magenta"/>
        </w:rPr>
        <w:t>data</w:t>
      </w:r>
      <w:r w:rsidRPr="00B85D62">
        <w:rPr>
          <w:rFonts w:eastAsia="Arial" w:cs="Arial"/>
        </w:rPr>
        <w:t xml:space="preserve"> from 3 large regional FH services (Wessex, Scotland, Wales) with differing protocols for cascade testing.</w:t>
      </w:r>
    </w:p>
    <w:p w14:paraId="54843FE4" w14:textId="068EFFEE" w:rsidR="00201D4F" w:rsidRPr="00B85D62" w:rsidRDefault="1EF1C9BC" w:rsidP="0066232B">
      <w:pPr>
        <w:rPr>
          <w:rFonts w:eastAsia="Arial" w:cs="Arial"/>
        </w:rPr>
      </w:pPr>
      <w:r w:rsidRPr="00B85D62">
        <w:rPr>
          <w:rFonts w:eastAsia="Arial" w:cs="Arial"/>
        </w:rPr>
        <w:t xml:space="preserve">The Welsh service, serving a population of 3.2 million since 2011 and co-funded by </w:t>
      </w:r>
      <w:r w:rsidR="00BC4B56" w:rsidRPr="00B85D62">
        <w:rPr>
          <w:rFonts w:eastAsia="Arial" w:cs="Arial"/>
        </w:rPr>
        <w:t>British Heart Foundation (</w:t>
      </w:r>
      <w:r w:rsidRPr="00B85D62">
        <w:rPr>
          <w:rFonts w:eastAsia="Arial" w:cs="Arial"/>
        </w:rPr>
        <w:t>BHF</w:t>
      </w:r>
      <w:r w:rsidR="00BC4B56" w:rsidRPr="00B85D62">
        <w:rPr>
          <w:rFonts w:eastAsia="Arial" w:cs="Arial"/>
        </w:rPr>
        <w:t>)</w:t>
      </w:r>
      <w:r w:rsidRPr="00B85D62">
        <w:rPr>
          <w:rFonts w:eastAsia="Arial" w:cs="Arial"/>
        </w:rPr>
        <w:t xml:space="preserve">, identifies new FH cases using </w:t>
      </w:r>
      <w:r w:rsidR="00435A17" w:rsidRPr="00B85D62">
        <w:rPr>
          <w:rFonts w:eastAsia="Arial" w:cs="Arial"/>
        </w:rPr>
        <w:t>the (</w:t>
      </w:r>
      <w:r w:rsidRPr="00B85D62">
        <w:rPr>
          <w:rFonts w:eastAsia="Arial" w:cs="Arial"/>
        </w:rPr>
        <w:t>modified</w:t>
      </w:r>
      <w:r w:rsidR="00435A17" w:rsidRPr="00B85D62">
        <w:rPr>
          <w:rFonts w:eastAsia="Arial" w:cs="Arial"/>
        </w:rPr>
        <w:t>) Welsh</w:t>
      </w:r>
      <w:r w:rsidRPr="00B85D62">
        <w:rPr>
          <w:rFonts w:eastAsia="Arial" w:cs="Arial"/>
        </w:rPr>
        <w:t xml:space="preserve"> </w:t>
      </w:r>
      <w:r w:rsidR="00435A17" w:rsidRPr="00B85D62">
        <w:rPr>
          <w:rFonts w:eastAsia="Arial" w:cs="Arial"/>
        </w:rPr>
        <w:t>DLCN</w:t>
      </w:r>
      <w:r w:rsidRPr="00B85D62">
        <w:rPr>
          <w:rFonts w:eastAsia="Arial" w:cs="Arial"/>
        </w:rPr>
        <w:t xml:space="preserve"> criteria </w:t>
      </w:r>
      <w:r w:rsidR="00F80015" w:rsidRPr="00B85D62">
        <w:rPr>
          <w:rFonts w:cs="Arial"/>
          <w:noProof/>
          <w:vertAlign w:val="superscript"/>
        </w:rPr>
        <w:t>10</w:t>
      </w:r>
      <w:r w:rsidRPr="00B85D62">
        <w:rPr>
          <w:rFonts w:eastAsia="Arial" w:cs="Arial"/>
        </w:rPr>
        <w:t xml:space="preserve">, including triglyceride levels. </w:t>
      </w:r>
      <w:r w:rsidR="0120EC36" w:rsidRPr="00B85D62">
        <w:rPr>
          <w:rFonts w:eastAsia="Arial" w:cs="Arial"/>
        </w:rPr>
        <w:t>In the service, s</w:t>
      </w:r>
      <w:r w:rsidRPr="00B85D62">
        <w:rPr>
          <w:rFonts w:eastAsia="Arial" w:cs="Arial"/>
        </w:rPr>
        <w:t>everal modalities of identification are used including specialist nurses accessing primary care records. Cascade testing to relatives is offered directly (initiated by the clinic/medical professionals) and indirectly (</w:t>
      </w:r>
      <w:r w:rsidR="4674079A" w:rsidRPr="00B85D62">
        <w:rPr>
          <w:rFonts w:eastAsia="Arial" w:cs="Arial"/>
        </w:rPr>
        <w:t>initiated</w:t>
      </w:r>
      <w:r w:rsidRPr="00B85D62">
        <w:rPr>
          <w:rFonts w:eastAsia="Arial" w:cs="Arial"/>
        </w:rPr>
        <w:t xml:space="preserve"> by patients providing information to their family members).</w:t>
      </w:r>
    </w:p>
    <w:p w14:paraId="70940230" w14:textId="4975644A" w:rsidR="00201D4F" w:rsidRPr="00B85D62" w:rsidRDefault="1EF1C9BC" w:rsidP="0066232B">
      <w:pPr>
        <w:rPr>
          <w:rFonts w:eastAsia="Arial" w:cs="Arial"/>
        </w:rPr>
      </w:pPr>
      <w:r w:rsidRPr="00B85D62">
        <w:rPr>
          <w:rFonts w:eastAsia="Arial" w:cs="Arial"/>
        </w:rPr>
        <w:t>The Wessex service, serving a population of 2.5 million, is one of the first BHF pilots (2014). Cases are identified through primary care based FH coordinators using modified NICE Simon-Broome referral criteria with higher LDL</w:t>
      </w:r>
      <w:r w:rsidR="74675467" w:rsidRPr="00B85D62">
        <w:rPr>
          <w:rFonts w:eastAsia="Arial" w:cs="Arial"/>
        </w:rPr>
        <w:t>-C</w:t>
      </w:r>
      <w:r w:rsidRPr="00B85D62">
        <w:rPr>
          <w:rFonts w:eastAsia="Arial" w:cs="Arial"/>
        </w:rPr>
        <w:t xml:space="preserve"> threshold (</w:t>
      </w:r>
      <w:r w:rsidR="00B85D62" w:rsidRPr="00B85D62">
        <w:rPr>
          <w:rFonts w:eastAsia="Arial" w:cs="Arial"/>
          <w:color w:val="00B0F0"/>
        </w:rPr>
        <w:t>&gt;</w:t>
      </w:r>
      <w:r w:rsidR="00B85D62" w:rsidRPr="00B85D62">
        <w:rPr>
          <w:rFonts w:eastAsia="Arial" w:cs="Arial"/>
          <w:color w:val="00B0F0"/>
        </w:rPr>
        <w:t> </w:t>
      </w:r>
      <w:r w:rsidR="00B85D62" w:rsidRPr="00B85D62">
        <w:rPr>
          <w:rFonts w:eastAsia="Arial" w:cs="Arial"/>
          <w:color w:val="00B0F0"/>
        </w:rPr>
        <w:t>5</w:t>
      </w:r>
      <w:r w:rsidRPr="00B85D62">
        <w:rPr>
          <w:rFonts w:eastAsia="Arial" w:cs="Arial"/>
        </w:rPr>
        <w:t>.5</w:t>
      </w:r>
      <w:r w:rsidR="787E2EC2" w:rsidRPr="00B85D62">
        <w:rPr>
          <w:rFonts w:eastAsia="Arial" w:cs="Arial"/>
        </w:rPr>
        <w:t xml:space="preserve"> mmol/l</w:t>
      </w:r>
      <w:r w:rsidRPr="00B85D62">
        <w:rPr>
          <w:rFonts w:eastAsia="Arial" w:cs="Arial"/>
        </w:rPr>
        <w:t xml:space="preserve">) and takes account of triglyceride levels </w:t>
      </w:r>
      <w:r w:rsidR="00F80015" w:rsidRPr="00B85D62">
        <w:rPr>
          <w:rFonts w:cs="Arial"/>
          <w:noProof/>
          <w:vertAlign w:val="superscript"/>
        </w:rPr>
        <w:t>13</w:t>
      </w:r>
      <w:r w:rsidRPr="00B85D62">
        <w:rPr>
          <w:rFonts w:eastAsia="Arial" w:cs="Arial"/>
        </w:rPr>
        <w:t>. Cascade testing to relatives is usually through indirect contact.</w:t>
      </w:r>
    </w:p>
    <w:p w14:paraId="7924EF02" w14:textId="5E1CFB64" w:rsidR="00201D4F" w:rsidRPr="00B85D62" w:rsidRDefault="1EF1C9BC" w:rsidP="0066232B">
      <w:pPr>
        <w:rPr>
          <w:rFonts w:eastAsia="Arial" w:cs="Arial"/>
        </w:rPr>
      </w:pPr>
      <w:r w:rsidRPr="00B85D62">
        <w:rPr>
          <w:rFonts w:eastAsia="Arial" w:cs="Arial"/>
        </w:rPr>
        <w:t>The Scottish service protocol serves a population of 5.5 million since 2008. GPs use NICE Simon-Broome criteria for referring suspected index cases either directly for genetic testing or through a network of 17 lipid cli</w:t>
      </w:r>
      <w:r w:rsidR="00435A17" w:rsidRPr="00B85D62">
        <w:rPr>
          <w:rFonts w:eastAsia="Arial" w:cs="Arial"/>
        </w:rPr>
        <w:t>nics. Patients with genetically-</w:t>
      </w:r>
      <w:r w:rsidRPr="00B85D62">
        <w:rPr>
          <w:rFonts w:eastAsia="Arial" w:cs="Arial"/>
        </w:rPr>
        <w:t>confirmed FH are referred to genetic services for cascade testing, initially contacting relatives indirectly, but more recently using indirect and direct approaches.</w:t>
      </w:r>
    </w:p>
    <w:p w14:paraId="7F3EB088" w14:textId="77777777" w:rsidR="00B85D62" w:rsidRPr="00B85D62" w:rsidRDefault="1EF1C9BC" w:rsidP="0066232B">
      <w:pPr>
        <w:rPr>
          <w:rFonts w:eastAsia="Arial" w:cs="Arial"/>
        </w:rPr>
      </w:pPr>
      <w:r w:rsidRPr="00B85D62">
        <w:rPr>
          <w:rFonts w:eastAsia="Arial" w:cs="Arial"/>
        </w:rPr>
        <w:t xml:space="preserve">In exploring and identifying the most cost-effective protocols and care pathways, successful future and wider implementation will be </w:t>
      </w:r>
      <w:r w:rsidRPr="00B85D62">
        <w:rPr>
          <w:rFonts w:eastAsia="Arial" w:cs="Arial"/>
          <w:highlight w:val="magenta"/>
        </w:rPr>
        <w:t>dependent</w:t>
      </w:r>
      <w:r w:rsidRPr="00B85D62">
        <w:rPr>
          <w:rFonts w:eastAsia="Arial" w:cs="Arial"/>
        </w:rPr>
        <w:t xml:space="preserve"> on their acceptability to a range of stakeholders. Exploration of the experiences, views and attitudes of patients and family members, primary care and specialist health</w:t>
      </w:r>
      <w:r w:rsidR="00435A17" w:rsidRPr="00B85D62">
        <w:rPr>
          <w:rFonts w:eastAsia="Arial" w:cs="Arial"/>
        </w:rPr>
        <w:t>care</w:t>
      </w:r>
      <w:r w:rsidRPr="00B85D62">
        <w:rPr>
          <w:rFonts w:eastAsia="Arial" w:cs="Arial"/>
        </w:rPr>
        <w:t xml:space="preserve"> providers, and service commissioners is thus </w:t>
      </w:r>
      <w:r w:rsidR="4F9B8063" w:rsidRPr="00B85D62">
        <w:rPr>
          <w:rFonts w:eastAsia="Arial" w:cs="Arial"/>
        </w:rPr>
        <w:t>also explored</w:t>
      </w:r>
      <w:r w:rsidRPr="00B85D62">
        <w:rPr>
          <w:rFonts w:eastAsia="Arial" w:cs="Arial"/>
        </w:rPr>
        <w:t>.</w:t>
      </w:r>
    </w:p>
    <w:p w14:paraId="0896EECD" w14:textId="7CB3227B" w:rsidR="00201D4F" w:rsidRPr="00B85D62" w:rsidRDefault="40ACBD79" w:rsidP="006C7E71">
      <w:pPr>
        <w:pStyle w:val="Heading2"/>
      </w:pPr>
      <w:bookmarkStart w:id="16" w:name="_Toc107157434"/>
      <w:r w:rsidRPr="00B85D62">
        <w:t>S</w:t>
      </w:r>
      <w:r w:rsidR="3CC804BA" w:rsidRPr="00B85D62">
        <w:t>tudy aims</w:t>
      </w:r>
      <w:bookmarkEnd w:id="16"/>
    </w:p>
    <w:p w14:paraId="6CDECCD1" w14:textId="77777777" w:rsidR="00B85D62" w:rsidRPr="00B85D62" w:rsidRDefault="1EF1C9BC" w:rsidP="213CEFC4">
      <w:pPr>
        <w:rPr>
          <w:rFonts w:eastAsia="Arial" w:cs="Arial"/>
        </w:rPr>
      </w:pPr>
      <w:r w:rsidRPr="00B85D62">
        <w:rPr>
          <w:rFonts w:eastAsia="Arial" w:cs="Arial"/>
        </w:rPr>
        <w:t>Aims: To identify the most cost-effective</w:t>
      </w:r>
      <w:r w:rsidR="00B85D62" w:rsidRPr="00B85D62">
        <w:rPr>
          <w:rFonts w:eastAsia="Arial" w:cs="Arial"/>
        </w:rPr>
        <w:t xml:space="preserve"> </w:t>
      </w:r>
      <w:r w:rsidRPr="00B85D62">
        <w:rPr>
          <w:rFonts w:eastAsia="Arial" w:cs="Arial"/>
        </w:rPr>
        <w:t>cascade testing protocol for</w:t>
      </w:r>
      <w:r w:rsidR="213CEFC4" w:rsidRPr="00B85D62">
        <w:rPr>
          <w:rFonts w:eastAsia="Arial" w:cs="Arial"/>
        </w:rPr>
        <w:t xml:space="preserve"> </w:t>
      </w:r>
      <w:r w:rsidRPr="00B85D62">
        <w:rPr>
          <w:rFonts w:eastAsia="Arial" w:cs="Arial"/>
        </w:rPr>
        <w:t>familial hypercholesterolaemia (FH).</w:t>
      </w:r>
    </w:p>
    <w:p w14:paraId="05E6352F" w14:textId="09390E1B" w:rsidR="00B85D62" w:rsidRPr="00B85D62" w:rsidRDefault="40ACBD79" w:rsidP="006C7E71">
      <w:pPr>
        <w:pStyle w:val="Heading2"/>
      </w:pPr>
      <w:bookmarkStart w:id="17" w:name="_Toc107157435"/>
      <w:r w:rsidRPr="00B85D62">
        <w:t>S</w:t>
      </w:r>
      <w:r w:rsidR="50ED3896" w:rsidRPr="00B85D62">
        <w:t>tudy</w:t>
      </w:r>
      <w:r w:rsidRPr="00B85D62">
        <w:t xml:space="preserve"> O</w:t>
      </w:r>
      <w:r w:rsidR="3624F935" w:rsidRPr="00B85D62">
        <w:t>bjectives</w:t>
      </w:r>
      <w:bookmarkEnd w:id="17"/>
      <w:r w:rsidR="040B754E" w:rsidRPr="00B85D62">
        <w:tab/>
      </w:r>
    </w:p>
    <w:p w14:paraId="6482E24C" w14:textId="2F747E61" w:rsidR="00E86255" w:rsidRPr="00B85D62" w:rsidRDefault="00E86255" w:rsidP="00E86255">
      <w:pPr>
        <w:numPr>
          <w:ilvl w:val="0"/>
          <w:numId w:val="2"/>
        </w:numPr>
        <w:contextualSpacing/>
        <w:rPr>
          <w:rFonts w:eastAsia="Arial" w:cs="Arial"/>
        </w:rPr>
      </w:pPr>
      <w:r w:rsidRPr="00B85D62">
        <w:rPr>
          <w:rFonts w:eastAsia="Arial" w:cs="Arial"/>
        </w:rPr>
        <w:t xml:space="preserve">To determine the yield of cases, treatment patterns, and short and long-term outcomes for FH patients through routine service </w:t>
      </w:r>
      <w:r w:rsidRPr="00B85D62">
        <w:rPr>
          <w:rFonts w:eastAsia="Arial" w:cs="Arial"/>
          <w:highlight w:val="magenta"/>
        </w:rPr>
        <w:t>data</w:t>
      </w:r>
      <w:r w:rsidRPr="00B85D62">
        <w:rPr>
          <w:rFonts w:eastAsia="Arial" w:cs="Arial"/>
        </w:rPr>
        <w:t xml:space="preserve"> and by new linkage of national FH, primary and secondary care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s.</w:t>
      </w:r>
    </w:p>
    <w:p w14:paraId="7FC4A884" w14:textId="77777777" w:rsidR="00B85D62" w:rsidRPr="00B85D62" w:rsidRDefault="00E86255" w:rsidP="00E86255">
      <w:pPr>
        <w:numPr>
          <w:ilvl w:val="0"/>
          <w:numId w:val="2"/>
        </w:numPr>
        <w:contextualSpacing/>
        <w:rPr>
          <w:rFonts w:eastAsia="Arial" w:cs="Arial"/>
        </w:rPr>
      </w:pPr>
      <w:r w:rsidRPr="00B85D62">
        <w:rPr>
          <w:rFonts w:eastAsia="Arial" w:cs="Arial"/>
        </w:rPr>
        <w:t xml:space="preserve">To evaluate the cost-effectiveness of alternative protocols for cascade testing using </w:t>
      </w:r>
      <w:r w:rsidRPr="00B85D62">
        <w:rPr>
          <w:rFonts w:eastAsia="Arial" w:cs="Arial"/>
          <w:highlight w:val="magenta"/>
        </w:rPr>
        <w:t>data</w:t>
      </w:r>
      <w:r w:rsidRPr="00B85D62">
        <w:rPr>
          <w:rFonts w:eastAsia="Arial" w:cs="Arial"/>
        </w:rPr>
        <w:t xml:space="preserve"> from service protocols in three UK regions, the literature, and linkage of national clinical databases.</w:t>
      </w:r>
    </w:p>
    <w:p w14:paraId="0846324B" w14:textId="77777777" w:rsidR="00B85D62" w:rsidRPr="00B85D62" w:rsidRDefault="00E86255" w:rsidP="00E86255">
      <w:pPr>
        <w:numPr>
          <w:ilvl w:val="0"/>
          <w:numId w:val="2"/>
        </w:numPr>
        <w:contextualSpacing/>
        <w:rPr>
          <w:rFonts w:eastAsia="Arial" w:cs="Arial"/>
        </w:rPr>
      </w:pPr>
      <w:r w:rsidRPr="00B85D62">
        <w:rPr>
          <w:rFonts w:eastAsia="Arial" w:cs="Arial"/>
        </w:rPr>
        <w:t xml:space="preserve">To assess the acceptability of cascade testing approaches to individuals and families with potential and confirmed FH, </w:t>
      </w:r>
      <w:r w:rsidR="007D0656" w:rsidRPr="00B85D62">
        <w:rPr>
          <w:rFonts w:eastAsia="Arial" w:cs="Arial"/>
        </w:rPr>
        <w:t xml:space="preserve">and </w:t>
      </w:r>
      <w:r w:rsidRPr="00B85D62">
        <w:rPr>
          <w:rFonts w:eastAsia="Arial" w:cs="Arial"/>
        </w:rPr>
        <w:t>health care providers.</w:t>
      </w:r>
    </w:p>
    <w:p w14:paraId="7B8878A9" w14:textId="49E9D92C" w:rsidR="00E86255" w:rsidRPr="00B85D62" w:rsidRDefault="00E86255" w:rsidP="39386A16">
      <w:pPr>
        <w:rPr>
          <w:rFonts w:eastAsia="Arial" w:cs="Arial"/>
        </w:rPr>
      </w:pPr>
      <w:bookmarkStart w:id="18" w:name="_Hlk79766316"/>
      <w:r w:rsidRPr="00B85D62">
        <w:rPr>
          <w:rFonts w:eastAsia="Arial" w:cs="Arial"/>
        </w:rPr>
        <w:lastRenderedPageBreak/>
        <w:t xml:space="preserve">Objective (1) was addressed by developing an economic model that synthesises evidence on genetic testing to identify index cases and subsequent cascade testing, with evidence on the short- and long-term costs and benefits of identifying and managing FH cases. This was based on </w:t>
      </w:r>
      <w:r w:rsidRPr="00B85D62">
        <w:rPr>
          <w:rFonts w:eastAsia="Arial" w:cs="Arial"/>
          <w:highlight w:val="magenta"/>
        </w:rPr>
        <w:t>data</w:t>
      </w:r>
      <w:r w:rsidRPr="00B85D62">
        <w:rPr>
          <w:rFonts w:eastAsia="Arial" w:cs="Arial"/>
        </w:rPr>
        <w:t xml:space="preserve"> from: a) cascade testing services, b) linking UK primary and secondary care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s describing the management and outcomes of patients with FH (see Objective 2) and c) evidence from the literature and supplied by the Dutch FH service.</w:t>
      </w:r>
    </w:p>
    <w:p w14:paraId="2A0203F9" w14:textId="66F2D3EB" w:rsidR="00B85D62" w:rsidRPr="00B85D62" w:rsidRDefault="00E86255" w:rsidP="39386A16">
      <w:pPr>
        <w:rPr>
          <w:rFonts w:eastAsia="Arial" w:cs="Arial"/>
        </w:rPr>
      </w:pPr>
      <w:r w:rsidRPr="00B85D62">
        <w:rPr>
          <w:rFonts w:eastAsia="Arial" w:cs="Arial"/>
        </w:rPr>
        <w:t xml:space="preserve">Objective (2) described treatment patterns and short- and long-term outcomes in FH patients, by linkage of national clinical databases. </w:t>
      </w:r>
      <w:r w:rsidRPr="00B85D62">
        <w:rPr>
          <w:rFonts w:eastAsia="Arial" w:cs="Arial"/>
          <w:highlight w:val="magenta"/>
        </w:rPr>
        <w:t>Data</w:t>
      </w:r>
      <w:r w:rsidRPr="00B85D62">
        <w:rPr>
          <w:rFonts w:eastAsia="Arial" w:cs="Arial"/>
        </w:rPr>
        <w:t xml:space="preserve"> on cases managed in primary and secondary care were linked to </w:t>
      </w:r>
      <w:r w:rsidRPr="00B85D62">
        <w:rPr>
          <w:rFonts w:eastAsia="Arial" w:cs="Arial"/>
          <w:highlight w:val="magenta"/>
        </w:rPr>
        <w:t>data</w:t>
      </w:r>
      <w:r w:rsidRPr="00B85D62">
        <w:rPr>
          <w:rFonts w:eastAsia="Arial" w:cs="Arial"/>
        </w:rPr>
        <w:t xml:space="preserve"> on lipid lowering therapy use and cholesterol response (from Clinical </w:t>
      </w:r>
      <w:r w:rsidRPr="00B85D62">
        <w:rPr>
          <w:rFonts w:eastAsia="Arial" w:cs="Arial"/>
          <w:highlight w:val="magenta"/>
        </w:rPr>
        <w:t>Practice</w:t>
      </w:r>
      <w:r w:rsidRPr="00B85D62">
        <w:rPr>
          <w:rFonts w:eastAsia="Arial" w:cs="Arial"/>
        </w:rPr>
        <w:t xml:space="preserve"> Research Datalink [CPRD] and the Simon-Broome FH registry), and to cardiovascular events (from Hospital Episode Statistics [HES] and mortality (Office for National Statistics [ONS])</w:t>
      </w:r>
      <w:r w:rsidR="00C27099" w:rsidRPr="00B85D62">
        <w:rPr>
          <w:rFonts w:eastAsia="Arial" w:cs="Arial"/>
        </w:rPr>
        <w:t>)</w:t>
      </w:r>
      <w:r w:rsidRPr="00B85D62">
        <w:rPr>
          <w:rFonts w:eastAsia="Arial" w:cs="Arial"/>
        </w:rPr>
        <w:t xml:space="preserve">. Further, </w:t>
      </w:r>
      <w:r w:rsidRPr="00B85D62">
        <w:rPr>
          <w:rFonts w:eastAsia="Arial" w:cs="Arial"/>
          <w:highlight w:val="magenta"/>
        </w:rPr>
        <w:t>data</w:t>
      </w:r>
      <w:r w:rsidRPr="00B85D62">
        <w:rPr>
          <w:rFonts w:eastAsia="Arial" w:cs="Arial"/>
        </w:rPr>
        <w:t xml:space="preserve"> on yield of new FH cases and relatives were captured from routine service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s</w:t>
      </w:r>
      <w:r w:rsidR="001B422A" w:rsidRPr="00B85D62">
        <w:rPr>
          <w:rFonts w:eastAsia="Arial" w:cs="Arial"/>
        </w:rPr>
        <w:t xml:space="preserve">. </w:t>
      </w:r>
      <w:r w:rsidRPr="00B85D62">
        <w:rPr>
          <w:rFonts w:eastAsia="Arial" w:cs="Arial"/>
        </w:rPr>
        <w:t>Collectively, these provided a rich source of evidence from which to estimate the impact of identifying and managing relatives with FH and therefore provide more precise and robust parameters for the cost-effectiveness model.</w:t>
      </w:r>
    </w:p>
    <w:p w14:paraId="6C00EA10" w14:textId="77777777" w:rsidR="00B85D62" w:rsidRPr="00B85D62" w:rsidRDefault="00E86255" w:rsidP="0066232B">
      <w:pPr>
        <w:rPr>
          <w:rFonts w:eastAsia="Arial" w:cs="Arial"/>
        </w:rPr>
      </w:pPr>
      <w:r w:rsidRPr="00B85D62">
        <w:rPr>
          <w:rFonts w:eastAsia="Arial" w:cs="Arial"/>
        </w:rPr>
        <w:t xml:space="preserve">Finally, objective (3) was addressed by qualitatively exploring acceptability, </w:t>
      </w:r>
      <w:r w:rsidR="0ADFD0C4" w:rsidRPr="00B85D62">
        <w:rPr>
          <w:rFonts w:eastAsia="Arial" w:cs="Arial"/>
        </w:rPr>
        <w:t>benefits,</w:t>
      </w:r>
      <w:r w:rsidRPr="00B85D62">
        <w:rPr>
          <w:rFonts w:eastAsia="Arial" w:cs="Arial"/>
        </w:rPr>
        <w:t xml:space="preserve"> and harms of cascade testing approaches from patient</w:t>
      </w:r>
      <w:r w:rsidR="003963BA" w:rsidRPr="00B85D62">
        <w:rPr>
          <w:rFonts w:eastAsia="Arial" w:cs="Arial"/>
        </w:rPr>
        <w:t xml:space="preserve">, </w:t>
      </w:r>
      <w:bookmarkEnd w:id="18"/>
      <w:r w:rsidR="003963BA" w:rsidRPr="00B85D62">
        <w:rPr>
          <w:rFonts w:eastAsia="Arial" w:cs="Arial"/>
        </w:rPr>
        <w:t>health care practitioner and other stakeholder perspectives</w:t>
      </w:r>
      <w:r w:rsidR="00EB4808" w:rsidRPr="00B85D62">
        <w:rPr>
          <w:rFonts w:eastAsia="Arial" w:cs="Arial"/>
        </w:rPr>
        <w:t>.</w:t>
      </w:r>
    </w:p>
    <w:p w14:paraId="32A9B889" w14:textId="77777777" w:rsidR="00B85D62" w:rsidRPr="00B85D62" w:rsidRDefault="0B4BB477" w:rsidP="006C7E71">
      <w:pPr>
        <w:pStyle w:val="Heading2"/>
      </w:pPr>
      <w:bookmarkStart w:id="19" w:name="_Toc107157436"/>
      <w:r w:rsidRPr="00B85D62">
        <w:t>Modification from original protocol</w:t>
      </w:r>
      <w:r w:rsidR="4B6050C9" w:rsidRPr="00B85D62">
        <w:t xml:space="preserve"> and structure of the report</w:t>
      </w:r>
      <w:bookmarkEnd w:id="19"/>
    </w:p>
    <w:p w14:paraId="441D85DD" w14:textId="77777777" w:rsidR="00B85D62" w:rsidRPr="00B85D62" w:rsidRDefault="6B88BE46" w:rsidP="0066232B">
      <w:pPr>
        <w:spacing w:after="120"/>
        <w:rPr>
          <w:rFonts w:eastAsia="Arial" w:cs="Arial"/>
        </w:rPr>
      </w:pPr>
      <w:r w:rsidRPr="00B85D62">
        <w:rPr>
          <w:rFonts w:eastAsia="Arial" w:cs="Arial"/>
        </w:rPr>
        <w:t xml:space="preserve">As the project progressed, we adjusted the protocol for the studies to reflect the publication of new studies and </w:t>
      </w:r>
      <w:r w:rsidRPr="00B85D62">
        <w:rPr>
          <w:rFonts w:eastAsia="Arial" w:cs="Arial"/>
          <w:highlight w:val="magenta"/>
        </w:rPr>
        <w:t>data</w:t>
      </w:r>
      <w:r w:rsidRPr="00B85D62">
        <w:rPr>
          <w:rFonts w:eastAsia="Arial" w:cs="Arial"/>
        </w:rPr>
        <w:t xml:space="preserve"> availability:</w:t>
      </w:r>
    </w:p>
    <w:p w14:paraId="50E74BCB" w14:textId="77777777" w:rsidR="00B85D62" w:rsidRPr="00B85D62" w:rsidRDefault="5D61AA7C" w:rsidP="004F3182">
      <w:pPr>
        <w:numPr>
          <w:ilvl w:val="0"/>
          <w:numId w:val="5"/>
        </w:numPr>
        <w:spacing w:after="120"/>
        <w:contextualSpacing/>
        <w:rPr>
          <w:rFonts w:eastAsia="Arial" w:cs="Arial"/>
        </w:rPr>
      </w:pPr>
      <w:r w:rsidRPr="00B85D62">
        <w:rPr>
          <w:rFonts w:eastAsia="Arial" w:cs="Arial"/>
        </w:rPr>
        <w:t xml:space="preserve">We concluded that a systematic review comparing outcomes in diagnosed and undiagnosed patients was not required, given the publication of the European Atherosclerosis Society Consensus Statement, which reviewed evidence from </w:t>
      </w:r>
      <w:r w:rsidR="00C27099" w:rsidRPr="00B85D62">
        <w:rPr>
          <w:rFonts w:eastAsia="Arial" w:cs="Arial"/>
        </w:rPr>
        <w:t>randomised controlled trials (RCTs)</w:t>
      </w:r>
      <w:r w:rsidRPr="00B85D62">
        <w:rPr>
          <w:rFonts w:eastAsia="Arial" w:cs="Arial"/>
        </w:rPr>
        <w:t xml:space="preserve">, observational and Mendelian randomisation studies, to conclude that </w:t>
      </w:r>
      <w:r w:rsidR="00C27099" w:rsidRPr="00B85D62">
        <w:rPr>
          <w:rFonts w:eastAsia="Arial" w:cs="Arial"/>
        </w:rPr>
        <w:t>cardiovascular</w:t>
      </w:r>
      <w:r w:rsidRPr="00B85D62">
        <w:rPr>
          <w:rFonts w:eastAsia="Arial" w:cs="Arial"/>
        </w:rPr>
        <w:t xml:space="preserve"> risk related to raised LDL-C increases over time </w:t>
      </w:r>
      <w:r w:rsidR="00F80015" w:rsidRPr="00B85D62">
        <w:rPr>
          <w:rFonts w:cs="Arial"/>
          <w:noProof/>
          <w:vertAlign w:val="superscript"/>
        </w:rPr>
        <w:t>17</w:t>
      </w:r>
      <w:r w:rsidRPr="00B85D62">
        <w:rPr>
          <w:rFonts w:eastAsia="Arial" w:cs="Arial"/>
        </w:rPr>
        <w:t xml:space="preserve"> </w:t>
      </w:r>
      <w:r w:rsidR="00C27099" w:rsidRPr="00B85D62">
        <w:rPr>
          <w:rFonts w:eastAsia="Arial" w:cs="Arial"/>
        </w:rPr>
        <w:t xml:space="preserve">and, based on </w:t>
      </w:r>
      <w:r w:rsidRPr="00B85D62">
        <w:rPr>
          <w:rFonts w:eastAsia="Arial" w:cs="Arial"/>
        </w:rPr>
        <w:t xml:space="preserve">the meta-analysis of individual level </w:t>
      </w:r>
      <w:r w:rsidRPr="00B85D62">
        <w:rPr>
          <w:rFonts w:eastAsia="Arial" w:cs="Arial"/>
          <w:highlight w:val="magenta"/>
        </w:rPr>
        <w:t>data</w:t>
      </w:r>
      <w:r w:rsidRPr="00B85D62">
        <w:rPr>
          <w:rFonts w:eastAsia="Arial" w:cs="Arial"/>
        </w:rPr>
        <w:t xml:space="preserve"> from 28 R</w:t>
      </w:r>
      <w:r w:rsidR="00C27099" w:rsidRPr="00B85D62">
        <w:rPr>
          <w:rFonts w:eastAsia="Arial" w:cs="Arial"/>
        </w:rPr>
        <w:t>CTs</w:t>
      </w:r>
      <w:r w:rsidRPr="00B85D62">
        <w:rPr>
          <w:rFonts w:eastAsia="Arial" w:cs="Arial"/>
        </w:rPr>
        <w:t xml:space="preserve"> on statin therapy, estimated that 1 mmol/L reduction in LDL</w:t>
      </w:r>
      <w:r w:rsidR="458D28F5" w:rsidRPr="00B85D62">
        <w:rPr>
          <w:rFonts w:eastAsia="Arial" w:cs="Arial"/>
        </w:rPr>
        <w:t>-</w:t>
      </w:r>
      <w:r w:rsidRPr="00B85D62">
        <w:rPr>
          <w:rFonts w:eastAsia="Arial" w:cs="Arial"/>
        </w:rPr>
        <w:t xml:space="preserve">C leads to a 22% reduction in CV risk </w:t>
      </w:r>
      <w:r w:rsidR="00F80015" w:rsidRPr="00B85D62">
        <w:rPr>
          <w:rFonts w:cs="Arial"/>
          <w:noProof/>
          <w:vertAlign w:val="superscript"/>
        </w:rPr>
        <w:t>18</w:t>
      </w:r>
      <w:r w:rsidRPr="00B85D62">
        <w:rPr>
          <w:rFonts w:eastAsia="Arial" w:cs="Arial"/>
        </w:rPr>
        <w:t>.</w:t>
      </w:r>
    </w:p>
    <w:p w14:paraId="24C72C82" w14:textId="77777777" w:rsidR="00B85D62" w:rsidRPr="00B85D62" w:rsidRDefault="5D61AA7C" w:rsidP="004F3182">
      <w:pPr>
        <w:numPr>
          <w:ilvl w:val="0"/>
          <w:numId w:val="5"/>
        </w:numPr>
        <w:spacing w:after="120"/>
        <w:contextualSpacing/>
        <w:rPr>
          <w:rFonts w:eastAsia="Arial" w:cs="Arial"/>
        </w:rPr>
      </w:pPr>
      <w:r w:rsidRPr="00B85D62">
        <w:rPr>
          <w:rFonts w:eastAsia="Arial" w:cs="Arial"/>
        </w:rPr>
        <w:t xml:space="preserve">We concluded that a systematic review </w:t>
      </w:r>
      <w:r w:rsidR="3FAAE29A" w:rsidRPr="00B85D62">
        <w:rPr>
          <w:rFonts w:eastAsia="Arial" w:cs="Arial"/>
        </w:rPr>
        <w:t xml:space="preserve">on </w:t>
      </w:r>
      <w:r w:rsidRPr="00B85D62">
        <w:rPr>
          <w:rFonts w:eastAsia="Arial" w:cs="Arial"/>
        </w:rPr>
        <w:t xml:space="preserve">long-term benefits of LLT in paediatric patients was not required given the publication of </w:t>
      </w:r>
      <w:r w:rsidR="00C27099" w:rsidRPr="00B85D62">
        <w:rPr>
          <w:rFonts w:eastAsia="Arial" w:cs="Arial"/>
        </w:rPr>
        <w:t xml:space="preserve">recent </w:t>
      </w:r>
      <w:r w:rsidRPr="00B85D62">
        <w:rPr>
          <w:rFonts w:eastAsia="Arial" w:cs="Arial"/>
        </w:rPr>
        <w:t xml:space="preserve">systematic reviews on this topic </w:t>
      </w:r>
      <w:r w:rsidR="00F80015" w:rsidRPr="00B85D62">
        <w:rPr>
          <w:rFonts w:cs="Arial"/>
          <w:noProof/>
          <w:vertAlign w:val="superscript"/>
        </w:rPr>
        <w:t>19, 20</w:t>
      </w:r>
      <w:r w:rsidRPr="00B85D62">
        <w:rPr>
          <w:rFonts w:eastAsia="Arial" w:cs="Arial"/>
        </w:rPr>
        <w:t>.</w:t>
      </w:r>
    </w:p>
    <w:p w14:paraId="6069092D" w14:textId="51FFE6D1" w:rsidR="00165AC9" w:rsidRPr="00B85D62" w:rsidRDefault="5D61AA7C" w:rsidP="004F3182">
      <w:pPr>
        <w:numPr>
          <w:ilvl w:val="0"/>
          <w:numId w:val="5"/>
        </w:numPr>
        <w:spacing w:after="120"/>
        <w:contextualSpacing/>
        <w:rPr>
          <w:rFonts w:eastAsia="Arial" w:cs="Arial"/>
        </w:rPr>
      </w:pPr>
      <w:r w:rsidRPr="00B85D62">
        <w:rPr>
          <w:rFonts w:eastAsia="Arial" w:cs="Arial"/>
        </w:rPr>
        <w:t>We compared cascade protocols</w:t>
      </w:r>
      <w:r w:rsidR="5F377604" w:rsidRPr="00B85D62">
        <w:rPr>
          <w:rFonts w:eastAsia="Arial" w:cs="Arial"/>
        </w:rPr>
        <w:t>,</w:t>
      </w:r>
      <w:r w:rsidRPr="00B85D62">
        <w:rPr>
          <w:rFonts w:eastAsia="Arial" w:cs="Arial"/>
        </w:rPr>
        <w:t xml:space="preserve"> including alternative ways to select index</w:t>
      </w:r>
      <w:r w:rsidR="77476267" w:rsidRPr="00B85D62">
        <w:rPr>
          <w:rFonts w:eastAsia="Arial" w:cs="Arial"/>
        </w:rPr>
        <w:t xml:space="preserve"> cas</w:t>
      </w:r>
      <w:r w:rsidRPr="00B85D62">
        <w:rPr>
          <w:rFonts w:eastAsia="Arial" w:cs="Arial"/>
        </w:rPr>
        <w:t xml:space="preserve">es, to contact relatives and to test relatives; we did not compare policies that tested </w:t>
      </w:r>
      <w:r w:rsidR="00B85D62" w:rsidRPr="00B85D62">
        <w:rPr>
          <w:rFonts w:eastAsia="Arial" w:cs="Arial"/>
          <w:color w:val="00B0F0"/>
        </w:rPr>
        <w:t>3rd</w:t>
      </w:r>
      <w:r w:rsidRPr="00B85D62">
        <w:rPr>
          <w:rFonts w:eastAsia="Arial" w:cs="Arial"/>
        </w:rPr>
        <w:t xml:space="preserve"> </w:t>
      </w:r>
      <w:r w:rsidR="00E86255" w:rsidRPr="00B85D62">
        <w:rPr>
          <w:rFonts w:eastAsia="Arial" w:cs="Arial"/>
        </w:rPr>
        <w:t xml:space="preserve">degree relatives because the service </w:t>
      </w:r>
      <w:r w:rsidR="00E86255" w:rsidRPr="00B85D62">
        <w:rPr>
          <w:rFonts w:eastAsia="Arial" w:cs="Arial"/>
          <w:highlight w:val="magenta"/>
        </w:rPr>
        <w:t>data</w:t>
      </w:r>
      <w:r w:rsidR="00E86255" w:rsidRPr="00B85D62">
        <w:rPr>
          <w:rFonts w:eastAsia="Arial" w:cs="Arial"/>
        </w:rPr>
        <w:t xml:space="preserve"> did not differentiate between </w:t>
      </w:r>
      <w:r w:rsidR="00B85D62" w:rsidRPr="00B85D62">
        <w:rPr>
          <w:rFonts w:eastAsia="Arial" w:cs="Arial"/>
          <w:color w:val="00B0F0"/>
        </w:rPr>
        <w:t>2nd</w:t>
      </w:r>
      <w:r w:rsidRPr="00B85D62">
        <w:rPr>
          <w:rFonts w:eastAsia="Arial" w:cs="Arial"/>
        </w:rPr>
        <w:t xml:space="preserve"> degree or </w:t>
      </w:r>
      <w:r w:rsidR="00C27099" w:rsidRPr="00B85D62">
        <w:rPr>
          <w:rFonts w:eastAsia="Arial" w:cs="Arial"/>
        </w:rPr>
        <w:t>more distant relatives</w:t>
      </w:r>
      <w:r w:rsidRPr="00B85D62">
        <w:rPr>
          <w:rFonts w:eastAsia="Arial" w:cs="Arial"/>
        </w:rPr>
        <w:t xml:space="preserve"> to the index</w:t>
      </w:r>
      <w:r w:rsidR="00C27099" w:rsidRPr="00B85D62">
        <w:rPr>
          <w:rFonts w:eastAsia="Arial" w:cs="Arial"/>
        </w:rPr>
        <w:t xml:space="preserve"> case</w:t>
      </w:r>
      <w:r w:rsidRPr="00B85D62">
        <w:rPr>
          <w:rFonts w:eastAsia="Arial" w:cs="Arial"/>
        </w:rPr>
        <w:t>.</w:t>
      </w:r>
    </w:p>
    <w:p w14:paraId="3F54D4D6" w14:textId="7A516B45" w:rsidR="00E86255" w:rsidRPr="00B85D62" w:rsidRDefault="5D61AA7C" w:rsidP="004F3182">
      <w:pPr>
        <w:pStyle w:val="ListParagraph"/>
        <w:numPr>
          <w:ilvl w:val="0"/>
          <w:numId w:val="5"/>
        </w:numPr>
      </w:pPr>
      <w:r w:rsidRPr="00B85D62">
        <w:rPr>
          <w:rFonts w:eastAsia="Arial" w:cs="Arial"/>
        </w:rPr>
        <w:t>Aligned with current NICE guidelines, we did not compare policies where cascade to relatives started from index</w:t>
      </w:r>
      <w:r w:rsidR="00895586" w:rsidRPr="00B85D62">
        <w:rPr>
          <w:rFonts w:eastAsia="Arial" w:cs="Arial"/>
        </w:rPr>
        <w:t xml:space="preserve"> </w:t>
      </w:r>
      <w:r w:rsidRPr="00B85D62">
        <w:rPr>
          <w:rFonts w:eastAsia="Arial" w:cs="Arial"/>
        </w:rPr>
        <w:t xml:space="preserve">in whom </w:t>
      </w:r>
      <w:r w:rsidRPr="00B85D62">
        <w:rPr>
          <w:rFonts w:eastAsia="Arial" w:cs="Arial"/>
          <w:highlight w:val="magenta"/>
        </w:rPr>
        <w:t>an F</w:t>
      </w:r>
      <w:r w:rsidRPr="00B85D62">
        <w:rPr>
          <w:rFonts w:eastAsia="Arial" w:cs="Arial"/>
        </w:rPr>
        <w:t xml:space="preserve">H mutation was not detected and their relatives are cascaded </w:t>
      </w:r>
      <w:r w:rsidR="213299E7" w:rsidRPr="00B85D62">
        <w:rPr>
          <w:rFonts w:eastAsia="Arial" w:cs="Arial"/>
        </w:rPr>
        <w:t>based on</w:t>
      </w:r>
      <w:r w:rsidRPr="00B85D62">
        <w:rPr>
          <w:rFonts w:eastAsia="Arial" w:cs="Arial"/>
        </w:rPr>
        <w:t xml:space="preserve"> cholesterol</w:t>
      </w:r>
      <w:r w:rsidR="00C27099" w:rsidRPr="00B85D62">
        <w:rPr>
          <w:rFonts w:eastAsia="Arial" w:cs="Arial"/>
        </w:rPr>
        <w:t xml:space="preserve"> alone</w:t>
      </w:r>
      <w:r w:rsidRPr="00B85D62">
        <w:rPr>
          <w:rFonts w:eastAsia="Arial" w:cs="Arial"/>
        </w:rPr>
        <w:t xml:space="preserve"> because the probability that index</w:t>
      </w:r>
      <w:r w:rsidR="00C27099" w:rsidRPr="00B85D62">
        <w:rPr>
          <w:rFonts w:eastAsia="Arial" w:cs="Arial"/>
        </w:rPr>
        <w:t xml:space="preserve"> cas</w:t>
      </w:r>
      <w:r w:rsidRPr="00B85D62">
        <w:rPr>
          <w:rFonts w:eastAsia="Arial" w:cs="Arial"/>
        </w:rPr>
        <w:t xml:space="preserve">es have a yet undiscovered FH mutation is low </w:t>
      </w:r>
      <w:r w:rsidR="00F80015" w:rsidRPr="00B85D62">
        <w:rPr>
          <w:rFonts w:cs="Arial"/>
          <w:noProof/>
          <w:vertAlign w:val="superscript"/>
        </w:rPr>
        <w:t>21</w:t>
      </w:r>
      <w:r w:rsidRPr="00B85D62">
        <w:rPr>
          <w:rFonts w:eastAsia="Arial" w:cs="Arial"/>
        </w:rPr>
        <w:t>,</w:t>
      </w:r>
      <w:r w:rsidR="006A155D" w:rsidRPr="00B85D62">
        <w:rPr>
          <w:rFonts w:eastAsia="Arial" w:cs="Arial"/>
        </w:rPr>
        <w:t xml:space="preserve"> </w:t>
      </w:r>
      <w:r w:rsidR="00E86255" w:rsidRPr="00B85D62">
        <w:rPr>
          <w:rFonts w:eastAsia="Arial" w:cs="Arial"/>
        </w:rPr>
        <w:t>and the probability that relatives are affected, is not clear.</w:t>
      </w:r>
    </w:p>
    <w:p w14:paraId="52A80087" w14:textId="45B50E3D" w:rsidR="00165AC9" w:rsidRPr="00B85D62" w:rsidRDefault="00C27099" w:rsidP="004F3182">
      <w:pPr>
        <w:numPr>
          <w:ilvl w:val="0"/>
          <w:numId w:val="5"/>
        </w:numPr>
        <w:spacing w:after="120"/>
        <w:contextualSpacing/>
        <w:rPr>
          <w:rFonts w:eastAsia="Arial" w:cs="Arial"/>
        </w:rPr>
      </w:pPr>
      <w:r w:rsidRPr="00B85D62">
        <w:rPr>
          <w:rFonts w:eastAsia="Arial" w:cs="Arial"/>
        </w:rPr>
        <w:t xml:space="preserve">For the cost-effectiveness </w:t>
      </w:r>
      <w:r w:rsidR="00114CF0" w:rsidRPr="00B85D62">
        <w:rPr>
          <w:rFonts w:eastAsia="Arial" w:cs="Arial"/>
        </w:rPr>
        <w:t>model</w:t>
      </w:r>
      <w:r w:rsidRPr="00B85D62">
        <w:rPr>
          <w:rFonts w:eastAsia="Arial" w:cs="Arial"/>
        </w:rPr>
        <w:t>, w</w:t>
      </w:r>
      <w:r w:rsidR="5D61AA7C" w:rsidRPr="00B85D62">
        <w:rPr>
          <w:rFonts w:eastAsia="Arial" w:cs="Arial"/>
        </w:rPr>
        <w:t xml:space="preserve">e analysed the </w:t>
      </w:r>
      <w:r w:rsidR="5D61AA7C" w:rsidRPr="00B85D62">
        <w:rPr>
          <w:rFonts w:eastAsia="Arial" w:cs="Arial"/>
          <w:highlight w:val="magenta"/>
        </w:rPr>
        <w:t>data</w:t>
      </w:r>
      <w:r w:rsidR="5D61AA7C" w:rsidRPr="00B85D62">
        <w:rPr>
          <w:rFonts w:eastAsia="Arial" w:cs="Arial"/>
        </w:rPr>
        <w:t xml:space="preserve"> from the Clinical </w:t>
      </w:r>
      <w:r w:rsidR="5D61AA7C" w:rsidRPr="00B85D62">
        <w:rPr>
          <w:rFonts w:eastAsia="Arial" w:cs="Arial"/>
          <w:highlight w:val="magenta"/>
        </w:rPr>
        <w:t>Practice</w:t>
      </w:r>
      <w:r w:rsidR="5D61AA7C" w:rsidRPr="00B85D62">
        <w:rPr>
          <w:rFonts w:eastAsia="Arial" w:cs="Arial"/>
        </w:rPr>
        <w:t xml:space="preserve"> Research Datalink </w:t>
      </w:r>
      <w:r w:rsidR="006A6CBF" w:rsidRPr="00B85D62">
        <w:rPr>
          <w:rFonts w:eastAsia="Arial" w:cs="Arial"/>
        </w:rPr>
        <w:t xml:space="preserve">(CPRD) </w:t>
      </w:r>
      <w:r w:rsidR="5D61AA7C" w:rsidRPr="00B85D62">
        <w:rPr>
          <w:rFonts w:eastAsia="Arial" w:cs="Arial"/>
        </w:rPr>
        <w:t>cohort</w:t>
      </w:r>
      <w:r w:rsidRPr="00B85D62">
        <w:rPr>
          <w:rFonts w:eastAsia="Arial" w:cs="Arial"/>
        </w:rPr>
        <w:t xml:space="preserve">, </w:t>
      </w:r>
      <w:r w:rsidR="5D61AA7C" w:rsidRPr="00B85D62">
        <w:rPr>
          <w:rFonts w:eastAsia="Arial" w:cs="Arial"/>
        </w:rPr>
        <w:t xml:space="preserve">a cohort of FH patients with linked NHS and mortality </w:t>
      </w:r>
      <w:r w:rsidR="5D61AA7C" w:rsidRPr="00B85D62">
        <w:rPr>
          <w:rFonts w:eastAsia="Arial" w:cs="Arial"/>
          <w:highlight w:val="magenta"/>
        </w:rPr>
        <w:t>data</w:t>
      </w:r>
      <w:r w:rsidRPr="00B85D62">
        <w:rPr>
          <w:rFonts w:eastAsia="Arial" w:cs="Arial"/>
        </w:rPr>
        <w:t xml:space="preserve">. However, </w:t>
      </w:r>
      <w:r w:rsidR="5D61AA7C" w:rsidRPr="00B85D62">
        <w:rPr>
          <w:rFonts w:eastAsia="Arial" w:cs="Arial"/>
        </w:rPr>
        <w:t>we were unable to ana</w:t>
      </w:r>
      <w:r w:rsidRPr="00B85D62">
        <w:rPr>
          <w:rFonts w:eastAsia="Arial" w:cs="Arial"/>
        </w:rPr>
        <w:t>lyse the Simon-</w:t>
      </w:r>
      <w:r w:rsidR="5D61AA7C" w:rsidRPr="00B85D62">
        <w:rPr>
          <w:rFonts w:eastAsia="Arial" w:cs="Arial"/>
        </w:rPr>
        <w:t xml:space="preserve">Broome cohort linked to routine NHS </w:t>
      </w:r>
      <w:r w:rsidR="00B85D62" w:rsidRPr="00B85D62">
        <w:rPr>
          <w:rFonts w:eastAsia="Arial" w:cs="Arial"/>
          <w:color w:val="00B0F0"/>
          <w:highlight w:val="magenta"/>
        </w:rPr>
        <w:t>data</w:t>
      </w:r>
      <w:r w:rsidR="00B85D62" w:rsidRPr="00B85D62">
        <w:rPr>
          <w:rFonts w:eastAsia="Arial" w:cs="Arial"/>
          <w:color w:val="00B0F0"/>
        </w:rPr>
        <w:t xml:space="preserve"> set</w:t>
      </w:r>
      <w:r w:rsidR="5D61AA7C" w:rsidRPr="00B85D62">
        <w:rPr>
          <w:rFonts w:eastAsia="Arial" w:cs="Arial"/>
        </w:rPr>
        <w:t xml:space="preserve">s on </w:t>
      </w:r>
      <w:r w:rsidRPr="00B85D62">
        <w:rPr>
          <w:rFonts w:eastAsia="Arial" w:cs="Arial"/>
        </w:rPr>
        <w:t>c</w:t>
      </w:r>
      <w:r w:rsidR="5D61AA7C" w:rsidRPr="00B85D62">
        <w:rPr>
          <w:rFonts w:eastAsia="Arial" w:cs="Arial"/>
        </w:rPr>
        <w:t xml:space="preserve">ardiovascular events and mortality </w:t>
      </w:r>
      <w:r w:rsidR="5D61AA7C" w:rsidRPr="00B85D62">
        <w:rPr>
          <w:rFonts w:eastAsia="Arial" w:cs="Arial"/>
          <w:highlight w:val="magenta"/>
        </w:rPr>
        <w:t>due to</w:t>
      </w:r>
      <w:r w:rsidR="5D61AA7C" w:rsidRPr="00B85D62">
        <w:rPr>
          <w:rFonts w:eastAsia="Arial" w:cs="Arial"/>
        </w:rPr>
        <w:t xml:space="preserve"> delays with the provision and approval</w:t>
      </w:r>
      <w:r w:rsidR="00895586" w:rsidRPr="00B85D62">
        <w:rPr>
          <w:rFonts w:eastAsia="Arial" w:cs="Arial"/>
        </w:rPr>
        <w:t xml:space="preserve"> </w:t>
      </w:r>
      <w:r w:rsidR="5D61AA7C" w:rsidRPr="00B85D62">
        <w:rPr>
          <w:rFonts w:eastAsia="Arial" w:cs="Arial"/>
        </w:rPr>
        <w:t xml:space="preserve">of </w:t>
      </w:r>
      <w:r w:rsidR="00B85D62" w:rsidRPr="00B85D62">
        <w:rPr>
          <w:rFonts w:eastAsia="Arial" w:cs="Arial"/>
          <w:color w:val="00B0F0"/>
        </w:rPr>
        <w:t>t</w:t>
      </w:r>
      <w:r w:rsidR="00B85D62" w:rsidRPr="00B85D62">
        <w:rPr>
          <w:rFonts w:eastAsia="Arial" w:cs="Arial"/>
          <w:color w:val="00B0F0"/>
        </w:rPr>
        <w:t xml:space="preserve">hese </w:t>
      </w:r>
      <w:r w:rsidR="00B85D62" w:rsidRPr="00B85D62">
        <w:rPr>
          <w:rFonts w:eastAsia="Arial" w:cs="Arial"/>
          <w:color w:val="00B0F0"/>
          <w:highlight w:val="magenta"/>
        </w:rPr>
        <w:t>data</w:t>
      </w:r>
      <w:r w:rsidR="5D61AA7C" w:rsidRPr="00B85D62">
        <w:rPr>
          <w:rFonts w:eastAsia="Arial" w:cs="Arial"/>
        </w:rPr>
        <w:t xml:space="preserve"> for cost-effectiveness analysis</w:t>
      </w:r>
      <w:r w:rsidR="5D61AA7C" w:rsidRPr="00B85D62">
        <w:rPr>
          <w:rFonts w:eastAsia="Arial" w:cs="Arial"/>
          <w:highlight w:val="magenta"/>
        </w:rPr>
        <w:t>. Further</w:t>
      </w:r>
      <w:r w:rsidR="5D61AA7C" w:rsidRPr="00B85D62">
        <w:rPr>
          <w:rFonts w:eastAsia="Arial" w:cs="Arial"/>
        </w:rPr>
        <w:t>, despite ap</w:t>
      </w:r>
      <w:r w:rsidRPr="00B85D62">
        <w:rPr>
          <w:rFonts w:eastAsia="Arial" w:cs="Arial"/>
        </w:rPr>
        <w:t>plying for linkage of the Simon-</w:t>
      </w:r>
      <w:r w:rsidR="5D61AA7C" w:rsidRPr="00B85D62">
        <w:rPr>
          <w:rFonts w:eastAsia="Arial" w:cs="Arial"/>
        </w:rPr>
        <w:t>Broome cohort to the NICOR MINAP</w:t>
      </w:r>
      <w:r w:rsidR="00895586" w:rsidRPr="00B85D62">
        <w:rPr>
          <w:rFonts w:eastAsia="Arial" w:cs="Arial"/>
        </w:rPr>
        <w:t xml:space="preserve"> </w:t>
      </w:r>
      <w:r w:rsidR="00B85D62" w:rsidRPr="00B85D62">
        <w:rPr>
          <w:rFonts w:eastAsia="Arial" w:cs="Arial"/>
          <w:color w:val="00B0F0"/>
          <w:highlight w:val="magenta"/>
        </w:rPr>
        <w:t>data</w:t>
      </w:r>
      <w:r w:rsidR="00B85D62" w:rsidRPr="00B85D62">
        <w:rPr>
          <w:rFonts w:eastAsia="Arial" w:cs="Arial"/>
          <w:color w:val="00B0F0"/>
        </w:rPr>
        <w:t xml:space="preserve"> set</w:t>
      </w:r>
      <w:r w:rsidR="006A6CBF" w:rsidRPr="00B85D62">
        <w:rPr>
          <w:rFonts w:eastAsia="Arial" w:cs="Arial"/>
        </w:rPr>
        <w:t xml:space="preserve"> </w:t>
      </w:r>
      <w:r w:rsidR="5D61AA7C" w:rsidRPr="00B85D62">
        <w:rPr>
          <w:rFonts w:eastAsia="Arial" w:cs="Arial"/>
        </w:rPr>
        <w:t>from two months before the start of the study,</w:t>
      </w:r>
      <w:r w:rsidR="235354E6" w:rsidRPr="00B85D62">
        <w:rPr>
          <w:rFonts w:eastAsia="Arial" w:cs="Arial"/>
        </w:rPr>
        <w:t xml:space="preserve"> despite </w:t>
      </w:r>
      <w:r w:rsidRPr="00B85D62">
        <w:rPr>
          <w:rFonts w:eastAsia="Arial" w:cs="Arial"/>
        </w:rPr>
        <w:t>repeated</w:t>
      </w:r>
      <w:r w:rsidR="235354E6" w:rsidRPr="00B85D62">
        <w:rPr>
          <w:rFonts w:eastAsia="Arial" w:cs="Arial"/>
        </w:rPr>
        <w:t xml:space="preserve"> submission</w:t>
      </w:r>
      <w:r w:rsidRPr="00B85D62">
        <w:rPr>
          <w:rFonts w:eastAsia="Arial" w:cs="Arial"/>
        </w:rPr>
        <w:t>s</w:t>
      </w:r>
      <w:r w:rsidR="235354E6" w:rsidRPr="00B85D62">
        <w:rPr>
          <w:rFonts w:eastAsia="Arial" w:cs="Arial"/>
        </w:rPr>
        <w:t xml:space="preserve"> and enquires</w:t>
      </w:r>
      <w:r w:rsidRPr="00B85D62">
        <w:rPr>
          <w:rFonts w:eastAsia="Arial" w:cs="Arial"/>
        </w:rPr>
        <w:t>,</w:t>
      </w:r>
      <w:r w:rsidR="235354E6" w:rsidRPr="00B85D62">
        <w:rPr>
          <w:rFonts w:eastAsia="Arial" w:cs="Arial"/>
        </w:rPr>
        <w:t xml:space="preserve"> </w:t>
      </w:r>
      <w:r w:rsidR="00851F33" w:rsidRPr="00B85D62">
        <w:rPr>
          <w:rFonts w:eastAsia="Arial" w:cs="Arial"/>
        </w:rPr>
        <w:t>after 43</w:t>
      </w:r>
      <w:r w:rsidR="00895586" w:rsidRPr="00B85D62">
        <w:rPr>
          <w:rFonts w:eastAsia="Arial" w:cs="Arial"/>
        </w:rPr>
        <w:t xml:space="preserve"> </w:t>
      </w:r>
      <w:r w:rsidR="5D61AA7C" w:rsidRPr="00B85D62">
        <w:rPr>
          <w:rFonts w:eastAsia="Arial" w:cs="Arial"/>
        </w:rPr>
        <w:t>months</w:t>
      </w:r>
      <w:r w:rsidR="00895586" w:rsidRPr="00B85D62">
        <w:rPr>
          <w:rFonts w:eastAsia="Arial" w:cs="Arial"/>
        </w:rPr>
        <w:t xml:space="preserve"> </w:t>
      </w:r>
      <w:r w:rsidR="5D61AA7C" w:rsidRPr="00B85D62">
        <w:rPr>
          <w:rFonts w:eastAsia="Arial" w:cs="Arial"/>
        </w:rPr>
        <w:t xml:space="preserve">there was </w:t>
      </w:r>
      <w:r w:rsidR="6A574D2E" w:rsidRPr="00B85D62">
        <w:rPr>
          <w:rFonts w:eastAsia="Arial" w:cs="Arial"/>
        </w:rPr>
        <w:t xml:space="preserve">still </w:t>
      </w:r>
      <w:r w:rsidR="5D61AA7C" w:rsidRPr="00B85D62">
        <w:rPr>
          <w:rFonts w:eastAsia="Arial" w:cs="Arial"/>
        </w:rPr>
        <w:t>no progress</w:t>
      </w:r>
      <w:r w:rsidR="3FF5AFDD" w:rsidRPr="00B85D62">
        <w:rPr>
          <w:rFonts w:eastAsia="Arial" w:cs="Arial"/>
        </w:rPr>
        <w:t xml:space="preserve"> </w:t>
      </w:r>
      <w:r w:rsidR="5D61AA7C" w:rsidRPr="00B85D62">
        <w:rPr>
          <w:rFonts w:eastAsia="Arial" w:cs="Arial"/>
        </w:rPr>
        <w:t>and</w:t>
      </w:r>
      <w:r w:rsidR="5746EAEB" w:rsidRPr="00B85D62">
        <w:rPr>
          <w:rFonts w:eastAsia="Arial" w:cs="Arial"/>
        </w:rPr>
        <w:t>,</w:t>
      </w:r>
      <w:r w:rsidR="5D61AA7C" w:rsidRPr="00B85D62">
        <w:rPr>
          <w:rFonts w:eastAsia="Arial" w:cs="Arial"/>
        </w:rPr>
        <w:t xml:space="preserve"> </w:t>
      </w:r>
      <w:r w:rsidR="21DEC4BA" w:rsidRPr="00B85D62">
        <w:rPr>
          <w:rFonts w:eastAsia="Arial" w:cs="Arial"/>
        </w:rPr>
        <w:t>following</w:t>
      </w:r>
      <w:r w:rsidR="00895586" w:rsidRPr="00B85D62">
        <w:rPr>
          <w:rFonts w:eastAsia="Arial" w:cs="Arial"/>
        </w:rPr>
        <w:t xml:space="preserve"> </w:t>
      </w:r>
      <w:r w:rsidR="5D61AA7C" w:rsidRPr="00B85D62">
        <w:rPr>
          <w:rFonts w:eastAsia="Arial" w:cs="Arial"/>
        </w:rPr>
        <w:t xml:space="preserve">guidance </w:t>
      </w:r>
      <w:r w:rsidR="2DC0CB60" w:rsidRPr="00B85D62">
        <w:rPr>
          <w:rFonts w:eastAsia="Arial" w:cs="Arial"/>
        </w:rPr>
        <w:t>from</w:t>
      </w:r>
      <w:r w:rsidR="5D61AA7C" w:rsidRPr="00B85D62">
        <w:rPr>
          <w:rFonts w:eastAsia="Arial" w:cs="Arial"/>
        </w:rPr>
        <w:t xml:space="preserve"> the external study steering committee, di</w:t>
      </w:r>
      <w:r w:rsidR="6744B0ED" w:rsidRPr="00B85D62">
        <w:rPr>
          <w:rFonts w:eastAsia="Arial" w:cs="Arial"/>
        </w:rPr>
        <w:t>scontinued further</w:t>
      </w:r>
      <w:r w:rsidR="5D61AA7C" w:rsidRPr="00B85D62">
        <w:rPr>
          <w:rFonts w:eastAsia="Arial" w:cs="Arial"/>
        </w:rPr>
        <w:t xml:space="preserve"> pursu</w:t>
      </w:r>
      <w:r w:rsidR="4ADDE76F" w:rsidRPr="00B85D62">
        <w:rPr>
          <w:rFonts w:eastAsia="Arial" w:cs="Arial"/>
        </w:rPr>
        <w:t>it of t</w:t>
      </w:r>
      <w:r w:rsidR="5D61AA7C" w:rsidRPr="00B85D62">
        <w:rPr>
          <w:rFonts w:eastAsia="Arial" w:cs="Arial"/>
        </w:rPr>
        <w:t>his linkage</w:t>
      </w:r>
    </w:p>
    <w:p w14:paraId="12290CB8" w14:textId="1126FF9E" w:rsidR="00165AC9" w:rsidRPr="00B85D62" w:rsidRDefault="5D61AA7C" w:rsidP="004F3182">
      <w:pPr>
        <w:numPr>
          <w:ilvl w:val="0"/>
          <w:numId w:val="5"/>
        </w:numPr>
        <w:spacing w:after="120"/>
        <w:contextualSpacing/>
        <w:rPr>
          <w:rFonts w:eastAsia="Arial" w:cs="Arial"/>
        </w:rPr>
      </w:pPr>
      <w:r w:rsidRPr="00B85D62">
        <w:rPr>
          <w:rFonts w:eastAsia="Arial" w:cs="Arial"/>
        </w:rPr>
        <w:t xml:space="preserve">Our cost-effectiveness model assumes that diagnosis reduces LDL-C as observed in the FH cohort, and links those reductions to </w:t>
      </w:r>
      <w:r w:rsidR="00114CF0" w:rsidRPr="00B85D62">
        <w:rPr>
          <w:rFonts w:eastAsia="Arial" w:cs="Arial"/>
        </w:rPr>
        <w:t>c</w:t>
      </w:r>
      <w:r w:rsidRPr="00B85D62">
        <w:rPr>
          <w:rFonts w:eastAsia="Arial" w:cs="Arial"/>
        </w:rPr>
        <w:t xml:space="preserve">ardiovascular risk in the long-term; it does not account for adherence to LLT explicitly given the difficulty in linking adherence to changes in LDL-C over time and its impact on </w:t>
      </w:r>
      <w:r w:rsidR="00114CF0" w:rsidRPr="00B85D62">
        <w:rPr>
          <w:rFonts w:eastAsia="Arial" w:cs="Arial"/>
        </w:rPr>
        <w:t>cardiovascular</w:t>
      </w:r>
      <w:r w:rsidRPr="00B85D62">
        <w:rPr>
          <w:rFonts w:eastAsia="Arial" w:cs="Arial"/>
        </w:rPr>
        <w:t xml:space="preserve"> risk.</w:t>
      </w:r>
    </w:p>
    <w:p w14:paraId="4BD9A1DF" w14:textId="2A2BE5A8" w:rsidR="00165AC9" w:rsidRPr="00B85D62" w:rsidRDefault="5D61AA7C" w:rsidP="004F3182">
      <w:pPr>
        <w:numPr>
          <w:ilvl w:val="0"/>
          <w:numId w:val="5"/>
        </w:numPr>
        <w:spacing w:after="120"/>
        <w:contextualSpacing/>
        <w:rPr>
          <w:rFonts w:eastAsia="Arial" w:cs="Arial"/>
        </w:rPr>
      </w:pPr>
      <w:r w:rsidRPr="00B85D62">
        <w:rPr>
          <w:rFonts w:eastAsia="Arial" w:cs="Arial"/>
        </w:rPr>
        <w:t xml:space="preserve">We informed the cost-effectiveness model using </w:t>
      </w:r>
      <w:r w:rsidRPr="00B85D62">
        <w:rPr>
          <w:rFonts w:eastAsia="Arial" w:cs="Arial"/>
          <w:highlight w:val="magenta"/>
        </w:rPr>
        <w:t>data</w:t>
      </w:r>
      <w:r w:rsidRPr="00B85D62">
        <w:rPr>
          <w:rFonts w:eastAsia="Arial" w:cs="Arial"/>
        </w:rPr>
        <w:t xml:space="preserve"> from the Welsh and Wessex FH services. However, we could not use </w:t>
      </w:r>
      <w:r w:rsidRPr="00B85D62">
        <w:rPr>
          <w:rFonts w:eastAsia="Arial" w:cs="Arial"/>
          <w:highlight w:val="magenta"/>
        </w:rPr>
        <w:t>data</w:t>
      </w:r>
      <w:r w:rsidRPr="00B85D62">
        <w:rPr>
          <w:rFonts w:eastAsia="Arial" w:cs="Arial"/>
        </w:rPr>
        <w:t xml:space="preserve"> from the Scottish FH service because it did allow for the estimation of key parameters (e.g. index</w:t>
      </w:r>
      <w:r w:rsidR="11B9E7C0" w:rsidRPr="00B85D62">
        <w:rPr>
          <w:rFonts w:eastAsia="Arial" w:cs="Arial"/>
        </w:rPr>
        <w:t xml:space="preserve"> cas</w:t>
      </w:r>
      <w:r w:rsidRPr="00B85D62">
        <w:rPr>
          <w:rFonts w:eastAsia="Arial" w:cs="Arial"/>
        </w:rPr>
        <w:t>es</w:t>
      </w:r>
      <w:r w:rsidR="00B85D62" w:rsidRPr="00B85D62">
        <w:rPr>
          <w:rFonts w:eastAsia="Arial" w:cs="Arial"/>
        </w:rPr>
        <w:t>’</w:t>
      </w:r>
      <w:r w:rsidRPr="00B85D62">
        <w:rPr>
          <w:rFonts w:eastAsia="Arial" w:cs="Arial"/>
        </w:rPr>
        <w:t xml:space="preserve"> clinical scores, relationship between index</w:t>
      </w:r>
      <w:r w:rsidR="00114CF0" w:rsidRPr="00B85D62">
        <w:rPr>
          <w:rFonts w:eastAsia="Arial" w:cs="Arial"/>
        </w:rPr>
        <w:t xml:space="preserve"> cas</w:t>
      </w:r>
      <w:r w:rsidRPr="00B85D62">
        <w:rPr>
          <w:rFonts w:eastAsia="Arial" w:cs="Arial"/>
        </w:rPr>
        <w:t>es and relatives).</w:t>
      </w:r>
    </w:p>
    <w:p w14:paraId="7723B63C" w14:textId="3356BD04" w:rsidR="00165AC9" w:rsidRPr="00B85D62" w:rsidRDefault="5D61AA7C" w:rsidP="004F3182">
      <w:pPr>
        <w:numPr>
          <w:ilvl w:val="0"/>
          <w:numId w:val="5"/>
        </w:numPr>
        <w:spacing w:after="120"/>
        <w:contextualSpacing/>
        <w:rPr>
          <w:rFonts w:eastAsia="Arial" w:cs="Arial"/>
        </w:rPr>
      </w:pPr>
      <w:r w:rsidRPr="00B85D62">
        <w:rPr>
          <w:rFonts w:eastAsia="Arial" w:cs="Arial"/>
        </w:rPr>
        <w:t xml:space="preserve">We informed the resources involved in the cascade </w:t>
      </w:r>
      <w:r w:rsidR="00114CF0" w:rsidRPr="00B85D62">
        <w:rPr>
          <w:rFonts w:eastAsia="Arial" w:cs="Arial"/>
        </w:rPr>
        <w:t xml:space="preserve">process </w:t>
      </w:r>
      <w:r w:rsidRPr="00B85D62">
        <w:rPr>
          <w:rFonts w:eastAsia="Arial" w:cs="Arial"/>
        </w:rPr>
        <w:t xml:space="preserve">based on a review of the literature and expert opinion, </w:t>
      </w:r>
      <w:r w:rsidRPr="00B85D62">
        <w:rPr>
          <w:rFonts w:eastAsia="Arial" w:cs="Arial"/>
          <w:highlight w:val="magenta"/>
        </w:rPr>
        <w:t>due to</w:t>
      </w:r>
      <w:r w:rsidRPr="00B85D62">
        <w:rPr>
          <w:rFonts w:eastAsia="Arial" w:cs="Arial"/>
        </w:rPr>
        <w:t xml:space="preserve"> the lack of </w:t>
      </w:r>
      <w:r w:rsidRPr="00B85D62">
        <w:rPr>
          <w:rFonts w:eastAsia="Arial" w:cs="Arial"/>
          <w:highlight w:val="magenta"/>
        </w:rPr>
        <w:t>data</w:t>
      </w:r>
      <w:r w:rsidRPr="00B85D62">
        <w:rPr>
          <w:rFonts w:eastAsia="Arial" w:cs="Arial"/>
        </w:rPr>
        <w:t xml:space="preserve"> on this in the Welsh, Wessex and Scottish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s.</w:t>
      </w:r>
    </w:p>
    <w:p w14:paraId="0055A15B" w14:textId="77777777" w:rsidR="00B85D62" w:rsidRPr="00B85D62" w:rsidRDefault="5D61AA7C" w:rsidP="004F3182">
      <w:pPr>
        <w:numPr>
          <w:ilvl w:val="0"/>
          <w:numId w:val="5"/>
        </w:numPr>
        <w:spacing w:after="120"/>
        <w:contextualSpacing/>
        <w:rPr>
          <w:rFonts w:eastAsia="Arial" w:cs="Arial"/>
        </w:rPr>
      </w:pPr>
      <w:r w:rsidRPr="00B85D62">
        <w:rPr>
          <w:rFonts w:eastAsia="Arial" w:cs="Arial"/>
        </w:rPr>
        <w:t xml:space="preserve">Given the small number of </w:t>
      </w:r>
      <w:r w:rsidR="00114CF0" w:rsidRPr="00B85D62">
        <w:rPr>
          <w:rFonts w:eastAsia="Arial" w:cs="Arial"/>
        </w:rPr>
        <w:t>cardiovascular</w:t>
      </w:r>
      <w:r w:rsidR="7A227C35" w:rsidRPr="00B85D62">
        <w:rPr>
          <w:rFonts w:eastAsia="Arial" w:cs="Arial"/>
        </w:rPr>
        <w:t xml:space="preserve"> </w:t>
      </w:r>
      <w:r w:rsidRPr="00B85D62">
        <w:rPr>
          <w:rFonts w:eastAsia="Arial" w:cs="Arial"/>
        </w:rPr>
        <w:t xml:space="preserve">events experienced by the CPRD cohort, we informed the NHS cost of </w:t>
      </w:r>
      <w:r w:rsidR="00114CF0" w:rsidRPr="00B85D62">
        <w:rPr>
          <w:rFonts w:eastAsia="Arial" w:cs="Arial"/>
        </w:rPr>
        <w:t>cardiovascular</w:t>
      </w:r>
      <w:r w:rsidRPr="00B85D62">
        <w:rPr>
          <w:rFonts w:eastAsia="Arial" w:cs="Arial"/>
        </w:rPr>
        <w:t xml:space="preserve"> events based on the literature, rather than conducting a costing analysis using the CPRD cohort </w:t>
      </w:r>
      <w:r w:rsidRPr="00B85D62">
        <w:rPr>
          <w:rFonts w:eastAsia="Arial" w:cs="Arial"/>
          <w:highlight w:val="magenta"/>
        </w:rPr>
        <w:t>data</w:t>
      </w:r>
      <w:r w:rsidRPr="00B85D62">
        <w:rPr>
          <w:rFonts w:eastAsia="Arial" w:cs="Arial"/>
        </w:rPr>
        <w:t xml:space="preserve">. This assumes that the </w:t>
      </w:r>
      <w:r w:rsidR="62D1ED17" w:rsidRPr="00B85D62">
        <w:rPr>
          <w:rFonts w:eastAsia="Arial" w:cs="Arial"/>
        </w:rPr>
        <w:t>costs of cardiovascular events are generalised from a mixed population, a minority of which will have FH, to individuals with FH.</w:t>
      </w:r>
    </w:p>
    <w:p w14:paraId="74B795A6" w14:textId="2FF44228" w:rsidR="00B85D62" w:rsidRPr="00B85D62" w:rsidRDefault="00E86255" w:rsidP="004F3182">
      <w:pPr>
        <w:numPr>
          <w:ilvl w:val="0"/>
          <w:numId w:val="5"/>
        </w:numPr>
        <w:spacing w:after="120"/>
        <w:rPr>
          <w:rFonts w:eastAsia="Arial" w:cs="Arial"/>
        </w:rPr>
      </w:pPr>
      <w:r w:rsidRPr="00B85D62">
        <w:rPr>
          <w:rFonts w:eastAsia="Arial" w:cs="Arial"/>
        </w:rPr>
        <w:t xml:space="preserve">Stakeholders were closely involved in the development of the economic models (see </w:t>
      </w:r>
      <w:r w:rsidR="006A6CBF" w:rsidRPr="00B85D62">
        <w:rPr>
          <w:rFonts w:eastAsia="Arial" w:cs="Arial"/>
        </w:rPr>
        <w:t xml:space="preserve">Chapter </w:t>
      </w:r>
      <w:r w:rsidRPr="00B85D62">
        <w:rPr>
          <w:rFonts w:eastAsia="Arial" w:cs="Arial"/>
        </w:rPr>
        <w:t>8</w:t>
      </w:r>
      <w:r w:rsidR="00B85D62" w:rsidRPr="00B85D62">
        <w:rPr>
          <w:rFonts w:eastAsia="Arial" w:cs="Arial"/>
          <w:color w:val="00B0F0"/>
        </w:rPr>
        <w:t xml:space="preserve"> – </w:t>
      </w:r>
      <w:r w:rsidRPr="00B85D62">
        <w:rPr>
          <w:rFonts w:eastAsia="Arial" w:cs="Arial"/>
        </w:rPr>
        <w:t>Economic evaluation). This group comprised consultant lipidologists, FH nurse specialists, public health physicians, commissioners, expert PPI representatives and representatives from relevant charities (Heart</w:t>
      </w:r>
      <w:r w:rsidR="00832961" w:rsidRPr="00B85D62">
        <w:rPr>
          <w:rFonts w:eastAsia="Arial" w:cs="Arial"/>
        </w:rPr>
        <w:t xml:space="preserve"> </w:t>
      </w:r>
      <w:r w:rsidRPr="00B85D62">
        <w:rPr>
          <w:rFonts w:eastAsia="Arial" w:cs="Arial"/>
        </w:rPr>
        <w:t xml:space="preserve">UK &amp; </w:t>
      </w:r>
      <w:r w:rsidR="00BC4B56" w:rsidRPr="00B85D62">
        <w:rPr>
          <w:rFonts w:eastAsia="Arial" w:cs="Arial"/>
        </w:rPr>
        <w:t>BHF</w:t>
      </w:r>
      <w:r w:rsidRPr="00B85D62">
        <w:rPr>
          <w:rFonts w:eastAsia="Arial" w:cs="Arial"/>
        </w:rPr>
        <w:t>). The</w:t>
      </w:r>
      <w:r w:rsidR="006A155D" w:rsidRPr="00B85D62">
        <w:rPr>
          <w:rFonts w:eastAsia="Arial" w:cs="Arial"/>
        </w:rPr>
        <w:t xml:space="preserve"> </w:t>
      </w:r>
      <w:r w:rsidR="006A6CBF" w:rsidRPr="00B85D62">
        <w:rPr>
          <w:rFonts w:eastAsia="Arial" w:cs="Arial"/>
        </w:rPr>
        <w:t xml:space="preserve">stakeholder </w:t>
      </w:r>
      <w:r w:rsidRPr="00B85D62">
        <w:rPr>
          <w:rFonts w:eastAsia="Arial" w:cs="Arial"/>
        </w:rPr>
        <w:t>group</w:t>
      </w:r>
      <w:r w:rsidR="00B85D62" w:rsidRPr="00B85D62">
        <w:rPr>
          <w:rFonts w:eastAsia="Arial" w:cs="Arial"/>
        </w:rPr>
        <w:t>’</w:t>
      </w:r>
      <w:r w:rsidRPr="00B85D62">
        <w:rPr>
          <w:rFonts w:eastAsia="Arial" w:cs="Arial"/>
        </w:rPr>
        <w:t xml:space="preserve">s feedback on the findings of the qualitative </w:t>
      </w:r>
      <w:r w:rsidRPr="00B85D62">
        <w:rPr>
          <w:rFonts w:eastAsia="Arial" w:cs="Arial"/>
        </w:rPr>
        <w:lastRenderedPageBreak/>
        <w:t xml:space="preserve">research have been delayed until later in 2021. The </w:t>
      </w:r>
      <w:r w:rsidRPr="00B85D62">
        <w:rPr>
          <w:rFonts w:eastAsia="Arial" w:cs="Arial"/>
          <w:highlight w:val="magenta"/>
        </w:rPr>
        <w:t>latter</w:t>
      </w:r>
      <w:r w:rsidRPr="00B85D62">
        <w:rPr>
          <w:rFonts w:eastAsia="Arial" w:cs="Arial"/>
        </w:rPr>
        <w:t xml:space="preserve"> meeting will be tied with a dissemination event for a wider group of stakeholders and is being organised by the cholesterol charity, Heart</w:t>
      </w:r>
      <w:r w:rsidR="00F81B9B" w:rsidRPr="00B85D62">
        <w:rPr>
          <w:rFonts w:eastAsia="Arial" w:cs="Arial"/>
        </w:rPr>
        <w:t xml:space="preserve"> </w:t>
      </w:r>
      <w:r w:rsidRPr="00B85D62">
        <w:rPr>
          <w:rFonts w:eastAsia="Arial" w:cs="Arial"/>
        </w:rPr>
        <w:t>UK.</w:t>
      </w:r>
    </w:p>
    <w:p w14:paraId="5E48C811" w14:textId="458B8AA4" w:rsidR="00B85D62" w:rsidRPr="00B85D62" w:rsidRDefault="21036529" w:rsidP="0066232B">
      <w:pPr>
        <w:rPr>
          <w:rFonts w:eastAsia="Arial" w:cs="Arial"/>
        </w:rPr>
      </w:pPr>
      <w:r w:rsidRPr="00B85D62">
        <w:rPr>
          <w:rFonts w:eastAsia="Arial" w:cs="Arial"/>
        </w:rPr>
        <w:t xml:space="preserve">The study was completed by three research teams, and is presented accordingly in this report. The </w:t>
      </w:r>
      <w:r w:rsidR="7BA6CD31" w:rsidRPr="00B85D62">
        <w:rPr>
          <w:rFonts w:eastAsia="Arial" w:cs="Arial"/>
        </w:rPr>
        <w:t>s</w:t>
      </w:r>
      <w:r w:rsidRPr="00B85D62">
        <w:rPr>
          <w:rFonts w:eastAsia="Arial" w:cs="Arial"/>
        </w:rPr>
        <w:t>ystematic revie</w:t>
      </w:r>
      <w:r w:rsidR="7233A98E" w:rsidRPr="00B85D62">
        <w:rPr>
          <w:rFonts w:eastAsia="Arial" w:cs="Arial"/>
        </w:rPr>
        <w:t>w</w:t>
      </w:r>
      <w:r w:rsidRPr="00B85D62">
        <w:rPr>
          <w:rFonts w:eastAsia="Arial" w:cs="Arial"/>
        </w:rPr>
        <w:t xml:space="preserve">s were led </w:t>
      </w:r>
      <w:r w:rsidR="1EDC8678" w:rsidRPr="00B85D62">
        <w:rPr>
          <w:rFonts w:eastAsia="Arial" w:cs="Arial"/>
        </w:rPr>
        <w:t xml:space="preserve">by </w:t>
      </w:r>
      <w:r w:rsidR="794A37A0" w:rsidRPr="00B85D62">
        <w:rPr>
          <w:rFonts w:eastAsia="Arial" w:cs="Arial"/>
        </w:rPr>
        <w:t>the Nottingham team, with the diagnostic accuracy review taken forward by colleagues in Newcastle</w:t>
      </w:r>
      <w:r w:rsidR="00895586" w:rsidRPr="00B85D62">
        <w:rPr>
          <w:rFonts w:eastAsia="Arial" w:cs="Arial"/>
        </w:rPr>
        <w:t xml:space="preserve"> </w:t>
      </w:r>
      <w:r w:rsidR="6D348A7D" w:rsidRPr="00B85D62">
        <w:rPr>
          <w:rFonts w:eastAsia="Arial" w:cs="Arial"/>
        </w:rPr>
        <w:t>(</w:t>
      </w:r>
      <w:r w:rsidR="006A6CBF" w:rsidRPr="00B85D62">
        <w:rPr>
          <w:rFonts w:eastAsia="Arial" w:cs="Arial"/>
        </w:rPr>
        <w:t>Chapter 5</w:t>
      </w:r>
      <w:r w:rsidR="6D348A7D" w:rsidRPr="00B85D62">
        <w:rPr>
          <w:rFonts w:eastAsia="Arial" w:cs="Arial"/>
        </w:rPr>
        <w:t>)</w:t>
      </w:r>
      <w:r w:rsidR="794A37A0" w:rsidRPr="00B85D62">
        <w:rPr>
          <w:rFonts w:eastAsia="Arial" w:cs="Arial"/>
        </w:rPr>
        <w:t>. The</w:t>
      </w:r>
      <w:r w:rsidR="728BCD47" w:rsidRPr="00B85D62">
        <w:rPr>
          <w:rFonts w:eastAsia="Arial" w:cs="Arial"/>
        </w:rPr>
        <w:t xml:space="preserve"> </w:t>
      </w:r>
      <w:r w:rsidR="3B285323" w:rsidRPr="00B85D62">
        <w:rPr>
          <w:rFonts w:eastAsia="Arial" w:cs="Arial"/>
        </w:rPr>
        <w:t xml:space="preserve">description of the included databases and </w:t>
      </w:r>
      <w:r w:rsidR="794A37A0" w:rsidRPr="00B85D62">
        <w:rPr>
          <w:rFonts w:eastAsia="Arial" w:cs="Arial"/>
        </w:rPr>
        <w:t>primary epidemiological analysis was completed by Nottingham te</w:t>
      </w:r>
      <w:r w:rsidR="2907039E" w:rsidRPr="00B85D62">
        <w:rPr>
          <w:rFonts w:eastAsia="Arial" w:cs="Arial"/>
        </w:rPr>
        <w:t>am</w:t>
      </w:r>
      <w:r w:rsidR="5545EE5B" w:rsidRPr="00B85D62">
        <w:rPr>
          <w:rFonts w:eastAsia="Arial" w:cs="Arial"/>
        </w:rPr>
        <w:t xml:space="preserve"> </w:t>
      </w:r>
      <w:r w:rsidR="1574C1D5" w:rsidRPr="00B85D62">
        <w:rPr>
          <w:rFonts w:eastAsia="Arial" w:cs="Arial"/>
        </w:rPr>
        <w:t>(Chapter</w:t>
      </w:r>
      <w:r w:rsidR="006A6CBF" w:rsidRPr="00B85D62">
        <w:rPr>
          <w:rFonts w:eastAsia="Arial" w:cs="Arial"/>
        </w:rPr>
        <w:t>s</w:t>
      </w:r>
      <w:r w:rsidR="1574C1D5" w:rsidRPr="00B85D62">
        <w:rPr>
          <w:rFonts w:eastAsia="Arial" w:cs="Arial"/>
        </w:rPr>
        <w:t xml:space="preserve"> </w:t>
      </w:r>
      <w:r w:rsidR="006A6CBF" w:rsidRPr="00B85D62">
        <w:rPr>
          <w:rFonts w:eastAsia="Arial" w:cs="Arial"/>
        </w:rPr>
        <w:t>6 and 7</w:t>
      </w:r>
      <w:r w:rsidR="1574C1D5" w:rsidRPr="00B85D62">
        <w:rPr>
          <w:rFonts w:eastAsia="Arial" w:cs="Arial"/>
        </w:rPr>
        <w:t>)</w:t>
      </w:r>
      <w:r w:rsidR="02EC81A6" w:rsidRPr="00B85D62">
        <w:rPr>
          <w:rFonts w:eastAsia="Arial" w:cs="Arial"/>
        </w:rPr>
        <w:t xml:space="preserve"> </w:t>
      </w:r>
      <w:r w:rsidR="6CA480D8" w:rsidRPr="00B85D62">
        <w:rPr>
          <w:rFonts w:eastAsia="Arial" w:cs="Arial"/>
        </w:rPr>
        <w:t>Further</w:t>
      </w:r>
      <w:r w:rsidR="00B110D5" w:rsidRPr="00B85D62">
        <w:rPr>
          <w:rFonts w:eastAsia="Arial" w:cs="Arial"/>
        </w:rPr>
        <w:t>,</w:t>
      </w:r>
      <w:r w:rsidR="6CA480D8" w:rsidRPr="00B85D62">
        <w:rPr>
          <w:rFonts w:eastAsia="Arial" w:cs="Arial"/>
        </w:rPr>
        <w:t xml:space="preserve"> epidemiological </w:t>
      </w:r>
      <w:r w:rsidR="0101DADF" w:rsidRPr="00B85D62">
        <w:rPr>
          <w:rFonts w:eastAsia="Arial" w:cs="Arial"/>
        </w:rPr>
        <w:t>analyses</w:t>
      </w:r>
      <w:r w:rsidR="6CA480D8" w:rsidRPr="00B85D62">
        <w:rPr>
          <w:rFonts w:eastAsia="Arial" w:cs="Arial"/>
        </w:rPr>
        <w:t xml:space="preserve"> </w:t>
      </w:r>
      <w:r w:rsidR="5D908EB5" w:rsidRPr="00B85D62">
        <w:rPr>
          <w:rFonts w:eastAsia="Arial" w:cs="Arial"/>
        </w:rPr>
        <w:t>of</w:t>
      </w:r>
      <w:r w:rsidR="6CA480D8" w:rsidRPr="00B85D62">
        <w:rPr>
          <w:rFonts w:eastAsia="Arial" w:cs="Arial"/>
        </w:rPr>
        <w:t xml:space="preserve"> the CPRD database </w:t>
      </w:r>
      <w:r w:rsidR="656F9256" w:rsidRPr="00B85D62">
        <w:rPr>
          <w:rFonts w:eastAsia="Arial" w:cs="Arial"/>
        </w:rPr>
        <w:t>were</w:t>
      </w:r>
      <w:r w:rsidR="6CA480D8" w:rsidRPr="00B85D62">
        <w:rPr>
          <w:rFonts w:eastAsia="Arial" w:cs="Arial"/>
        </w:rPr>
        <w:t xml:space="preserve"> completed by York economic team</w:t>
      </w:r>
      <w:r w:rsidR="12D1A44F" w:rsidRPr="00B85D62">
        <w:rPr>
          <w:rFonts w:eastAsia="Arial" w:cs="Arial"/>
        </w:rPr>
        <w:t xml:space="preserve"> (</w:t>
      </w:r>
      <w:r w:rsidR="462410FC" w:rsidRPr="00B85D62">
        <w:rPr>
          <w:rFonts w:eastAsia="Arial" w:cs="Arial"/>
        </w:rPr>
        <w:t xml:space="preserve">Section </w:t>
      </w:r>
      <w:r w:rsidR="00092D41" w:rsidRPr="00B85D62">
        <w:rPr>
          <w:rFonts w:eastAsia="Arial" w:cs="Arial"/>
        </w:rPr>
        <w:t>8</w:t>
      </w:r>
      <w:r w:rsidR="462410FC" w:rsidRPr="00B85D62">
        <w:rPr>
          <w:rFonts w:eastAsia="Arial" w:cs="Arial"/>
        </w:rPr>
        <w:t>.2</w:t>
      </w:r>
      <w:r w:rsidR="12D1A44F" w:rsidRPr="00B85D62">
        <w:rPr>
          <w:rFonts w:eastAsia="Arial" w:cs="Arial"/>
        </w:rPr>
        <w:t>)</w:t>
      </w:r>
      <w:r w:rsidR="6CA480D8" w:rsidRPr="00B85D62">
        <w:rPr>
          <w:rFonts w:eastAsia="Arial" w:cs="Arial"/>
        </w:rPr>
        <w:t>. Also</w:t>
      </w:r>
      <w:r w:rsidR="0B9E7732" w:rsidRPr="00B85D62">
        <w:rPr>
          <w:rFonts w:eastAsia="Arial" w:cs="Arial"/>
        </w:rPr>
        <w:t>,</w:t>
      </w:r>
      <w:r w:rsidR="6CA480D8" w:rsidRPr="00B85D62">
        <w:rPr>
          <w:rFonts w:eastAsia="Arial" w:cs="Arial"/>
        </w:rPr>
        <w:t xml:space="preserve"> the York team completed a descriptive ana</w:t>
      </w:r>
      <w:r w:rsidR="4572ED9E" w:rsidRPr="00B85D62">
        <w:rPr>
          <w:rFonts w:eastAsia="Arial" w:cs="Arial"/>
        </w:rPr>
        <w:t xml:space="preserve">lysis of the PASS Welsh &amp; Wessex FH service </w:t>
      </w:r>
      <w:r w:rsidR="00B85D62" w:rsidRPr="00B85D62">
        <w:rPr>
          <w:rFonts w:eastAsia="Arial" w:cs="Arial"/>
          <w:color w:val="00B0F0"/>
          <w:highlight w:val="magenta"/>
        </w:rPr>
        <w:t>data</w:t>
      </w:r>
      <w:r w:rsidR="00B85D62" w:rsidRPr="00B85D62">
        <w:rPr>
          <w:rFonts w:eastAsia="Arial" w:cs="Arial"/>
          <w:color w:val="00B0F0"/>
        </w:rPr>
        <w:t xml:space="preserve"> set</w:t>
      </w:r>
      <w:r w:rsidR="09AE2427" w:rsidRPr="00B85D62">
        <w:rPr>
          <w:rFonts w:eastAsia="Arial" w:cs="Arial"/>
        </w:rPr>
        <w:t>s</w:t>
      </w:r>
      <w:r w:rsidR="5A86F96C" w:rsidRPr="00B85D62">
        <w:rPr>
          <w:rFonts w:eastAsia="Arial" w:cs="Arial"/>
        </w:rPr>
        <w:t xml:space="preserve"> (</w:t>
      </w:r>
      <w:r w:rsidR="5A627290" w:rsidRPr="00B85D62">
        <w:rPr>
          <w:rFonts w:eastAsia="Arial" w:cs="Arial"/>
        </w:rPr>
        <w:t xml:space="preserve">Section </w:t>
      </w:r>
      <w:r w:rsidR="00092D41" w:rsidRPr="00B85D62">
        <w:rPr>
          <w:rFonts w:eastAsia="Arial" w:cs="Arial"/>
        </w:rPr>
        <w:t>8</w:t>
      </w:r>
      <w:r w:rsidR="5A627290" w:rsidRPr="00B85D62">
        <w:rPr>
          <w:rFonts w:eastAsia="Arial" w:cs="Arial"/>
        </w:rPr>
        <w:t>.3</w:t>
      </w:r>
      <w:r w:rsidR="5A86F96C" w:rsidRPr="00B85D62">
        <w:rPr>
          <w:rFonts w:eastAsia="Arial" w:cs="Arial"/>
        </w:rPr>
        <w:t>)</w:t>
      </w:r>
      <w:r w:rsidR="4572ED9E" w:rsidRPr="00B85D62">
        <w:rPr>
          <w:rFonts w:eastAsia="Arial" w:cs="Arial"/>
        </w:rPr>
        <w:t xml:space="preserve">. The </w:t>
      </w:r>
      <w:r w:rsidR="3754AFC7" w:rsidRPr="00B85D62">
        <w:rPr>
          <w:rFonts w:eastAsia="Arial" w:cs="Arial"/>
        </w:rPr>
        <w:t>York team led the development of the 2 new economic models (</w:t>
      </w:r>
      <w:r w:rsidR="139DE13A" w:rsidRPr="00B85D62">
        <w:rPr>
          <w:rFonts w:eastAsia="Arial" w:cs="Arial"/>
        </w:rPr>
        <w:t>Section</w:t>
      </w:r>
      <w:r w:rsidR="69D8E980" w:rsidRPr="00B85D62">
        <w:rPr>
          <w:rFonts w:eastAsia="Arial" w:cs="Arial"/>
        </w:rPr>
        <w:t>s</w:t>
      </w:r>
      <w:r w:rsidR="139DE13A" w:rsidRPr="00B85D62">
        <w:rPr>
          <w:rFonts w:eastAsia="Arial" w:cs="Arial"/>
        </w:rPr>
        <w:t xml:space="preserve"> </w:t>
      </w:r>
      <w:r w:rsidR="00092D41" w:rsidRPr="00B85D62">
        <w:rPr>
          <w:rFonts w:eastAsia="Arial" w:cs="Arial"/>
        </w:rPr>
        <w:t>8</w:t>
      </w:r>
      <w:r w:rsidR="139DE13A" w:rsidRPr="00B85D62">
        <w:rPr>
          <w:rFonts w:eastAsia="Arial" w:cs="Arial"/>
        </w:rPr>
        <w:t>.4</w:t>
      </w:r>
      <w:r w:rsidR="61270037" w:rsidRPr="00B85D62">
        <w:rPr>
          <w:rFonts w:eastAsia="Arial" w:cs="Arial"/>
        </w:rPr>
        <w:t xml:space="preserve"> &amp;</w:t>
      </w:r>
      <w:r w:rsidR="139DE13A" w:rsidRPr="00B85D62">
        <w:rPr>
          <w:rFonts w:eastAsia="Arial" w:cs="Arial"/>
        </w:rPr>
        <w:t xml:space="preserve"> </w:t>
      </w:r>
      <w:r w:rsidR="00092D41" w:rsidRPr="00B85D62">
        <w:rPr>
          <w:rFonts w:eastAsia="Arial" w:cs="Arial"/>
        </w:rPr>
        <w:t>8</w:t>
      </w:r>
      <w:r w:rsidR="139DE13A" w:rsidRPr="00B85D62">
        <w:rPr>
          <w:rFonts w:eastAsia="Arial" w:cs="Arial"/>
        </w:rPr>
        <w:t>.5</w:t>
      </w:r>
      <w:r w:rsidR="3754AFC7" w:rsidRPr="00B85D62">
        <w:rPr>
          <w:rFonts w:eastAsia="Arial" w:cs="Arial"/>
        </w:rPr>
        <w:t xml:space="preserve">). Finally, the </w:t>
      </w:r>
      <w:r w:rsidR="1472A2B8" w:rsidRPr="00B85D62">
        <w:rPr>
          <w:rFonts w:eastAsia="Arial" w:cs="Arial"/>
        </w:rPr>
        <w:t xml:space="preserve">qualitative studies of patients and health professionals were led by Nottingham </w:t>
      </w:r>
      <w:r w:rsidR="7501A7CB" w:rsidRPr="00B85D62">
        <w:rPr>
          <w:rFonts w:eastAsia="Arial" w:cs="Arial"/>
        </w:rPr>
        <w:t>qualitative</w:t>
      </w:r>
      <w:r w:rsidR="1472A2B8" w:rsidRPr="00B85D62">
        <w:rPr>
          <w:rFonts w:eastAsia="Arial" w:cs="Arial"/>
        </w:rPr>
        <w:t xml:space="preserve"> research team (Chapter </w:t>
      </w:r>
      <w:r w:rsidR="00092D41" w:rsidRPr="00B85D62">
        <w:rPr>
          <w:rFonts w:eastAsia="Arial" w:cs="Arial"/>
        </w:rPr>
        <w:t>9</w:t>
      </w:r>
      <w:r w:rsidR="1472A2B8" w:rsidRPr="00B85D62">
        <w:rPr>
          <w:rFonts w:eastAsia="Arial" w:cs="Arial"/>
        </w:rPr>
        <w:t>).</w:t>
      </w:r>
    </w:p>
    <w:p w14:paraId="4EBE0152" w14:textId="61002999" w:rsidR="00201D4F" w:rsidRPr="00B85D62" w:rsidRDefault="66628BDF" w:rsidP="0066232B">
      <w:pPr>
        <w:pStyle w:val="Heading1"/>
        <w:spacing w:line="360" w:lineRule="auto"/>
        <w:rPr>
          <w:rFonts w:ascii="Arial" w:eastAsia="Arial" w:hAnsi="Arial" w:cs="Arial"/>
          <w:sz w:val="22"/>
          <w:szCs w:val="22"/>
        </w:rPr>
      </w:pPr>
      <w:bookmarkStart w:id="20" w:name="_Toc76461026"/>
      <w:bookmarkStart w:id="21" w:name="_Toc107157437"/>
      <w:r w:rsidRPr="00B85D62">
        <w:rPr>
          <w:rFonts w:ascii="Arial" w:eastAsia="Arial" w:hAnsi="Arial" w:cs="Arial"/>
          <w:sz w:val="22"/>
          <w:szCs w:val="22"/>
        </w:rPr>
        <w:t>Systematic Reviews</w:t>
      </w:r>
      <w:bookmarkEnd w:id="20"/>
      <w:bookmarkEnd w:id="21"/>
    </w:p>
    <w:p w14:paraId="081A8F62" w14:textId="192FC63F" w:rsidR="00B85D62" w:rsidRPr="00B85D62" w:rsidRDefault="54F9349D" w:rsidP="0066232B">
      <w:pPr>
        <w:rPr>
          <w:rFonts w:eastAsia="Arial" w:cs="Arial"/>
        </w:rPr>
      </w:pPr>
      <w:r w:rsidRPr="00B85D62">
        <w:rPr>
          <w:rFonts w:eastAsia="Arial" w:cs="Arial"/>
        </w:rPr>
        <w:t xml:space="preserve">This chapter focuses on the systematic review which were </w:t>
      </w:r>
      <w:r w:rsidR="7382933D" w:rsidRPr="00B85D62">
        <w:rPr>
          <w:rFonts w:eastAsia="Arial" w:cs="Arial"/>
        </w:rPr>
        <w:t>propos</w:t>
      </w:r>
      <w:r w:rsidRPr="00B85D62">
        <w:rPr>
          <w:rFonts w:eastAsia="Arial" w:cs="Arial"/>
        </w:rPr>
        <w:t xml:space="preserve">ed to supplement primary </w:t>
      </w:r>
      <w:r w:rsidRPr="00B85D62">
        <w:rPr>
          <w:rFonts w:eastAsia="Arial" w:cs="Arial"/>
          <w:highlight w:val="magenta"/>
        </w:rPr>
        <w:t>data</w:t>
      </w:r>
      <w:r w:rsidRPr="00B85D62">
        <w:rPr>
          <w:rFonts w:eastAsia="Arial" w:cs="Arial"/>
        </w:rPr>
        <w:t xml:space="preserve"> available from clinical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rPr>
        <w:t>s to estimate parameters required for inputting into the economic model.</w:t>
      </w:r>
    </w:p>
    <w:p w14:paraId="22A8FBFA" w14:textId="15480CAA" w:rsidR="002E2FFB" w:rsidRPr="00B85D62" w:rsidRDefault="54F9349D" w:rsidP="004F3182">
      <w:pPr>
        <w:numPr>
          <w:ilvl w:val="0"/>
          <w:numId w:val="4"/>
        </w:numPr>
        <w:autoSpaceDE w:val="0"/>
        <w:autoSpaceDN w:val="0"/>
        <w:adjustRightInd w:val="0"/>
        <w:contextualSpacing/>
        <w:rPr>
          <w:rFonts w:eastAsia="Arial" w:cs="Arial"/>
        </w:rPr>
      </w:pPr>
      <w:r w:rsidRPr="00B85D62">
        <w:rPr>
          <w:rFonts w:eastAsia="Arial" w:cs="Arial"/>
        </w:rPr>
        <w:t>Effectiveness of cascade testing protocols</w:t>
      </w:r>
      <w:r w:rsidR="0097774D" w:rsidRPr="00B85D62">
        <w:rPr>
          <w:rFonts w:eastAsia="Arial" w:cs="Arial"/>
        </w:rPr>
        <w:t xml:space="preserve"> </w:t>
      </w:r>
      <w:r w:rsidRPr="00B85D62">
        <w:rPr>
          <w:rFonts w:eastAsia="Arial" w:cs="Arial"/>
        </w:rPr>
        <w:t>in relatives for familial hypercholesterolemia</w:t>
      </w:r>
    </w:p>
    <w:p w14:paraId="47D75C11" w14:textId="77777777" w:rsidR="002E2FFB" w:rsidRPr="00B85D62" w:rsidRDefault="54F9349D" w:rsidP="004F3182">
      <w:pPr>
        <w:numPr>
          <w:ilvl w:val="0"/>
          <w:numId w:val="4"/>
        </w:numPr>
        <w:contextualSpacing/>
        <w:rPr>
          <w:rFonts w:eastAsia="Arial" w:cs="Arial"/>
        </w:rPr>
      </w:pPr>
      <w:r w:rsidRPr="00B85D62">
        <w:rPr>
          <w:rFonts w:eastAsia="Arial" w:cs="Arial"/>
        </w:rPr>
        <w:t>Effectiveness of cholesterol-lowering therapies on LDL-c levels and cardiovascular disease in adults</w:t>
      </w:r>
    </w:p>
    <w:p w14:paraId="2BF3E57F" w14:textId="5F040E86" w:rsidR="002E2FFB" w:rsidRPr="00B85D62" w:rsidRDefault="54F9349D" w:rsidP="004F3182">
      <w:pPr>
        <w:numPr>
          <w:ilvl w:val="0"/>
          <w:numId w:val="4"/>
        </w:numPr>
        <w:contextualSpacing/>
        <w:rPr>
          <w:rFonts w:eastAsia="Arial" w:cs="Arial"/>
        </w:rPr>
      </w:pPr>
      <w:r w:rsidRPr="00B85D62">
        <w:rPr>
          <w:rFonts w:eastAsia="Arial" w:cs="Arial"/>
        </w:rPr>
        <w:t>Effectiveness of lipid-lowering therapies on LDL-c levels, and the impact of LDL levels on cardiovascular disease and mortality in children with FH</w:t>
      </w:r>
    </w:p>
    <w:p w14:paraId="7A0897C9" w14:textId="77777777" w:rsidR="00B85D62" w:rsidRPr="00B85D62" w:rsidRDefault="54F9349D" w:rsidP="004F3182">
      <w:pPr>
        <w:numPr>
          <w:ilvl w:val="0"/>
          <w:numId w:val="4"/>
        </w:numPr>
        <w:contextualSpacing/>
        <w:rPr>
          <w:rFonts w:eastAsia="Arial" w:cs="Arial"/>
        </w:rPr>
      </w:pPr>
      <w:r w:rsidRPr="00B85D62">
        <w:rPr>
          <w:rFonts w:eastAsia="Arial" w:cs="Arial"/>
        </w:rPr>
        <w:t>Diagnostic accuracy of clinical and biochemical criteria for identifying relatives of index cases with confirmed FH</w:t>
      </w:r>
    </w:p>
    <w:p w14:paraId="34CE7A7A" w14:textId="7E115576" w:rsidR="00B85D62" w:rsidRPr="00B85D62" w:rsidRDefault="3554C246" w:rsidP="006C7E71">
      <w:pPr>
        <w:pStyle w:val="Heading2"/>
      </w:pPr>
      <w:bookmarkStart w:id="22" w:name="_Toc76461027"/>
      <w:bookmarkStart w:id="23" w:name="_Toc107157438"/>
      <w:r w:rsidRPr="00B85D62">
        <w:t>Review 1: Effectiveness of cascade testing protocols in relatives for familial hypercholesterolemia</w:t>
      </w:r>
      <w:bookmarkStart w:id="24" w:name="_Toc19274173"/>
      <w:bookmarkEnd w:id="22"/>
      <w:bookmarkEnd w:id="23"/>
    </w:p>
    <w:p w14:paraId="40DCDE9F" w14:textId="2C4D8405" w:rsidR="002E2FFB" w:rsidRPr="00B85D62" w:rsidRDefault="3C5E4553" w:rsidP="006C7E71">
      <w:pPr>
        <w:pStyle w:val="Heading3"/>
      </w:pPr>
      <w:bookmarkStart w:id="25" w:name="_Toc76461028"/>
      <w:bookmarkStart w:id="26" w:name="_Toc107157439"/>
      <w:r w:rsidRPr="00B85D62">
        <w:t>Introduction</w:t>
      </w:r>
      <w:bookmarkEnd w:id="24"/>
      <w:bookmarkEnd w:id="25"/>
      <w:bookmarkEnd w:id="26"/>
    </w:p>
    <w:p w14:paraId="7C31F034" w14:textId="5EF60AFE" w:rsidR="00B85D62" w:rsidRPr="00B85D62" w:rsidRDefault="53597F66" w:rsidP="0066232B">
      <w:pPr>
        <w:ind w:right="15"/>
        <w:jc w:val="both"/>
        <w:textAlignment w:val="baseline"/>
        <w:rPr>
          <w:rFonts w:eastAsia="Arial" w:cs="Arial"/>
          <w:lang w:eastAsia="ja-JP"/>
        </w:rPr>
      </w:pPr>
      <w:r w:rsidRPr="00B85D62">
        <w:rPr>
          <w:rFonts w:eastAsia="Arial" w:cs="Arial"/>
          <w:lang w:eastAsia="ja-JP"/>
        </w:rPr>
        <w:t>The typical pathway for FH identification involves physicians, often the primary care provider, referring individuals with suspected FH to a specialist who confirms diagnosis, often using genetic testing.</w:t>
      </w:r>
      <w:r w:rsidR="00895586" w:rsidRPr="00B85D62">
        <w:rPr>
          <w:rFonts w:eastAsia="Arial" w:cs="Arial"/>
          <w:lang w:eastAsia="ja-JP"/>
        </w:rPr>
        <w:t xml:space="preserve"> </w:t>
      </w:r>
      <w:r w:rsidRPr="00B85D62">
        <w:rPr>
          <w:rFonts w:eastAsia="Arial" w:cs="Arial"/>
          <w:lang w:eastAsia="ja-JP"/>
        </w:rPr>
        <w:t xml:space="preserve">The specialist will then arrange testing of relatives of confirmed FH cases, usually by the patient contacting the relatives themselves (indirect cascade testing). The exception could be testing children of affected parents, which may be done directly. In fact, the family are often traced to 2 or 3 generations. </w:t>
      </w:r>
      <w:r w:rsidR="00F80015" w:rsidRPr="00B85D62">
        <w:rPr>
          <w:rFonts w:cs="Arial"/>
          <w:noProof/>
          <w:vertAlign w:val="superscript"/>
          <w:lang w:eastAsia="ja-JP"/>
        </w:rPr>
        <w:t>22, 23</w:t>
      </w:r>
      <w:r w:rsidRPr="00B85D62">
        <w:rPr>
          <w:rFonts w:eastAsia="Arial" w:cs="Arial"/>
          <w:lang w:eastAsia="ja-JP"/>
        </w:rPr>
        <w:t xml:space="preserve"> Initially, this usually starts with the affected individuals</w:t>
      </w:r>
      <w:r w:rsidR="00B85D62" w:rsidRPr="00B85D62">
        <w:rPr>
          <w:rFonts w:eastAsia="Arial" w:cs="Arial"/>
          <w:lang w:eastAsia="ja-JP"/>
        </w:rPr>
        <w:t>’</w:t>
      </w:r>
      <w:r w:rsidRPr="00B85D62">
        <w:rPr>
          <w:rFonts w:eastAsia="Arial" w:cs="Arial"/>
          <w:lang w:eastAsia="ja-JP"/>
        </w:rPr>
        <w:t xml:space="preserve"> children </w:t>
      </w:r>
      <w:r w:rsidR="00F80015" w:rsidRPr="00B85D62">
        <w:rPr>
          <w:rFonts w:cs="Arial"/>
          <w:noProof/>
          <w:vertAlign w:val="superscript"/>
          <w:lang w:eastAsia="ja-JP"/>
        </w:rPr>
        <w:t>24</w:t>
      </w:r>
      <w:r w:rsidR="0A12D7EA" w:rsidRPr="00B85D62">
        <w:rPr>
          <w:rFonts w:eastAsia="Arial" w:cs="Arial"/>
          <w:lang w:eastAsia="ja-JP"/>
        </w:rPr>
        <w:t xml:space="preserve">. </w:t>
      </w:r>
      <w:r w:rsidRPr="00B85D62">
        <w:rPr>
          <w:rFonts w:eastAsia="Arial" w:cs="Arial"/>
          <w:lang w:eastAsia="ja-JP"/>
        </w:rPr>
        <w:t>Internationally, most cascade testing starts with adult index patients and cascading testing to other relatives including children (</w:t>
      </w:r>
      <w:r w:rsidR="00B85D62" w:rsidRPr="00B85D62">
        <w:rPr>
          <w:rFonts w:eastAsia="Arial" w:cs="Arial"/>
          <w:lang w:eastAsia="ja-JP"/>
        </w:rPr>
        <w:t>“</w:t>
      </w:r>
      <w:r w:rsidRPr="00B85D62">
        <w:rPr>
          <w:rFonts w:eastAsia="Arial" w:cs="Arial"/>
          <w:lang w:eastAsia="ja-JP"/>
        </w:rPr>
        <w:t>forward cascade testing</w:t>
      </w:r>
      <w:r w:rsidR="00B85D62" w:rsidRPr="00B85D62">
        <w:rPr>
          <w:rFonts w:eastAsia="Arial" w:cs="Arial"/>
          <w:lang w:eastAsia="ja-JP"/>
        </w:rPr>
        <w:t>”</w:t>
      </w:r>
      <w:r w:rsidRPr="00B85D62">
        <w:rPr>
          <w:rFonts w:eastAsia="Arial" w:cs="Arial"/>
          <w:lang w:eastAsia="ja-JP"/>
        </w:rPr>
        <w:t xml:space="preserve">). </w:t>
      </w:r>
      <w:r w:rsidR="154D3BD9" w:rsidRPr="00B85D62">
        <w:rPr>
          <w:rFonts w:eastAsia="Arial" w:cs="Arial"/>
          <w:color w:val="000000" w:themeColor="text1"/>
          <w:lang w:eastAsia="ja-JP"/>
        </w:rPr>
        <w:t xml:space="preserve">Also </w:t>
      </w:r>
      <w:r w:rsidR="00B85D62" w:rsidRPr="00B85D62">
        <w:rPr>
          <w:rFonts w:eastAsia="Arial" w:cs="Arial"/>
          <w:color w:val="000000" w:themeColor="text1"/>
          <w:lang w:eastAsia="ja-JP"/>
        </w:rPr>
        <w:t>“</w:t>
      </w:r>
      <w:r w:rsidR="154D3BD9" w:rsidRPr="00B85D62">
        <w:rPr>
          <w:rFonts w:eastAsia="Arial" w:cs="Arial"/>
          <w:color w:val="000000" w:themeColor="text1"/>
          <w:lang w:eastAsia="ja-JP"/>
        </w:rPr>
        <w:t>reverse</w:t>
      </w:r>
      <w:r w:rsidR="00B85D62" w:rsidRPr="00B85D62">
        <w:rPr>
          <w:rFonts w:eastAsia="Arial" w:cs="Arial"/>
          <w:color w:val="000000" w:themeColor="text1"/>
          <w:lang w:eastAsia="ja-JP"/>
        </w:rPr>
        <w:t>”</w:t>
      </w:r>
      <w:r w:rsidR="154D3BD9" w:rsidRPr="00B85D62">
        <w:rPr>
          <w:rFonts w:eastAsia="Arial" w:cs="Arial"/>
          <w:color w:val="000000" w:themeColor="text1"/>
          <w:lang w:eastAsia="ja-JP"/>
        </w:rPr>
        <w:t xml:space="preserve"> cascade testing is under consideration, starting identification from affected children.</w:t>
      </w:r>
      <w:r w:rsidR="00F80015" w:rsidRPr="00B85D62">
        <w:rPr>
          <w:rFonts w:cs="Arial"/>
          <w:noProof/>
          <w:vertAlign w:val="superscript"/>
          <w:lang w:eastAsia="ja-JP"/>
        </w:rPr>
        <w:t>25</w:t>
      </w:r>
      <w:r w:rsidRPr="00B85D62">
        <w:rPr>
          <w:rFonts w:eastAsia="Arial" w:cs="Arial"/>
          <w:lang w:eastAsia="ja-JP"/>
        </w:rPr>
        <w:t xml:space="preserve"> However, despite being recognised as a cost-effective</w:t>
      </w:r>
      <w:r w:rsidRPr="00B85D62">
        <w:rPr>
          <w:rFonts w:eastAsia="Arial" w:cs="Arial"/>
          <w:color w:val="000000" w:themeColor="text1"/>
          <w:lang w:eastAsia="ja-JP"/>
        </w:rPr>
        <w:t xml:space="preserve"> strategy</w:t>
      </w:r>
      <w:r w:rsidRPr="00B85D62">
        <w:rPr>
          <w:rFonts w:eastAsia="Arial" w:cs="Arial"/>
          <w:lang w:eastAsia="ja-JP"/>
        </w:rPr>
        <w:t xml:space="preserve"> </w:t>
      </w:r>
      <w:r w:rsidR="00F80015" w:rsidRPr="00B85D62">
        <w:rPr>
          <w:rFonts w:cs="Arial"/>
          <w:noProof/>
          <w:vertAlign w:val="superscript"/>
          <w:lang w:eastAsia="ja-JP"/>
        </w:rPr>
        <w:t>26</w:t>
      </w:r>
      <w:r w:rsidRPr="00B85D62">
        <w:rPr>
          <w:rFonts w:eastAsia="Arial" w:cs="Arial"/>
          <w:lang w:eastAsia="ja-JP"/>
        </w:rPr>
        <w:t xml:space="preserve">, there are still many patients not being diagnosed, with one of the reasons being the relatively low yield, which could be related, partly, to using the indirect approach. The alternative </w:t>
      </w:r>
      <w:r w:rsidR="24EA036A" w:rsidRPr="00B85D62">
        <w:rPr>
          <w:rFonts w:eastAsia="Arial" w:cs="Arial"/>
          <w:lang w:eastAsia="ja-JP"/>
        </w:rPr>
        <w:t xml:space="preserve">approach </w:t>
      </w:r>
      <w:r w:rsidRPr="00B85D62">
        <w:rPr>
          <w:rFonts w:eastAsia="Arial" w:cs="Arial"/>
          <w:lang w:eastAsia="ja-JP"/>
        </w:rPr>
        <w:t>to indirect, is direct cascade testing where the genetic specialist contacts the relatives directly.</w:t>
      </w:r>
    </w:p>
    <w:p w14:paraId="59D86718" w14:textId="77777777" w:rsidR="00B85D62" w:rsidRPr="00B85D62" w:rsidRDefault="54F9349D" w:rsidP="0066232B">
      <w:pPr>
        <w:ind w:right="15"/>
        <w:jc w:val="both"/>
        <w:textAlignment w:val="baseline"/>
        <w:rPr>
          <w:rFonts w:eastAsia="Arial" w:cs="Arial"/>
          <w:color w:val="000000" w:themeColor="text1"/>
          <w:lang w:eastAsia="ja-JP"/>
        </w:rPr>
      </w:pPr>
      <w:r w:rsidRPr="00B85D62">
        <w:rPr>
          <w:rFonts w:eastAsia="Arial" w:cs="Arial"/>
          <w:color w:val="000000" w:themeColor="text1"/>
          <w:lang w:eastAsia="ja-JP"/>
        </w:rPr>
        <w:t xml:space="preserve">Recently a systematic review found that the proportion of cascade tested relatives was higher with the direct approach </w:t>
      </w:r>
      <w:r w:rsidR="00F80015" w:rsidRPr="00B85D62">
        <w:rPr>
          <w:rFonts w:cs="Arial"/>
          <w:noProof/>
          <w:color w:val="000000" w:themeColor="text1"/>
          <w:vertAlign w:val="superscript"/>
          <w:lang w:eastAsia="ja-JP"/>
        </w:rPr>
        <w:t>27</w:t>
      </w:r>
      <w:r w:rsidRPr="00B85D62">
        <w:rPr>
          <w:rFonts w:eastAsia="Arial" w:cs="Arial"/>
          <w:color w:val="000000" w:themeColor="text1"/>
          <w:lang w:eastAsia="ja-JP"/>
        </w:rPr>
        <w:t xml:space="preserve">; however, as this review did not synthesise the studies quantitatively, the magnitude of the differences between the </w:t>
      </w:r>
      <w:r w:rsidR="000B71C3" w:rsidRPr="00B85D62">
        <w:rPr>
          <w:rFonts w:eastAsia="Arial" w:cs="Arial"/>
          <w:color w:val="000000" w:themeColor="text1"/>
          <w:lang w:eastAsia="ja-JP"/>
        </w:rPr>
        <w:t>approaches remains</w:t>
      </w:r>
      <w:r w:rsidRPr="00B85D62">
        <w:rPr>
          <w:rFonts w:eastAsia="Arial" w:cs="Arial"/>
          <w:color w:val="000000" w:themeColor="text1"/>
          <w:lang w:eastAsia="ja-JP"/>
        </w:rPr>
        <w:t xml:space="preserve"> unclear. Therefore, we have performed a systematic review and meta-analysis to quantify the yield of different approaches</w:t>
      </w:r>
      <w:r w:rsidR="000B71C3" w:rsidRPr="00B85D62">
        <w:rPr>
          <w:rFonts w:eastAsia="Arial" w:cs="Arial"/>
          <w:color w:val="000000" w:themeColor="text1"/>
          <w:lang w:eastAsia="ja-JP"/>
        </w:rPr>
        <w:t xml:space="preserve"> </w:t>
      </w:r>
      <w:r w:rsidRPr="00B85D62">
        <w:rPr>
          <w:rFonts w:eastAsia="Arial" w:cs="Arial"/>
          <w:color w:val="000000" w:themeColor="text1"/>
          <w:lang w:eastAsia="ja-JP"/>
        </w:rPr>
        <w:t>(direct, indirect, combination) for cascade testing for familial</w:t>
      </w:r>
      <w:r w:rsidR="00B85D62" w:rsidRPr="00B85D62">
        <w:rPr>
          <w:rFonts w:eastAsia="Arial" w:cs="Arial"/>
          <w:color w:val="000000" w:themeColor="text1"/>
          <w:lang w:eastAsia="ja-JP"/>
        </w:rPr>
        <w:t xml:space="preserve"> </w:t>
      </w:r>
      <w:r w:rsidRPr="00B85D62">
        <w:rPr>
          <w:rFonts w:eastAsia="Arial" w:cs="Arial"/>
          <w:color w:val="000000" w:themeColor="text1"/>
          <w:lang w:eastAsia="ja-JP"/>
        </w:rPr>
        <w:t>hypercholesterolemia.</w:t>
      </w:r>
    </w:p>
    <w:p w14:paraId="115FE34E" w14:textId="510577F9" w:rsidR="002E2FFB" w:rsidRPr="00B85D62" w:rsidRDefault="3C5E4553" w:rsidP="006C7E71">
      <w:pPr>
        <w:pStyle w:val="Heading3"/>
        <w:rPr>
          <w:lang w:eastAsia="ja-JP"/>
        </w:rPr>
      </w:pPr>
      <w:bookmarkStart w:id="27" w:name="_Toc76461029"/>
      <w:bookmarkStart w:id="28" w:name="_Toc107157440"/>
      <w:r w:rsidRPr="00B85D62">
        <w:t>Materials and Methods</w:t>
      </w:r>
      <w:bookmarkEnd w:id="27"/>
      <w:bookmarkEnd w:id="28"/>
    </w:p>
    <w:p w14:paraId="3226431D" w14:textId="77777777" w:rsidR="00B85D62" w:rsidRPr="00B85D62" w:rsidRDefault="54F9349D" w:rsidP="0066232B">
      <w:pPr>
        <w:spacing w:before="100" w:beforeAutospacing="1" w:after="100" w:afterAutospacing="1"/>
        <w:jc w:val="both"/>
        <w:rPr>
          <w:rFonts w:eastAsia="Arial" w:cs="Arial"/>
          <w:lang w:eastAsia="ja-JP"/>
        </w:rPr>
      </w:pPr>
      <w:r w:rsidRPr="00B85D62">
        <w:rPr>
          <w:rFonts w:eastAsia="Arial" w:cs="Arial"/>
          <w:lang w:eastAsia="ja-JP"/>
        </w:rPr>
        <w:t>The protocol for the systematic review was registered in PROSPERO (</w:t>
      </w:r>
      <w:r w:rsidRPr="00B85D62">
        <w:rPr>
          <w:rFonts w:eastAsia="Arial" w:cs="Arial"/>
          <w:shd w:val="clear" w:color="auto" w:fill="FFFFFF"/>
          <w:lang w:eastAsia="ja-JP"/>
        </w:rPr>
        <w:t>CRD42019125775</w:t>
      </w:r>
      <w:r w:rsidRPr="00B85D62">
        <w:rPr>
          <w:rFonts w:eastAsia="Arial" w:cs="Arial"/>
          <w:color w:val="333333"/>
          <w:shd w:val="clear" w:color="auto" w:fill="FFFFFF"/>
          <w:lang w:eastAsia="ja-JP"/>
        </w:rPr>
        <w:t xml:space="preserve">). Additionally, PRISMA </w:t>
      </w:r>
      <w:r w:rsidRPr="00B85D62">
        <w:rPr>
          <w:rFonts w:eastAsia="Arial" w:cs="Arial"/>
          <w:lang w:eastAsia="ja-JP"/>
        </w:rPr>
        <w:t xml:space="preserve">guidelines </w:t>
      </w:r>
      <w:r w:rsidR="00F80015" w:rsidRPr="00B85D62">
        <w:rPr>
          <w:rFonts w:cs="Arial"/>
          <w:noProof/>
          <w:vertAlign w:val="superscript"/>
          <w:lang w:eastAsia="ja-JP"/>
        </w:rPr>
        <w:t>28</w:t>
      </w:r>
      <w:r w:rsidRPr="00B85D62">
        <w:rPr>
          <w:rFonts w:eastAsia="Arial" w:cs="Arial"/>
          <w:lang w:eastAsia="ja-JP"/>
        </w:rPr>
        <w:t xml:space="preserve"> were adhered to throughout the conduct and reporting of the systematic review.</w:t>
      </w:r>
    </w:p>
    <w:p w14:paraId="160F2A2D" w14:textId="77777777" w:rsidR="00B85D62" w:rsidRPr="00B85D62" w:rsidRDefault="54F9349D" w:rsidP="0066232B">
      <w:pPr>
        <w:spacing w:before="100" w:beforeAutospacing="1" w:after="100" w:afterAutospacing="1"/>
        <w:jc w:val="both"/>
        <w:rPr>
          <w:rFonts w:eastAsia="Arial" w:cs="Arial"/>
          <w:lang w:eastAsia="ja-JP"/>
        </w:rPr>
      </w:pPr>
      <w:r w:rsidRPr="00B85D62">
        <w:rPr>
          <w:rFonts w:eastAsia="Arial" w:cs="Arial"/>
          <w:lang w:eastAsia="ja-JP"/>
        </w:rPr>
        <w:t xml:space="preserve">The systematic review encompasses relevant study designs, including controlled trials and epidemiological studies, which assessed the effectiveness of cascade testing in relatives for FH. Eligible participants were </w:t>
      </w:r>
      <w:r w:rsidR="1C1E97C8" w:rsidRPr="00B85D62">
        <w:rPr>
          <w:rFonts w:eastAsia="Arial" w:cs="Arial"/>
          <w:lang w:eastAsia="ja-JP"/>
        </w:rPr>
        <w:t>first- and second-degree</w:t>
      </w:r>
      <w:r w:rsidRPr="00B85D62">
        <w:rPr>
          <w:rFonts w:eastAsia="Arial" w:cs="Arial"/>
          <w:lang w:eastAsia="ja-JP"/>
        </w:rPr>
        <w:t xml:space="preserve"> relatives of index cases with confirmed FH, determined using either a clinical diagnosis (e.g. Simon</w:t>
      </w:r>
      <w:r w:rsidR="00627A0B" w:rsidRPr="00B85D62">
        <w:rPr>
          <w:rFonts w:eastAsia="Arial" w:cs="Arial"/>
          <w:lang w:eastAsia="ja-JP"/>
        </w:rPr>
        <w:t>-</w:t>
      </w:r>
      <w:r w:rsidRPr="00B85D62">
        <w:rPr>
          <w:rFonts w:eastAsia="Arial" w:cs="Arial"/>
          <w:lang w:eastAsia="ja-JP"/>
        </w:rPr>
        <w:t>Broome</w:t>
      </w:r>
      <w:r w:rsidR="00F80015" w:rsidRPr="00B85D62">
        <w:rPr>
          <w:rFonts w:eastAsia="Arial" w:cs="Arial"/>
          <w:noProof/>
          <w:vertAlign w:val="superscript"/>
          <w:lang w:eastAsia="ja-JP"/>
        </w:rPr>
        <w:t>5</w:t>
      </w:r>
      <w:r w:rsidRPr="00B85D62">
        <w:rPr>
          <w:rFonts w:eastAsia="Arial" w:cs="Arial"/>
          <w:lang w:eastAsia="ja-JP"/>
        </w:rPr>
        <w:t>, Dutch Lipid Clinical Network (DCLN)</w:t>
      </w:r>
      <w:r w:rsidR="00F80015" w:rsidRPr="00B85D62">
        <w:rPr>
          <w:rFonts w:eastAsia="Arial" w:cs="Arial"/>
          <w:noProof/>
          <w:vertAlign w:val="superscript"/>
          <w:lang w:eastAsia="ja-JP"/>
        </w:rPr>
        <w:t>3</w:t>
      </w:r>
      <w:r w:rsidRPr="00B85D62">
        <w:rPr>
          <w:rFonts w:eastAsia="Arial" w:cs="Arial"/>
          <w:lang w:eastAsia="ja-JP"/>
        </w:rPr>
        <w:t>, MEDPED</w:t>
      </w:r>
      <w:r w:rsidR="00895586" w:rsidRPr="00B85D62">
        <w:rPr>
          <w:rFonts w:eastAsia="Arial" w:cs="Arial"/>
          <w:lang w:eastAsia="ja-JP"/>
        </w:rPr>
        <w:t xml:space="preserve"> </w:t>
      </w:r>
      <w:r w:rsidR="00F80015" w:rsidRPr="00B85D62">
        <w:rPr>
          <w:rFonts w:cs="Arial"/>
          <w:noProof/>
          <w:vertAlign w:val="superscript"/>
          <w:lang w:eastAsia="ja-JP"/>
        </w:rPr>
        <w:t>29</w:t>
      </w:r>
      <w:r w:rsidRPr="00B85D62">
        <w:rPr>
          <w:rFonts w:eastAsia="Arial" w:cs="Arial"/>
          <w:lang w:eastAsia="ja-JP"/>
        </w:rPr>
        <w:t xml:space="preserve">or another criterion appropriate to the population which is being studied); </w:t>
      </w:r>
      <w:r w:rsidR="587ADD04" w:rsidRPr="00B85D62">
        <w:rPr>
          <w:rFonts w:eastAsia="Arial" w:cs="Arial"/>
          <w:lang w:eastAsia="ja-JP"/>
        </w:rPr>
        <w:t>LDL-C</w:t>
      </w:r>
      <w:r w:rsidRPr="00B85D62">
        <w:rPr>
          <w:rFonts w:eastAsia="Arial" w:cs="Arial"/>
          <w:lang w:eastAsia="ja-JP"/>
        </w:rPr>
        <w:t xml:space="preserve"> levels using age specific cut offs; or genetic diagnosis of mutation positive cases. The protocol for cascade testing was the intervention of interest, which could be conducted via either i) a direct method of contact (where the relatives of the index case are contacted directly by the</w:t>
      </w:r>
      <w:r w:rsidR="00F82A1E" w:rsidRPr="00B85D62">
        <w:rPr>
          <w:rFonts w:eastAsia="Arial" w:cs="Arial"/>
          <w:lang w:eastAsia="ja-JP"/>
        </w:rPr>
        <w:t xml:space="preserve"> clinic usually using personalis</w:t>
      </w:r>
      <w:r w:rsidRPr="00B85D62">
        <w:rPr>
          <w:rFonts w:eastAsia="Arial" w:cs="Arial"/>
          <w:lang w:eastAsia="ja-JP"/>
        </w:rPr>
        <w:t>ed letters or phone calls, once consent has been sought from the index case; ii) an indirect method of contact (where the index case acts as an inter</w:t>
      </w:r>
      <w:r w:rsidR="005275E4" w:rsidRPr="00B85D62">
        <w:rPr>
          <w:rFonts w:eastAsia="Arial" w:cs="Arial"/>
          <w:lang w:eastAsia="ja-JP"/>
        </w:rPr>
        <w:t>mediary by passing on personalis</w:t>
      </w:r>
      <w:r w:rsidRPr="00B85D62">
        <w:rPr>
          <w:rFonts w:eastAsia="Arial" w:cs="Arial"/>
          <w:lang w:eastAsia="ja-JP"/>
        </w:rPr>
        <w:t>ed letters or information to their relatives), or iii) where there is a choice of indirect or direct (</w:t>
      </w:r>
      <w:r w:rsidR="005275E4" w:rsidRPr="00B85D62">
        <w:rPr>
          <w:rFonts w:eastAsia="Arial" w:cs="Arial"/>
          <w:lang w:eastAsia="ja-JP"/>
        </w:rPr>
        <w:t xml:space="preserve">or </w:t>
      </w:r>
      <w:r w:rsidRPr="00B85D62">
        <w:rPr>
          <w:rFonts w:eastAsia="Arial" w:cs="Arial"/>
          <w:lang w:eastAsia="ja-JP"/>
        </w:rPr>
        <w:t xml:space="preserve">combination of direct and indirect). The primary outcome measure was the proportion of relatives of the index cases tested out of those contacted, henceforth </w:t>
      </w:r>
      <w:r w:rsidRPr="00B85D62">
        <w:rPr>
          <w:rFonts w:eastAsia="Arial" w:cs="Arial"/>
          <w:lang w:eastAsia="ja-JP"/>
        </w:rPr>
        <w:lastRenderedPageBreak/>
        <w:t>referred to as yield. Secondary outcome measures included the proportion of relatives of the index cases with confirmed FH out of those tested; the proportion of relatives of the index cases contacted out of those eligible; the proportion of relatives of the index cases who responded out of those contacted; and the proportion of index cases who participated in cascade testing out of those genetically or clinically confirmed with FH.</w:t>
      </w:r>
    </w:p>
    <w:p w14:paraId="301A29BD" w14:textId="3974C9A8" w:rsidR="00B85D62" w:rsidRPr="00B85D62" w:rsidRDefault="53597F66" w:rsidP="5F11C9DD">
      <w:pPr>
        <w:spacing w:before="100" w:beforeAutospacing="1" w:after="100" w:afterAutospacing="1"/>
        <w:jc w:val="both"/>
        <w:rPr>
          <w:rFonts w:eastAsia="Arial" w:cs="Arial"/>
          <w:lang w:eastAsia="ja-JP"/>
        </w:rPr>
      </w:pPr>
      <w:r w:rsidRPr="00B85D62">
        <w:rPr>
          <w:rFonts w:eastAsia="Arial" w:cs="Arial"/>
          <w:lang w:eastAsia="ja-JP"/>
        </w:rPr>
        <w:t>Comprehensive literature searches of three databases (</w:t>
      </w:r>
      <w:r w:rsidR="00B85D62" w:rsidRPr="00B85D62">
        <w:rPr>
          <w:rFonts w:eastAsia="Arial" w:cs="Arial"/>
          <w:color w:val="00B0F0"/>
          <w:lang w:eastAsia="ja-JP"/>
        </w:rPr>
        <w:t>MEDLINE</w:t>
      </w:r>
      <w:r w:rsidRPr="00B85D62">
        <w:rPr>
          <w:rFonts w:eastAsia="Arial" w:cs="Arial"/>
          <w:lang w:eastAsia="ja-JP"/>
        </w:rPr>
        <w:t xml:space="preserve">, from 1946 to May 2020; EMBASE, from 1980 to May 2020; and Cochrane CENTRAL, from 1966 to May 2020) were performed using a highly sensitive search strategy based on keywords and MeSH terms relating to the population (e.g. proband$, index patient$, relative$, family$, patient$) and intervention of interest (e.g. cascade, mass screening, contact tracing) (see </w:t>
      </w:r>
      <w:r w:rsidR="51CFEF18" w:rsidRPr="00B85D62">
        <w:rPr>
          <w:rFonts w:eastAsia="Arial" w:cs="Arial"/>
          <w:lang w:eastAsia="ja-JP"/>
        </w:rPr>
        <w:t xml:space="preserve">Appendix </w:t>
      </w:r>
      <w:r w:rsidR="04B9D673" w:rsidRPr="00B85D62">
        <w:rPr>
          <w:rFonts w:eastAsia="Arial" w:cs="Arial"/>
          <w:lang w:eastAsia="ja-JP"/>
        </w:rPr>
        <w:t xml:space="preserve">1, </w:t>
      </w:r>
      <w:r w:rsidR="00B85D62" w:rsidRPr="00B85D62">
        <w:rPr>
          <w:rFonts w:eastAsia="Arial" w:cs="Arial"/>
          <w:i/>
          <w:color w:val="FF0000"/>
          <w:lang w:eastAsia="ja-JP"/>
        </w:rPr>
        <w:t>T</w:t>
      </w:r>
      <w:r w:rsidR="00B85D62" w:rsidRPr="00B85D62">
        <w:rPr>
          <w:rFonts w:eastAsia="Arial" w:cs="Arial"/>
          <w:i/>
          <w:color w:val="FF0000"/>
          <w:lang w:eastAsia="ja-JP"/>
        </w:rPr>
        <w:t>able</w:t>
      </w:r>
      <w:r w:rsidR="00B85D62" w:rsidRPr="00B85D62">
        <w:rPr>
          <w:rFonts w:eastAsia="Arial" w:cs="Arial"/>
          <w:i/>
          <w:color w:val="FF0000"/>
          <w:lang w:eastAsia="ja-JP"/>
        </w:rPr>
        <w:t xml:space="preserve"> </w:t>
      </w:r>
      <w:r w:rsidR="00B85D62" w:rsidRPr="00B85D62">
        <w:rPr>
          <w:rFonts w:eastAsia="Arial" w:cs="Arial"/>
          <w:i/>
          <w:color w:val="FF0000"/>
          <w:lang w:eastAsia="ja-JP"/>
        </w:rPr>
        <w:t>24</w:t>
      </w:r>
      <w:r w:rsidR="00895586" w:rsidRPr="00B85D62">
        <w:rPr>
          <w:rFonts w:eastAsia="Arial" w:cs="Arial"/>
          <w:lang w:eastAsia="ja-JP"/>
        </w:rPr>
        <w:t xml:space="preserve"> </w:t>
      </w:r>
      <w:r w:rsidRPr="00B85D62">
        <w:rPr>
          <w:rFonts w:eastAsia="Arial" w:cs="Arial"/>
          <w:lang w:eastAsia="ja-JP"/>
        </w:rPr>
        <w:t xml:space="preserve">for </w:t>
      </w:r>
      <w:r w:rsidR="00B85D62" w:rsidRPr="00B85D62">
        <w:rPr>
          <w:rFonts w:eastAsia="Arial" w:cs="Arial"/>
          <w:color w:val="00B0F0"/>
          <w:lang w:eastAsia="ja-JP"/>
        </w:rPr>
        <w:t>MEDLINE</w:t>
      </w:r>
      <w:r w:rsidRPr="00B85D62">
        <w:rPr>
          <w:rFonts w:eastAsia="Arial" w:cs="Arial"/>
          <w:lang w:eastAsia="ja-JP"/>
        </w:rPr>
        <w:t xml:space="preserve"> search strategy) and through contact with topic experts.</w:t>
      </w:r>
    </w:p>
    <w:p w14:paraId="1D639E92" w14:textId="5ED1C25C" w:rsidR="002E2FFB" w:rsidRPr="00B85D62" w:rsidRDefault="7920A156" w:rsidP="0066232B">
      <w:pPr>
        <w:spacing w:before="100" w:beforeAutospacing="1" w:after="100" w:afterAutospacing="1"/>
        <w:jc w:val="both"/>
        <w:rPr>
          <w:rFonts w:eastAsia="Arial" w:cs="Arial"/>
          <w:lang w:eastAsia="ja-JP"/>
        </w:rPr>
      </w:pPr>
      <w:r w:rsidRPr="00B85D62">
        <w:rPr>
          <w:rFonts w:eastAsia="Arial" w:cs="Arial"/>
          <w:lang w:eastAsia="ja-JP"/>
        </w:rPr>
        <w:t xml:space="preserve">Additionally, grey literature </w:t>
      </w:r>
      <w:r w:rsidR="7209E6BC" w:rsidRPr="00B85D62">
        <w:rPr>
          <w:rFonts w:eastAsia="Arial" w:cs="Arial"/>
          <w:lang w:eastAsia="ja-JP"/>
        </w:rPr>
        <w:t>was</w:t>
      </w:r>
      <w:r w:rsidRPr="00B85D62">
        <w:rPr>
          <w:rFonts w:eastAsia="Arial" w:cs="Arial"/>
          <w:lang w:eastAsia="ja-JP"/>
        </w:rPr>
        <w:t xml:space="preserve"> identified from the following conferences: British Cardiovascular Society, Heart UK Annual Scientific, European Human Genetics, European Atherosclerosis Society, from dates of inception to March 2020; through hand searching HEART UK and the Atherosclerosis journals; and the HEART UK </w:t>
      </w:r>
      <w:r w:rsidRPr="00B85D62">
        <w:rPr>
          <w:rFonts w:eastAsia="Arial" w:cs="Arial"/>
          <w:color w:val="000000" w:themeColor="text1"/>
          <w:lang w:eastAsia="ja-JP"/>
        </w:rPr>
        <w:t>(</w:t>
      </w:r>
      <w:r w:rsidRPr="00B85D62">
        <w:rPr>
          <w:rFonts w:eastAsia="Arial" w:cs="Arial"/>
          <w:color w:val="0000FF"/>
          <w:u w:val="single"/>
          <w:lang w:eastAsia="ja-JP"/>
        </w:rPr>
        <w:t>http://www.heartuk.org.uk/</w:t>
      </w:r>
      <w:r w:rsidRPr="00B85D62">
        <w:rPr>
          <w:rFonts w:eastAsia="Arial" w:cs="Arial"/>
          <w:color w:val="000000" w:themeColor="text1"/>
          <w:lang w:eastAsia="ja-JP"/>
        </w:rPr>
        <w:t>) and US Familial Hypercholesterolaemia Foundation (</w:t>
      </w:r>
      <w:r w:rsidRPr="00B85D62">
        <w:rPr>
          <w:rFonts w:eastAsia="Arial" w:cs="Arial"/>
          <w:color w:val="0000FF"/>
          <w:u w:val="single"/>
          <w:lang w:eastAsia="ja-JP"/>
        </w:rPr>
        <w:t>https://thefhfoundation.org/</w:t>
      </w:r>
      <w:r w:rsidRPr="00B85D62">
        <w:rPr>
          <w:rFonts w:eastAsia="Arial" w:cs="Arial"/>
          <w:color w:val="000000" w:themeColor="text1"/>
          <w:lang w:eastAsia="ja-JP"/>
        </w:rPr>
        <w:t>) websites.</w:t>
      </w:r>
      <w:r w:rsidRPr="00B85D62">
        <w:rPr>
          <w:rFonts w:eastAsia="Arial" w:cs="Arial"/>
          <w:lang w:eastAsia="ja-JP"/>
        </w:rPr>
        <w:t xml:space="preserve"> No language restrictions were applied, and translations were sought where necessary.</w:t>
      </w:r>
    </w:p>
    <w:p w14:paraId="11C6F606" w14:textId="03FA7199" w:rsidR="002E2FFB" w:rsidRPr="00B85D62" w:rsidRDefault="3C5E4553" w:rsidP="006C7E71">
      <w:pPr>
        <w:pStyle w:val="Heading4"/>
        <w:numPr>
          <w:ilvl w:val="0"/>
          <w:numId w:val="0"/>
        </w:numPr>
      </w:pPr>
      <w:r w:rsidRPr="00B85D62">
        <w:t>Screening and study selection</w:t>
      </w:r>
    </w:p>
    <w:p w14:paraId="3EB76C57" w14:textId="77777777" w:rsidR="00B85D62" w:rsidRPr="00B85D62" w:rsidRDefault="54F9349D" w:rsidP="26FF77CA">
      <w:pPr>
        <w:spacing w:before="100" w:beforeAutospacing="1" w:after="100" w:afterAutospacing="1"/>
        <w:jc w:val="both"/>
        <w:rPr>
          <w:rFonts w:eastAsia="Arial" w:cs="Arial"/>
          <w:color w:val="000000" w:themeColor="text1"/>
          <w:lang w:eastAsia="ja-JP"/>
        </w:rPr>
      </w:pPr>
      <w:r w:rsidRPr="00B85D62">
        <w:rPr>
          <w:rFonts w:eastAsia="Arial" w:cs="Arial"/>
          <w:color w:val="000000" w:themeColor="text1"/>
          <w:lang w:eastAsia="ja-JP"/>
        </w:rPr>
        <w:t xml:space="preserve">Following the removal of duplicates, titles and abstracts, and full texts of potentially eligible studies were screened independently by two authors (JLB &amp; BY/KE/CB). Disagreements regarding eligibility of a study was resolved through discussion with a third author (NQ). Reasons for exclusion at the full text stage were </w:t>
      </w:r>
      <w:r w:rsidRPr="00B85D62">
        <w:rPr>
          <w:rFonts w:eastAsia="cprd" w:cs="Arial"/>
          <w:color w:val="000000" w:themeColor="text1"/>
          <w:shd w:val="clear" w:color="auto" w:fill="E6E6E6"/>
          <w:lang w:eastAsia="ja-JP"/>
        </w:rPr>
        <w:t>documented</w:t>
      </w:r>
      <w:r w:rsidRPr="00B85D62">
        <w:rPr>
          <w:rFonts w:eastAsia="Arial" w:cs="Arial"/>
          <w:color w:val="000000" w:themeColor="text1"/>
          <w:lang w:eastAsia="ja-JP"/>
        </w:rPr>
        <w:t>.</w:t>
      </w:r>
    </w:p>
    <w:p w14:paraId="55FDE113" w14:textId="76BFFF70" w:rsidR="002E2FFB" w:rsidRPr="00B85D62" w:rsidRDefault="3C5E4553" w:rsidP="006C7E71">
      <w:pPr>
        <w:pStyle w:val="Heading4"/>
        <w:numPr>
          <w:ilvl w:val="0"/>
          <w:numId w:val="0"/>
        </w:numPr>
        <w:rPr>
          <w:lang w:eastAsia="ja-JP"/>
        </w:rPr>
      </w:pPr>
      <w:r w:rsidRPr="00B85D62">
        <w:rPr>
          <w:highlight w:val="magenta"/>
          <w:lang w:eastAsia="ja-JP"/>
        </w:rPr>
        <w:t>Data</w:t>
      </w:r>
      <w:r w:rsidRPr="00B85D62">
        <w:rPr>
          <w:lang w:eastAsia="ja-JP"/>
        </w:rPr>
        <w:t xml:space="preserve"> extraction and quality assessment</w:t>
      </w:r>
    </w:p>
    <w:p w14:paraId="0744F21C" w14:textId="2EE628AC" w:rsidR="00B85D62" w:rsidRPr="00B85D62" w:rsidRDefault="1E0F6295" w:rsidP="72F1E2D5">
      <w:pPr>
        <w:spacing w:before="100" w:beforeAutospacing="1" w:after="100" w:afterAutospacing="1"/>
        <w:jc w:val="both"/>
        <w:rPr>
          <w:rFonts w:eastAsia="Arial" w:cs="Arial"/>
          <w:color w:val="000000" w:themeColor="text1"/>
          <w:lang w:eastAsia="ja-JP"/>
        </w:rPr>
      </w:pPr>
      <w:r w:rsidRPr="00B85D62">
        <w:rPr>
          <w:rFonts w:eastAsia="Arial" w:cs="Arial"/>
          <w:color w:val="000000" w:themeColor="text1"/>
          <w:lang w:eastAsia="ja-JP"/>
        </w:rPr>
        <w:t xml:space="preserve">A </w:t>
      </w:r>
      <w:r w:rsidR="00B85D62" w:rsidRPr="00B85D62">
        <w:rPr>
          <w:rFonts w:eastAsia="Arial" w:cs="Arial"/>
          <w:color w:val="00B0F0"/>
          <w:lang w:eastAsia="ja-JP"/>
        </w:rPr>
        <w:t>standardised</w:t>
      </w:r>
      <w:r w:rsidRPr="00B85D62">
        <w:rPr>
          <w:rFonts w:eastAsia="Arial" w:cs="Arial"/>
          <w:color w:val="000000" w:themeColor="text1"/>
          <w:lang w:eastAsia="ja-JP"/>
        </w:rPr>
        <w:t xml:space="preserve"> form, developed by the authors and tailored to this review, was used for </w:t>
      </w:r>
      <w:r w:rsidRPr="00B85D62">
        <w:rPr>
          <w:rFonts w:eastAsia="Arial" w:cs="Arial"/>
          <w:color w:val="000000" w:themeColor="text1"/>
          <w:highlight w:val="magenta"/>
          <w:lang w:eastAsia="ja-JP"/>
        </w:rPr>
        <w:t>data</w:t>
      </w:r>
      <w:r w:rsidRPr="00B85D62">
        <w:rPr>
          <w:rFonts w:eastAsia="Arial" w:cs="Arial"/>
          <w:color w:val="000000" w:themeColor="text1"/>
          <w:lang w:eastAsia="ja-JP"/>
        </w:rPr>
        <w:t xml:space="preserve"> extraction. </w:t>
      </w:r>
      <w:r w:rsidRPr="00B85D62">
        <w:rPr>
          <w:rFonts w:eastAsia="Arial" w:cs="Arial"/>
          <w:color w:val="000000" w:themeColor="text1"/>
          <w:highlight w:val="magenta"/>
          <w:lang w:eastAsia="ja-JP"/>
        </w:rPr>
        <w:t>Data</w:t>
      </w:r>
      <w:r w:rsidRPr="00B85D62">
        <w:rPr>
          <w:rFonts w:eastAsia="Arial" w:cs="Arial"/>
          <w:color w:val="000000" w:themeColor="text1"/>
          <w:lang w:eastAsia="ja-JP"/>
        </w:rPr>
        <w:t xml:space="preserve"> relating to the study characteristics, methods used, and primary and secondary outcomes, were extracted independently by two authors (JLB &amp; CB). Where possible, the authors of any studies with missing </w:t>
      </w:r>
      <w:r w:rsidRPr="00B85D62">
        <w:rPr>
          <w:rFonts w:eastAsia="Arial" w:cs="Arial"/>
          <w:color w:val="000000" w:themeColor="text1"/>
          <w:highlight w:val="magenta"/>
          <w:lang w:eastAsia="ja-JP"/>
        </w:rPr>
        <w:t>data</w:t>
      </w:r>
      <w:r w:rsidRPr="00B85D62">
        <w:rPr>
          <w:rFonts w:eastAsia="Arial" w:cs="Arial"/>
          <w:color w:val="000000" w:themeColor="text1"/>
          <w:lang w:eastAsia="ja-JP"/>
        </w:rPr>
        <w:t xml:space="preserve"> were contacted. Two authors (JLB &amp; CB) independently assessed the methodological quality of the included studies using the JBI Critical Appraisal tool </w:t>
      </w:r>
      <w:r w:rsidR="00F80015" w:rsidRPr="00B85D62">
        <w:rPr>
          <w:rFonts w:cs="Arial"/>
          <w:noProof/>
          <w:color w:val="000000" w:themeColor="text1"/>
          <w:vertAlign w:val="superscript"/>
          <w:lang w:eastAsia="ja-JP"/>
        </w:rPr>
        <w:t>30</w:t>
      </w:r>
      <w:r w:rsidRPr="00B85D62">
        <w:rPr>
          <w:rFonts w:eastAsia="Arial" w:cs="Arial"/>
          <w:color w:val="000000" w:themeColor="text1"/>
          <w:lang w:eastAsia="ja-JP"/>
        </w:rPr>
        <w:t xml:space="preserve">; studies which scored </w:t>
      </w:r>
      <w:r w:rsidR="00B85D62" w:rsidRPr="00B85D62">
        <w:rPr>
          <w:rFonts w:eastAsia="Arial" w:cs="Arial"/>
          <w:color w:val="000000" w:themeColor="text1"/>
          <w:lang w:eastAsia="ja-JP"/>
        </w:rPr>
        <w:t>‘</w:t>
      </w:r>
      <w:r w:rsidRPr="00B85D62">
        <w:rPr>
          <w:rFonts w:eastAsia="Arial" w:cs="Arial"/>
          <w:color w:val="000000" w:themeColor="text1"/>
          <w:lang w:eastAsia="ja-JP"/>
        </w:rPr>
        <w:t>no</w:t>
      </w:r>
      <w:r w:rsidR="00B85D62" w:rsidRPr="00B85D62">
        <w:rPr>
          <w:rFonts w:eastAsia="Arial" w:cs="Arial"/>
          <w:color w:val="000000" w:themeColor="text1"/>
          <w:lang w:eastAsia="ja-JP"/>
        </w:rPr>
        <w:t>’</w:t>
      </w:r>
      <w:r w:rsidRPr="00B85D62">
        <w:rPr>
          <w:rFonts w:eastAsia="Arial" w:cs="Arial"/>
          <w:color w:val="000000" w:themeColor="text1"/>
          <w:lang w:eastAsia="ja-JP"/>
        </w:rPr>
        <w:t xml:space="preserve"> for more than two of the questions were rated as having low methodological quality, high methodological quality was assigned where all the domains were rated as </w:t>
      </w:r>
      <w:r w:rsidR="00B85D62" w:rsidRPr="00B85D62">
        <w:rPr>
          <w:rFonts w:eastAsia="Arial" w:cs="Arial"/>
          <w:color w:val="000000" w:themeColor="text1"/>
          <w:lang w:eastAsia="ja-JP"/>
        </w:rPr>
        <w:t>‘</w:t>
      </w:r>
      <w:r w:rsidRPr="00B85D62">
        <w:rPr>
          <w:rFonts w:eastAsia="Arial" w:cs="Arial"/>
          <w:color w:val="000000" w:themeColor="text1"/>
          <w:lang w:eastAsia="ja-JP"/>
        </w:rPr>
        <w:t>yes</w:t>
      </w:r>
      <w:r w:rsidR="00B85D62" w:rsidRPr="00B85D62">
        <w:rPr>
          <w:rFonts w:eastAsia="Arial" w:cs="Arial"/>
          <w:color w:val="000000" w:themeColor="text1"/>
          <w:lang w:eastAsia="ja-JP"/>
        </w:rPr>
        <w:t>’</w:t>
      </w:r>
      <w:r w:rsidRPr="00B85D62">
        <w:rPr>
          <w:rFonts w:eastAsia="Arial" w:cs="Arial"/>
          <w:color w:val="000000" w:themeColor="text1"/>
          <w:lang w:eastAsia="ja-JP"/>
        </w:rPr>
        <w:t>, and the remaining studies were rated as moderate. Discrepancies were discussed between authors, as needed.</w:t>
      </w:r>
    </w:p>
    <w:p w14:paraId="175F7654" w14:textId="1DC41ACD" w:rsidR="002E2FFB" w:rsidRPr="00B85D62" w:rsidRDefault="38B97DF5" w:rsidP="006C7E71">
      <w:pPr>
        <w:pStyle w:val="Heading4"/>
        <w:numPr>
          <w:ilvl w:val="0"/>
          <w:numId w:val="0"/>
        </w:numPr>
      </w:pPr>
      <w:bookmarkStart w:id="29" w:name="_Toc19274197"/>
      <w:r w:rsidRPr="00B85D62">
        <w:rPr>
          <w:highlight w:val="magenta"/>
        </w:rPr>
        <w:t>Data</w:t>
      </w:r>
      <w:r w:rsidRPr="00B85D62">
        <w:t xml:space="preserve"> synthesis</w:t>
      </w:r>
      <w:bookmarkEnd w:id="29"/>
      <w:r w:rsidRPr="00B85D62">
        <w:t xml:space="preserve"> and investigations of heterogeneity</w:t>
      </w:r>
    </w:p>
    <w:p w14:paraId="444B22D2" w14:textId="252B8ACC" w:rsidR="002E2FFB" w:rsidRPr="00B85D62" w:rsidRDefault="54F9349D" w:rsidP="0066232B">
      <w:pPr>
        <w:spacing w:beforeLines="120" w:before="288" w:afterLines="120" w:after="288"/>
        <w:jc w:val="both"/>
        <w:rPr>
          <w:rFonts w:eastAsia="Arial" w:cs="Arial"/>
          <w:lang w:eastAsia="ja-JP"/>
        </w:rPr>
      </w:pPr>
      <w:r w:rsidRPr="00B85D62">
        <w:rPr>
          <w:rFonts w:eastAsia="Arial" w:cs="Arial"/>
          <w:color w:val="000000" w:themeColor="text1"/>
          <w:lang w:eastAsia="ja-JP"/>
        </w:rPr>
        <w:t xml:space="preserve">For each study, we calculated raw proportions with 95% score-based confidence intervals based on the appropriate numerator and denominator for each outcome measure. Variances of the raw proportions were stabilised before pooling using the Freeman-Tukey double arcsine transformation </w:t>
      </w:r>
      <w:r w:rsidR="00F80015" w:rsidRPr="00B85D62">
        <w:rPr>
          <w:rFonts w:cs="Arial"/>
          <w:noProof/>
          <w:color w:val="000000" w:themeColor="text1"/>
          <w:vertAlign w:val="superscript"/>
          <w:lang w:eastAsia="ja-JP"/>
        </w:rPr>
        <w:t>31</w:t>
      </w:r>
      <w:r w:rsidRPr="00B85D62">
        <w:rPr>
          <w:rFonts w:eastAsia="Arial" w:cs="Arial"/>
          <w:color w:val="000000" w:themeColor="text1"/>
          <w:lang w:eastAsia="ja-JP"/>
        </w:rPr>
        <w:t xml:space="preserve"> to ensure studies which estimated proportions as 100% (standard error, SE=0) were not excluded from the analysis. The included studies only presented outcome </w:t>
      </w:r>
      <w:r w:rsidRPr="00B85D62">
        <w:rPr>
          <w:rFonts w:eastAsia="Arial" w:cs="Arial"/>
          <w:color w:val="000000" w:themeColor="text1"/>
          <w:highlight w:val="magenta"/>
          <w:lang w:eastAsia="ja-JP"/>
        </w:rPr>
        <w:t>data</w:t>
      </w:r>
      <w:r w:rsidRPr="00B85D62">
        <w:rPr>
          <w:rFonts w:eastAsia="Arial" w:cs="Arial"/>
          <w:color w:val="000000" w:themeColor="text1"/>
          <w:lang w:eastAsia="ja-JP"/>
        </w:rPr>
        <w:t xml:space="preserve"> for one cascade protocol (direct, indirect, or combination); therefore, no relative effect measures could be estimated. Thus, pooled proportions for the outcome measures overall and for each cascade protocol were estimated using a random effects models where sufficient studies were included in the meta-analyses, to allow for anticipated heterogeneity resulting from inherent biases within the studies. Inconsistency (heterogeneity) was quantified using I</w:t>
      </w:r>
      <w:r w:rsidRPr="00B85D62">
        <w:rPr>
          <w:rFonts w:eastAsia="Arial" w:cs="Arial"/>
          <w:color w:val="000000" w:themeColor="text1"/>
          <w:vertAlign w:val="superscript"/>
          <w:lang w:eastAsia="ja-JP"/>
        </w:rPr>
        <w:t>2</w:t>
      </w:r>
      <w:r w:rsidRPr="00B85D62">
        <w:rPr>
          <w:rFonts w:eastAsia="Arial" w:cs="Arial"/>
          <w:color w:val="000000" w:themeColor="text1"/>
          <w:lang w:eastAsia="ja-JP"/>
        </w:rPr>
        <w:t xml:space="preserve"> </w:t>
      </w:r>
      <w:r w:rsidR="00F80015" w:rsidRPr="00B85D62">
        <w:rPr>
          <w:rFonts w:cs="Arial"/>
          <w:noProof/>
          <w:color w:val="000000" w:themeColor="text1"/>
          <w:vertAlign w:val="superscript"/>
          <w:lang w:eastAsia="ja-JP"/>
        </w:rPr>
        <w:t>32</w:t>
      </w:r>
      <w:r w:rsidRPr="00B85D62">
        <w:rPr>
          <w:rFonts w:eastAsia="Arial" w:cs="Arial"/>
          <w:color w:val="000000" w:themeColor="text1"/>
          <w:lang w:eastAsia="ja-JP"/>
        </w:rPr>
        <w:t xml:space="preserve">. </w:t>
      </w:r>
      <w:r w:rsidRPr="00B85D62">
        <w:rPr>
          <w:rFonts w:eastAsia="Arial" w:cs="Arial"/>
          <w:lang w:eastAsia="ja-JP"/>
        </w:rPr>
        <w:t xml:space="preserve">Analyses were conducted in </w:t>
      </w:r>
      <w:r w:rsidRPr="00B85D62">
        <w:rPr>
          <w:rFonts w:eastAsia="Arial" w:cs="Arial"/>
          <w:color w:val="000000" w:themeColor="text1"/>
          <w:lang w:eastAsia="ja-JP"/>
        </w:rPr>
        <w:t xml:space="preserve">Stata </w:t>
      </w:r>
      <w:r w:rsidRPr="00B85D62">
        <w:rPr>
          <w:rFonts w:eastAsia="Arial" w:cs="Arial"/>
          <w:lang w:eastAsia="ja-JP"/>
        </w:rPr>
        <w:t>version 16.0 (Stata-Corp, College Station, Texas, USA)</w:t>
      </w:r>
      <w:r w:rsidRPr="00B85D62">
        <w:rPr>
          <w:rFonts w:eastAsia="Arial" w:cs="Arial"/>
          <w:color w:val="000000" w:themeColor="text1"/>
          <w:lang w:eastAsia="ja-JP"/>
        </w:rPr>
        <w:t>.</w:t>
      </w:r>
    </w:p>
    <w:p w14:paraId="1183B5DF" w14:textId="26211E55" w:rsidR="002E2FFB" w:rsidRPr="00B85D62" w:rsidRDefault="3C5E4553" w:rsidP="006C7E71">
      <w:pPr>
        <w:pStyle w:val="Heading3"/>
      </w:pPr>
      <w:bookmarkStart w:id="30" w:name="_Toc19274204"/>
      <w:bookmarkStart w:id="31" w:name="_Toc76461030"/>
      <w:bookmarkStart w:id="32" w:name="_Toc107157441"/>
      <w:r w:rsidRPr="00B85D62">
        <w:t>Results</w:t>
      </w:r>
      <w:bookmarkEnd w:id="30"/>
      <w:bookmarkEnd w:id="31"/>
      <w:bookmarkEnd w:id="32"/>
    </w:p>
    <w:p w14:paraId="2487AEEF" w14:textId="30AE1376" w:rsidR="00B85D62" w:rsidRPr="00B85D62" w:rsidRDefault="54F9349D" w:rsidP="0066232B">
      <w:pPr>
        <w:spacing w:before="120" w:after="120"/>
        <w:jc w:val="both"/>
        <w:rPr>
          <w:rFonts w:eastAsia="Calibri" w:cs="Arial"/>
        </w:rPr>
      </w:pPr>
      <w:r w:rsidRPr="00B85D62">
        <w:rPr>
          <w:rFonts w:eastAsia="Arial" w:cs="Arial"/>
        </w:rPr>
        <w:t>The searches identified a total of 3742 studies. Following title and abstract screening, 217 studies were assessed for full text screening (</w:t>
      </w:r>
      <w:r w:rsidR="00B85D62" w:rsidRPr="00B85D62">
        <w:rPr>
          <w:rFonts w:eastAsia="Arial" w:cs="Arial"/>
          <w:i/>
          <w:color w:val="FF0000"/>
        </w:rPr>
        <w:t>F</w:t>
      </w:r>
      <w:r w:rsidR="00B85D62" w:rsidRPr="00B85D62">
        <w:rPr>
          <w:rFonts w:eastAsia="Arial" w:cs="Arial"/>
          <w:i/>
          <w:color w:val="FF0000"/>
        </w:rPr>
        <w:t>igure</w:t>
      </w:r>
      <w:r w:rsidR="00B85D62" w:rsidRPr="00B85D62">
        <w:rPr>
          <w:rFonts w:eastAsia="Arial" w:cs="Arial"/>
          <w:i/>
          <w:color w:val="FF0000"/>
        </w:rPr>
        <w:t xml:space="preserve"> </w:t>
      </w:r>
      <w:r w:rsidR="00B85D62" w:rsidRPr="00B85D62">
        <w:rPr>
          <w:rFonts w:eastAsia="Arial" w:cs="Arial"/>
          <w:i/>
          <w:color w:val="FF0000"/>
        </w:rPr>
        <w:t>1</w:t>
      </w:r>
      <w:r w:rsidRPr="00B85D62">
        <w:rPr>
          <w:rFonts w:eastAsia="Arial" w:cs="Arial"/>
        </w:rPr>
        <w:t xml:space="preserve">). At the full text screening, 193 studies were excluded, related to ineligible study design (77 studies), ineligible or duplicate population (35 studies), ineligible or unclear intervention (62 studies) or ineligible outcome reporting (19 studies); therefore, 24 studies were included in the systematic review </w:t>
      </w:r>
      <w:bookmarkStart w:id="33" w:name="_Toc19274210"/>
      <w:bookmarkEnd w:id="33"/>
      <w:r w:rsidRPr="00B85D62">
        <w:rPr>
          <w:rFonts w:eastAsia="Arial" w:cs="Arial"/>
        </w:rPr>
        <w:t xml:space="preserve">and meta-analysis </w:t>
      </w:r>
      <w:r w:rsidR="00F80015" w:rsidRPr="00B85D62">
        <w:rPr>
          <w:rFonts w:eastAsia="Calibri" w:cs="Arial"/>
          <w:noProof/>
          <w:vertAlign w:val="superscript"/>
        </w:rPr>
        <w:t>33</w:t>
      </w:r>
      <w:r w:rsidR="00B85D62" w:rsidRPr="00B85D62">
        <w:rPr>
          <w:rFonts w:eastAsia="Calibri" w:cs="Arial"/>
          <w:noProof/>
          <w:color w:val="00B0F0"/>
          <w:vertAlign w:val="superscript"/>
        </w:rPr>
        <w:t>–</w:t>
      </w:r>
      <w:r w:rsidR="00B85D62" w:rsidRPr="00B85D62">
        <w:rPr>
          <w:rFonts w:eastAsia="Calibri" w:cs="Arial"/>
          <w:noProof/>
          <w:color w:val="00B0F0"/>
          <w:vertAlign w:val="superscript"/>
        </w:rPr>
        <w:t>5</w:t>
      </w:r>
      <w:r w:rsidR="00F80015" w:rsidRPr="00B85D62">
        <w:rPr>
          <w:rFonts w:eastAsia="Calibri" w:cs="Arial"/>
          <w:noProof/>
          <w:vertAlign w:val="superscript"/>
        </w:rPr>
        <w:t>6</w:t>
      </w:r>
      <w:r w:rsidRPr="00B85D62">
        <w:rPr>
          <w:rFonts w:eastAsia="Arial"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1</w:t>
      </w:r>
      <w:r w:rsidRPr="00B85D62">
        <w:rPr>
          <w:rFonts w:eastAsia="Calibri" w:cs="Arial"/>
        </w:rPr>
        <w:t>).</w:t>
      </w:r>
    </w:p>
    <w:p w14:paraId="34318166" w14:textId="17A4BBC3" w:rsidR="00B85D62" w:rsidRPr="00B85D62" w:rsidRDefault="00B85D62" w:rsidP="00D0663E">
      <w:pPr>
        <w:spacing w:after="200"/>
        <w:rPr>
          <w:rFonts w:eastAsia="Calibri" w:cs="Arial"/>
          <w:bCs/>
        </w:rPr>
      </w:pPr>
      <w:bookmarkStart w:id="34" w:name="_Toc79740220"/>
      <w:bookmarkStart w:id="35" w:name="_Toc107157383"/>
      <w:r w:rsidRPr="00B85D62">
        <w:rPr>
          <w:bCs/>
          <w:i/>
          <w:iCs/>
          <w:color w:val="FF0000"/>
          <w:szCs w:val="18"/>
        </w:rPr>
        <w:t>F</w:t>
      </w:r>
      <w:r w:rsidRPr="00B85D62">
        <w:rPr>
          <w:bCs/>
          <w:i/>
          <w:iCs/>
          <w:color w:val="FF0000"/>
          <w:szCs w:val="18"/>
        </w:rPr>
        <w:t>igure</w:t>
      </w:r>
      <w:r w:rsidRPr="00B85D62">
        <w:rPr>
          <w:bCs/>
          <w:i/>
          <w:iCs/>
          <w:color w:val="FF0000"/>
          <w:szCs w:val="18"/>
        </w:rPr>
        <w:t xml:space="preserve"> </w:t>
      </w:r>
      <w:r w:rsidRPr="00B85D62">
        <w:rPr>
          <w:bCs/>
          <w:i/>
          <w:iCs/>
          <w:noProof/>
          <w:color w:val="FF0000"/>
          <w:szCs w:val="18"/>
        </w:rPr>
        <w:t>1</w:t>
      </w:r>
      <w:r w:rsidR="00D0663E" w:rsidRPr="00B85D62">
        <w:rPr>
          <w:bCs/>
        </w:rPr>
        <w:t xml:space="preserve"> </w:t>
      </w:r>
      <w:r w:rsidR="00D0663E" w:rsidRPr="00B85D62">
        <w:rPr>
          <w:bCs/>
          <w:iCs/>
          <w:szCs w:val="18"/>
        </w:rPr>
        <w:t>PRISMA Flow Chart for systematic review of effectiveness of cascade testing strategies</w:t>
      </w:r>
      <w:bookmarkEnd w:id="34"/>
      <w:bookmarkEnd w:id="35"/>
    </w:p>
    <w:p w14:paraId="1BA10C60" w14:textId="108D51BD" w:rsidR="00520C37" w:rsidRPr="00B85D62" w:rsidRDefault="00B85D62" w:rsidP="00520C37">
      <w:pPr>
        <w:pStyle w:val="Caption"/>
        <w:keepNext/>
        <w:rPr>
          <w:rFonts w:cs="Arial"/>
        </w:rPr>
      </w:pPr>
      <w:bookmarkStart w:id="36" w:name="_Toc79495146"/>
      <w:bookmarkStart w:id="37" w:name="_Toc79740196"/>
      <w:bookmarkStart w:id="38" w:name="_Toc107157355"/>
      <w:r w:rsidRPr="00B85D62">
        <w:rPr>
          <w:rFonts w:cs="Arial"/>
          <w:i/>
          <w:color w:val="FF0000"/>
        </w:rPr>
        <w:lastRenderedPageBreak/>
        <w:t>T</w:t>
      </w:r>
      <w:r w:rsidRPr="00B85D62">
        <w:rPr>
          <w:rFonts w:cs="Arial"/>
          <w:i/>
          <w:color w:val="FF0000"/>
        </w:rPr>
        <w:t>able</w:t>
      </w:r>
      <w:r w:rsidRPr="00B85D62">
        <w:rPr>
          <w:rFonts w:cs="Arial"/>
          <w:i/>
          <w:color w:val="FF0000"/>
        </w:rPr>
        <w:t xml:space="preserve"> </w:t>
      </w:r>
      <w:r w:rsidRPr="00B85D62">
        <w:rPr>
          <w:rFonts w:cs="Arial"/>
          <w:i/>
          <w:noProof/>
          <w:color w:val="FF0000"/>
        </w:rPr>
        <w:t>1</w:t>
      </w:r>
      <w:r w:rsidR="00520C37" w:rsidRPr="00B85D62">
        <w:rPr>
          <w:rFonts w:cs="Arial"/>
        </w:rPr>
        <w:t xml:space="preserve"> </w:t>
      </w:r>
      <w:r w:rsidR="00520C37" w:rsidRPr="00B85D62">
        <w:rPr>
          <w:rFonts w:eastAsia="Calibri" w:cs="Arial"/>
        </w:rPr>
        <w:t>Characteristics of included studies</w:t>
      </w:r>
      <w:bookmarkEnd w:id="36"/>
      <w:bookmarkEnd w:id="37"/>
      <w:bookmarkEnd w:id="38"/>
    </w:p>
    <w:tbl>
      <w:tblPr>
        <w:tblW w:w="0" w:type="auto"/>
        <w:tblCellMar>
          <w:top w:w="40" w:type="dxa"/>
          <w:left w:w="60" w:type="dxa"/>
          <w:bottom w:w="40" w:type="dxa"/>
          <w:right w:w="60" w:type="dxa"/>
        </w:tblCellMar>
        <w:tblLook w:val="04A0" w:firstRow="1" w:lastRow="0" w:firstColumn="1" w:lastColumn="0" w:noHBand="0" w:noVBand="1"/>
      </w:tblPr>
      <w:tblGrid>
        <w:gridCol w:w="1270"/>
        <w:gridCol w:w="1060"/>
        <w:gridCol w:w="919"/>
        <w:gridCol w:w="726"/>
        <w:gridCol w:w="779"/>
        <w:gridCol w:w="887"/>
        <w:gridCol w:w="887"/>
        <w:gridCol w:w="1632"/>
        <w:gridCol w:w="866"/>
      </w:tblGrid>
      <w:tr w:rsidR="00B85D62" w:rsidRPr="00B85D62" w14:paraId="6DDA6BEC" w14:textId="77777777" w:rsidTr="00B85D62">
        <w:trPr>
          <w:cantSplit/>
        </w:trPr>
        <w:tc>
          <w:tcPr>
            <w:tcW w:w="0" w:type="auto"/>
            <w:shd w:val="clear" w:color="auto" w:fill="auto"/>
          </w:tcPr>
          <w:p w14:paraId="7665CE97" w14:textId="77777777" w:rsidR="002E2FFB" w:rsidRPr="00B85D62" w:rsidRDefault="002E2FFB" w:rsidP="0066232B">
            <w:pPr>
              <w:jc w:val="center"/>
              <w:rPr>
                <w:rFonts w:cs="Arial"/>
                <w:bCs/>
                <w:color w:val="000000"/>
              </w:rPr>
            </w:pPr>
            <w:r w:rsidRPr="00B85D62">
              <w:rPr>
                <w:rFonts w:cs="Arial"/>
                <w:bCs/>
              </w:rPr>
              <w:t>Study, year</w:t>
            </w:r>
          </w:p>
        </w:tc>
        <w:tc>
          <w:tcPr>
            <w:tcW w:w="0" w:type="auto"/>
            <w:shd w:val="clear" w:color="auto" w:fill="auto"/>
          </w:tcPr>
          <w:p w14:paraId="3AB36A2C" w14:textId="77777777" w:rsidR="002E2FFB" w:rsidRPr="00B85D62" w:rsidRDefault="002E2FFB" w:rsidP="0066232B">
            <w:pPr>
              <w:jc w:val="center"/>
              <w:rPr>
                <w:rFonts w:cs="Arial"/>
                <w:bCs/>
                <w:color w:val="000000"/>
              </w:rPr>
            </w:pPr>
            <w:r w:rsidRPr="00B85D62">
              <w:rPr>
                <w:rFonts w:cs="Arial"/>
                <w:bCs/>
              </w:rPr>
              <w:t>Country</w:t>
            </w:r>
          </w:p>
        </w:tc>
        <w:tc>
          <w:tcPr>
            <w:tcW w:w="0" w:type="auto"/>
            <w:shd w:val="clear" w:color="auto" w:fill="auto"/>
          </w:tcPr>
          <w:p w14:paraId="0FFCE271" w14:textId="77777777" w:rsidR="002E2FFB" w:rsidRPr="00B85D62" w:rsidRDefault="002E2FFB" w:rsidP="0066232B">
            <w:pPr>
              <w:jc w:val="center"/>
              <w:rPr>
                <w:rFonts w:cs="Arial"/>
                <w:color w:val="000000"/>
              </w:rPr>
            </w:pPr>
            <w:r w:rsidRPr="00B85D62">
              <w:rPr>
                <w:rFonts w:cs="Arial"/>
              </w:rPr>
              <w:t xml:space="preserve">Number of confirmed index cases </w:t>
            </w:r>
          </w:p>
        </w:tc>
        <w:tc>
          <w:tcPr>
            <w:tcW w:w="0" w:type="auto"/>
            <w:shd w:val="clear" w:color="auto" w:fill="auto"/>
          </w:tcPr>
          <w:p w14:paraId="7387D553" w14:textId="77777777" w:rsidR="002E2FFB" w:rsidRPr="00B85D62" w:rsidRDefault="002E2FFB" w:rsidP="0066232B">
            <w:pPr>
              <w:jc w:val="center"/>
              <w:rPr>
                <w:rFonts w:cs="Arial"/>
                <w:bCs/>
                <w:color w:val="000000"/>
              </w:rPr>
            </w:pPr>
            <w:r w:rsidRPr="00B85D62">
              <w:rPr>
                <w:rFonts w:cs="Arial"/>
                <w:bCs/>
              </w:rPr>
              <w:t>Contact method</w:t>
            </w:r>
          </w:p>
        </w:tc>
        <w:tc>
          <w:tcPr>
            <w:tcW w:w="0" w:type="auto"/>
            <w:shd w:val="clear" w:color="auto" w:fill="auto"/>
          </w:tcPr>
          <w:p w14:paraId="3D0FCDE9" w14:textId="77777777" w:rsidR="002E2FFB" w:rsidRPr="00B85D62" w:rsidRDefault="002E2FFB" w:rsidP="0066232B">
            <w:pPr>
              <w:jc w:val="center"/>
              <w:rPr>
                <w:rFonts w:cs="Arial"/>
                <w:bCs/>
                <w:color w:val="000000"/>
              </w:rPr>
            </w:pPr>
            <w:r w:rsidRPr="00B85D62">
              <w:rPr>
                <w:rFonts w:cs="Arial"/>
                <w:bCs/>
              </w:rPr>
              <w:t>Format of cascade</w:t>
            </w:r>
          </w:p>
        </w:tc>
        <w:tc>
          <w:tcPr>
            <w:tcW w:w="0" w:type="auto"/>
            <w:shd w:val="clear" w:color="auto" w:fill="auto"/>
          </w:tcPr>
          <w:p w14:paraId="225B27C2" w14:textId="77777777" w:rsidR="002E2FFB" w:rsidRPr="00B85D62" w:rsidRDefault="002E2FFB" w:rsidP="0066232B">
            <w:pPr>
              <w:jc w:val="center"/>
              <w:rPr>
                <w:rFonts w:cs="Arial"/>
                <w:color w:val="000000"/>
              </w:rPr>
            </w:pPr>
            <w:r w:rsidRPr="00B85D62">
              <w:rPr>
                <w:rFonts w:cs="Arial"/>
              </w:rPr>
              <w:t>Extent of cascading in relatives</w:t>
            </w:r>
          </w:p>
        </w:tc>
        <w:tc>
          <w:tcPr>
            <w:tcW w:w="0" w:type="auto"/>
            <w:shd w:val="clear" w:color="auto" w:fill="auto"/>
          </w:tcPr>
          <w:p w14:paraId="1E10F53A" w14:textId="77777777" w:rsidR="002E2FFB" w:rsidRPr="00B85D62" w:rsidRDefault="002E2FFB" w:rsidP="0066232B">
            <w:pPr>
              <w:jc w:val="center"/>
              <w:rPr>
                <w:rFonts w:cs="Arial"/>
                <w:color w:val="000000"/>
              </w:rPr>
            </w:pPr>
            <w:r w:rsidRPr="00B85D62">
              <w:rPr>
                <w:rFonts w:cs="Arial"/>
              </w:rPr>
              <w:t>FH diagnosis method in index cases</w:t>
            </w:r>
          </w:p>
        </w:tc>
        <w:tc>
          <w:tcPr>
            <w:tcW w:w="0" w:type="auto"/>
            <w:shd w:val="clear" w:color="auto" w:fill="auto"/>
          </w:tcPr>
          <w:p w14:paraId="0B9C6AF2" w14:textId="77777777" w:rsidR="002E2FFB" w:rsidRPr="00B85D62" w:rsidRDefault="002E2FFB" w:rsidP="0066232B">
            <w:pPr>
              <w:jc w:val="center"/>
              <w:rPr>
                <w:rFonts w:cs="Arial"/>
                <w:color w:val="000000"/>
              </w:rPr>
            </w:pPr>
            <w:r w:rsidRPr="00B85D62">
              <w:rPr>
                <w:rFonts w:cs="Arial"/>
              </w:rPr>
              <w:t>FH diagnosis method in relatives</w:t>
            </w:r>
          </w:p>
        </w:tc>
        <w:tc>
          <w:tcPr>
            <w:tcW w:w="0" w:type="auto"/>
            <w:shd w:val="clear" w:color="auto" w:fill="auto"/>
          </w:tcPr>
          <w:p w14:paraId="0ABF7439" w14:textId="77777777" w:rsidR="002E2FFB" w:rsidRPr="00B85D62" w:rsidRDefault="002E2FFB" w:rsidP="0066232B">
            <w:pPr>
              <w:jc w:val="center"/>
              <w:rPr>
                <w:rFonts w:cs="Arial"/>
              </w:rPr>
            </w:pPr>
            <w:r w:rsidRPr="00B85D62">
              <w:rPr>
                <w:rFonts w:cs="Arial"/>
              </w:rPr>
              <w:t>Quality score</w:t>
            </w:r>
          </w:p>
        </w:tc>
      </w:tr>
      <w:tr w:rsidR="00B85D62" w:rsidRPr="00B85D62" w14:paraId="4987CCFD" w14:textId="77777777" w:rsidTr="00B85D62">
        <w:trPr>
          <w:cantSplit/>
        </w:trPr>
        <w:tc>
          <w:tcPr>
            <w:tcW w:w="0" w:type="auto"/>
            <w:shd w:val="clear" w:color="auto" w:fill="auto"/>
          </w:tcPr>
          <w:p w14:paraId="6F6B25EE" w14:textId="77777777" w:rsidR="002E2FFB" w:rsidRPr="00B85D62" w:rsidRDefault="002E2FFB" w:rsidP="0066232B">
            <w:pPr>
              <w:spacing w:after="120"/>
              <w:jc w:val="center"/>
              <w:rPr>
                <w:rFonts w:cs="Arial"/>
                <w:b/>
                <w:bCs/>
                <w:color w:val="000000"/>
              </w:rPr>
            </w:pPr>
            <w:r w:rsidRPr="00B85D62">
              <w:rPr>
                <w:rFonts w:cs="Arial"/>
                <w:b/>
                <w:bCs/>
              </w:rPr>
              <w:t xml:space="preserve">Alver, 2019 </w:t>
            </w:r>
          </w:p>
        </w:tc>
        <w:tc>
          <w:tcPr>
            <w:tcW w:w="0" w:type="auto"/>
            <w:shd w:val="clear" w:color="auto" w:fill="auto"/>
          </w:tcPr>
          <w:p w14:paraId="7C9B1C8F" w14:textId="77777777" w:rsidR="002E2FFB" w:rsidRPr="00B85D62" w:rsidRDefault="002E2FFB" w:rsidP="0066232B">
            <w:pPr>
              <w:spacing w:after="120"/>
              <w:jc w:val="center"/>
              <w:rPr>
                <w:rFonts w:cs="Arial"/>
                <w:color w:val="000000"/>
              </w:rPr>
            </w:pPr>
            <w:r w:rsidRPr="00B85D62">
              <w:rPr>
                <w:rFonts w:cs="Arial"/>
              </w:rPr>
              <w:t>Estonia</w:t>
            </w:r>
          </w:p>
        </w:tc>
        <w:tc>
          <w:tcPr>
            <w:tcW w:w="0" w:type="auto"/>
            <w:shd w:val="clear" w:color="auto" w:fill="auto"/>
          </w:tcPr>
          <w:p w14:paraId="65A398F3" w14:textId="77777777" w:rsidR="002E2FFB" w:rsidRPr="00B85D62" w:rsidRDefault="002E2FFB" w:rsidP="0066232B">
            <w:pPr>
              <w:spacing w:after="120"/>
              <w:jc w:val="center"/>
              <w:rPr>
                <w:rFonts w:cs="Arial"/>
                <w:color w:val="000000"/>
              </w:rPr>
            </w:pPr>
            <w:r w:rsidRPr="00B85D62">
              <w:rPr>
                <w:rFonts w:cs="Arial"/>
              </w:rPr>
              <w:t>27</w:t>
            </w:r>
          </w:p>
        </w:tc>
        <w:tc>
          <w:tcPr>
            <w:tcW w:w="0" w:type="auto"/>
            <w:shd w:val="clear" w:color="auto" w:fill="auto"/>
          </w:tcPr>
          <w:p w14:paraId="502F9DFC" w14:textId="77777777" w:rsidR="002E2FFB" w:rsidRPr="00B85D62" w:rsidRDefault="002E2FFB" w:rsidP="0066232B">
            <w:pPr>
              <w:spacing w:after="120"/>
              <w:jc w:val="center"/>
              <w:rPr>
                <w:rFonts w:cs="Arial"/>
                <w:color w:val="000000"/>
              </w:rPr>
            </w:pPr>
            <w:r w:rsidRPr="00B85D62">
              <w:rPr>
                <w:rFonts w:cs="Arial"/>
              </w:rPr>
              <w:t>Indirect</w:t>
            </w:r>
          </w:p>
        </w:tc>
        <w:tc>
          <w:tcPr>
            <w:tcW w:w="0" w:type="auto"/>
            <w:shd w:val="clear" w:color="auto" w:fill="auto"/>
          </w:tcPr>
          <w:p w14:paraId="4DCCA21D" w14:textId="77777777" w:rsidR="002E2FFB" w:rsidRPr="00B85D62" w:rsidRDefault="002E2FFB" w:rsidP="0066232B">
            <w:pPr>
              <w:spacing w:after="120"/>
              <w:jc w:val="center"/>
              <w:rPr>
                <w:rFonts w:cs="Arial"/>
                <w:color w:val="000000"/>
              </w:rPr>
            </w:pPr>
            <w:r w:rsidRPr="00B85D62">
              <w:rPr>
                <w:rFonts w:cs="Arial"/>
              </w:rPr>
              <w:t>Forward</w:t>
            </w:r>
          </w:p>
        </w:tc>
        <w:tc>
          <w:tcPr>
            <w:tcW w:w="0" w:type="auto"/>
            <w:shd w:val="clear" w:color="auto" w:fill="auto"/>
          </w:tcPr>
          <w:p w14:paraId="3E741D02" w14:textId="77777777" w:rsidR="002E2FFB" w:rsidRPr="00B85D62" w:rsidRDefault="002E2FFB" w:rsidP="0066232B">
            <w:pPr>
              <w:spacing w:after="120"/>
              <w:jc w:val="center"/>
              <w:rPr>
                <w:rFonts w:cs="Arial"/>
                <w:color w:val="000000"/>
              </w:rPr>
            </w:pPr>
            <w:r w:rsidRPr="00B85D62">
              <w:rPr>
                <w:rFonts w:cs="Arial"/>
              </w:rPr>
              <w:t>Second degree</w:t>
            </w:r>
          </w:p>
        </w:tc>
        <w:tc>
          <w:tcPr>
            <w:tcW w:w="0" w:type="auto"/>
            <w:shd w:val="clear" w:color="auto" w:fill="auto"/>
          </w:tcPr>
          <w:p w14:paraId="0789B3D7" w14:textId="77777777" w:rsidR="002E2FFB" w:rsidRPr="00B85D62" w:rsidRDefault="002E2FFB" w:rsidP="0066232B">
            <w:pPr>
              <w:spacing w:after="120"/>
              <w:jc w:val="center"/>
              <w:rPr>
                <w:rFonts w:cs="Arial"/>
                <w:color w:val="000000"/>
              </w:rPr>
            </w:pPr>
            <w:r w:rsidRPr="00B85D62">
              <w:rPr>
                <w:rFonts w:cs="Arial"/>
              </w:rPr>
              <w:t>Genetic</w:t>
            </w:r>
          </w:p>
        </w:tc>
        <w:tc>
          <w:tcPr>
            <w:tcW w:w="0" w:type="auto"/>
            <w:shd w:val="clear" w:color="auto" w:fill="auto"/>
          </w:tcPr>
          <w:p w14:paraId="48C4F7FA" w14:textId="77777777" w:rsidR="002E2FFB" w:rsidRPr="00B85D62" w:rsidRDefault="002E2FFB" w:rsidP="0066232B">
            <w:pPr>
              <w:spacing w:after="120"/>
              <w:jc w:val="center"/>
              <w:rPr>
                <w:rFonts w:cs="Arial"/>
                <w:color w:val="000000"/>
              </w:rPr>
            </w:pPr>
            <w:r w:rsidRPr="00B85D62">
              <w:rPr>
                <w:rFonts w:cs="Arial"/>
              </w:rPr>
              <w:t>Genetic</w:t>
            </w:r>
          </w:p>
        </w:tc>
        <w:tc>
          <w:tcPr>
            <w:tcW w:w="0" w:type="auto"/>
            <w:shd w:val="clear" w:color="auto" w:fill="auto"/>
          </w:tcPr>
          <w:p w14:paraId="476A067D" w14:textId="77777777" w:rsidR="002E2FFB" w:rsidRPr="00B85D62" w:rsidRDefault="002E2FFB" w:rsidP="0066232B">
            <w:pPr>
              <w:spacing w:after="120"/>
              <w:jc w:val="center"/>
              <w:rPr>
                <w:rFonts w:cs="Arial"/>
              </w:rPr>
            </w:pPr>
            <w:r w:rsidRPr="00B85D62">
              <w:rPr>
                <w:rFonts w:cs="Arial"/>
              </w:rPr>
              <w:t>Moderate</w:t>
            </w:r>
          </w:p>
        </w:tc>
      </w:tr>
      <w:tr w:rsidR="00B85D62" w:rsidRPr="00B85D62" w14:paraId="5597859F" w14:textId="77777777" w:rsidTr="00B85D62">
        <w:trPr>
          <w:cantSplit/>
        </w:trPr>
        <w:tc>
          <w:tcPr>
            <w:tcW w:w="0" w:type="auto"/>
            <w:shd w:val="clear" w:color="auto" w:fill="auto"/>
          </w:tcPr>
          <w:p w14:paraId="79CFEF1B" w14:textId="77777777" w:rsidR="002E2FFB" w:rsidRPr="00B85D62" w:rsidRDefault="002E2FFB" w:rsidP="0066232B">
            <w:pPr>
              <w:spacing w:after="120"/>
              <w:jc w:val="center"/>
              <w:rPr>
                <w:rFonts w:cs="Arial"/>
                <w:b/>
                <w:bCs/>
                <w:color w:val="000000"/>
              </w:rPr>
            </w:pPr>
            <w:r w:rsidRPr="00B85D62">
              <w:rPr>
                <w:rFonts w:cs="Arial"/>
                <w:b/>
                <w:bCs/>
              </w:rPr>
              <w:t>Andersen, 1997</w:t>
            </w:r>
          </w:p>
        </w:tc>
        <w:tc>
          <w:tcPr>
            <w:tcW w:w="0" w:type="auto"/>
            <w:shd w:val="clear" w:color="auto" w:fill="auto"/>
          </w:tcPr>
          <w:p w14:paraId="3914DFE9" w14:textId="77777777" w:rsidR="002E2FFB" w:rsidRPr="00B85D62" w:rsidRDefault="002E2FFB" w:rsidP="0066232B">
            <w:pPr>
              <w:spacing w:after="120"/>
              <w:jc w:val="center"/>
              <w:rPr>
                <w:rFonts w:cs="Arial"/>
                <w:color w:val="000000"/>
              </w:rPr>
            </w:pPr>
            <w:r w:rsidRPr="00B85D62">
              <w:rPr>
                <w:rFonts w:cs="Arial"/>
              </w:rPr>
              <w:t>Denmark</w:t>
            </w:r>
          </w:p>
        </w:tc>
        <w:tc>
          <w:tcPr>
            <w:tcW w:w="0" w:type="auto"/>
            <w:shd w:val="clear" w:color="auto" w:fill="auto"/>
          </w:tcPr>
          <w:p w14:paraId="70DEC648" w14:textId="77777777" w:rsidR="002E2FFB" w:rsidRPr="00B85D62" w:rsidRDefault="002E2FFB" w:rsidP="0066232B">
            <w:pPr>
              <w:spacing w:after="120"/>
              <w:jc w:val="center"/>
              <w:rPr>
                <w:rFonts w:cs="Arial"/>
                <w:color w:val="000000"/>
              </w:rPr>
            </w:pPr>
            <w:r w:rsidRPr="00B85D62">
              <w:rPr>
                <w:rFonts w:cs="Arial"/>
              </w:rPr>
              <w:t>62</w:t>
            </w:r>
          </w:p>
        </w:tc>
        <w:tc>
          <w:tcPr>
            <w:tcW w:w="0" w:type="auto"/>
            <w:shd w:val="clear" w:color="auto" w:fill="auto"/>
          </w:tcPr>
          <w:p w14:paraId="2D69B3CA" w14:textId="77777777" w:rsidR="002E2FFB" w:rsidRPr="00B85D62" w:rsidRDefault="002E2FFB" w:rsidP="0066232B">
            <w:pPr>
              <w:spacing w:after="120"/>
              <w:jc w:val="center"/>
              <w:rPr>
                <w:rFonts w:cs="Arial"/>
                <w:color w:val="000000"/>
              </w:rPr>
            </w:pPr>
            <w:r w:rsidRPr="00B85D62">
              <w:rPr>
                <w:rFonts w:cs="Arial"/>
              </w:rPr>
              <w:t>Direct</w:t>
            </w:r>
          </w:p>
        </w:tc>
        <w:tc>
          <w:tcPr>
            <w:tcW w:w="0" w:type="auto"/>
            <w:shd w:val="clear" w:color="auto" w:fill="auto"/>
          </w:tcPr>
          <w:p w14:paraId="4B231B22" w14:textId="77777777" w:rsidR="002E2FFB" w:rsidRPr="00B85D62" w:rsidRDefault="002E2FFB" w:rsidP="0066232B">
            <w:pPr>
              <w:spacing w:after="120"/>
              <w:jc w:val="center"/>
              <w:rPr>
                <w:rFonts w:cs="Arial"/>
                <w:color w:val="000000"/>
              </w:rPr>
            </w:pPr>
            <w:r w:rsidRPr="00B85D62">
              <w:rPr>
                <w:rFonts w:cs="Arial"/>
              </w:rPr>
              <w:t>Forward</w:t>
            </w:r>
          </w:p>
        </w:tc>
        <w:tc>
          <w:tcPr>
            <w:tcW w:w="0" w:type="auto"/>
            <w:shd w:val="clear" w:color="auto" w:fill="auto"/>
          </w:tcPr>
          <w:p w14:paraId="1CD4BD86" w14:textId="77777777" w:rsidR="002E2FFB" w:rsidRPr="00B85D62" w:rsidRDefault="002E2FFB" w:rsidP="0066232B">
            <w:pPr>
              <w:spacing w:after="120"/>
              <w:jc w:val="center"/>
              <w:rPr>
                <w:rFonts w:cs="Arial"/>
                <w:color w:val="000000"/>
              </w:rPr>
            </w:pPr>
            <w:r w:rsidRPr="00B85D62">
              <w:rPr>
                <w:rFonts w:cs="Arial"/>
              </w:rPr>
              <w:t>Second degree</w:t>
            </w:r>
          </w:p>
        </w:tc>
        <w:tc>
          <w:tcPr>
            <w:tcW w:w="0" w:type="auto"/>
            <w:shd w:val="clear" w:color="auto" w:fill="auto"/>
          </w:tcPr>
          <w:p w14:paraId="28776CD0" w14:textId="77777777" w:rsidR="002E2FFB" w:rsidRPr="00B85D62" w:rsidRDefault="002E2FFB" w:rsidP="0066232B">
            <w:pPr>
              <w:spacing w:after="120"/>
              <w:jc w:val="center"/>
              <w:rPr>
                <w:rFonts w:cs="Arial"/>
                <w:color w:val="000000"/>
              </w:rPr>
            </w:pPr>
            <w:r w:rsidRPr="00B85D62">
              <w:rPr>
                <w:rFonts w:cs="Arial"/>
              </w:rPr>
              <w:t>Clinical (study-specific)</w:t>
            </w:r>
          </w:p>
        </w:tc>
        <w:tc>
          <w:tcPr>
            <w:tcW w:w="0" w:type="auto"/>
            <w:shd w:val="clear" w:color="auto" w:fill="auto"/>
          </w:tcPr>
          <w:p w14:paraId="089624B5" w14:textId="77777777" w:rsidR="002E2FFB" w:rsidRPr="00B85D62" w:rsidRDefault="002E2FFB" w:rsidP="0066232B">
            <w:pPr>
              <w:spacing w:after="120"/>
              <w:jc w:val="center"/>
              <w:rPr>
                <w:rFonts w:cs="Arial"/>
                <w:color w:val="000000"/>
              </w:rPr>
            </w:pPr>
            <w:r w:rsidRPr="00B85D62">
              <w:rPr>
                <w:rFonts w:cs="Arial"/>
              </w:rPr>
              <w:t>Clinical (study-specific)</w:t>
            </w:r>
          </w:p>
        </w:tc>
        <w:tc>
          <w:tcPr>
            <w:tcW w:w="0" w:type="auto"/>
            <w:shd w:val="clear" w:color="auto" w:fill="auto"/>
          </w:tcPr>
          <w:p w14:paraId="030AEFA0" w14:textId="77777777" w:rsidR="002E2FFB" w:rsidRPr="00B85D62" w:rsidRDefault="002E2FFB" w:rsidP="0066232B">
            <w:pPr>
              <w:spacing w:after="120"/>
              <w:jc w:val="center"/>
              <w:rPr>
                <w:rFonts w:cs="Arial"/>
              </w:rPr>
            </w:pPr>
            <w:r w:rsidRPr="00B85D62">
              <w:rPr>
                <w:rFonts w:cs="Arial"/>
              </w:rPr>
              <w:t>Moderate</w:t>
            </w:r>
          </w:p>
        </w:tc>
      </w:tr>
      <w:tr w:rsidR="00B85D62" w:rsidRPr="00B85D62" w14:paraId="7A8D1A11" w14:textId="77777777" w:rsidTr="00B85D62">
        <w:trPr>
          <w:cantSplit/>
        </w:trPr>
        <w:tc>
          <w:tcPr>
            <w:tcW w:w="0" w:type="auto"/>
            <w:shd w:val="clear" w:color="auto" w:fill="auto"/>
          </w:tcPr>
          <w:p w14:paraId="30EDFCF5" w14:textId="77777777" w:rsidR="002E2FFB" w:rsidRPr="00B85D62" w:rsidRDefault="002E2FFB" w:rsidP="0066232B">
            <w:pPr>
              <w:jc w:val="center"/>
              <w:rPr>
                <w:rFonts w:cs="Arial"/>
                <w:b/>
                <w:bCs/>
                <w:color w:val="000000"/>
              </w:rPr>
            </w:pPr>
            <w:r w:rsidRPr="00B85D62">
              <w:rPr>
                <w:rFonts w:cs="Arial"/>
                <w:b/>
                <w:bCs/>
              </w:rPr>
              <w:t>Bell, 2015</w:t>
            </w:r>
          </w:p>
        </w:tc>
        <w:tc>
          <w:tcPr>
            <w:tcW w:w="0" w:type="auto"/>
            <w:shd w:val="clear" w:color="auto" w:fill="auto"/>
          </w:tcPr>
          <w:p w14:paraId="350E0577" w14:textId="77777777" w:rsidR="002E2FFB" w:rsidRPr="00B85D62" w:rsidRDefault="002E2FFB" w:rsidP="0066232B">
            <w:pPr>
              <w:jc w:val="center"/>
              <w:rPr>
                <w:rFonts w:cs="Arial"/>
                <w:color w:val="000000"/>
              </w:rPr>
            </w:pPr>
            <w:r w:rsidRPr="00B85D62">
              <w:rPr>
                <w:rFonts w:cs="Arial"/>
              </w:rPr>
              <w:t>Australia</w:t>
            </w:r>
          </w:p>
        </w:tc>
        <w:tc>
          <w:tcPr>
            <w:tcW w:w="0" w:type="auto"/>
            <w:shd w:val="clear" w:color="auto" w:fill="auto"/>
          </w:tcPr>
          <w:p w14:paraId="75F4847D" w14:textId="77777777" w:rsidR="002E2FFB" w:rsidRPr="00B85D62" w:rsidRDefault="002E2FFB" w:rsidP="0066232B">
            <w:pPr>
              <w:jc w:val="center"/>
              <w:rPr>
                <w:rFonts w:cs="Arial"/>
                <w:color w:val="000000"/>
              </w:rPr>
            </w:pPr>
            <w:r w:rsidRPr="00B85D62">
              <w:rPr>
                <w:rFonts w:cs="Arial"/>
              </w:rPr>
              <w:t>100*</w:t>
            </w:r>
          </w:p>
        </w:tc>
        <w:tc>
          <w:tcPr>
            <w:tcW w:w="0" w:type="auto"/>
            <w:shd w:val="clear" w:color="auto" w:fill="auto"/>
          </w:tcPr>
          <w:p w14:paraId="408B9C95" w14:textId="77777777" w:rsidR="002E2FFB" w:rsidRPr="00B85D62" w:rsidRDefault="002E2FFB" w:rsidP="0066232B">
            <w:pPr>
              <w:jc w:val="center"/>
              <w:rPr>
                <w:rFonts w:cs="Arial"/>
                <w:color w:val="000000"/>
              </w:rPr>
            </w:pPr>
            <w:r w:rsidRPr="00B85D62">
              <w:rPr>
                <w:rFonts w:cs="Arial"/>
              </w:rPr>
              <w:t>Both</w:t>
            </w:r>
          </w:p>
        </w:tc>
        <w:tc>
          <w:tcPr>
            <w:tcW w:w="0" w:type="auto"/>
            <w:shd w:val="clear" w:color="auto" w:fill="auto"/>
          </w:tcPr>
          <w:p w14:paraId="4702CCA1"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517127C9" w14:textId="77777777" w:rsidR="002E2FFB" w:rsidRPr="00B85D62" w:rsidRDefault="002E2FFB" w:rsidP="0066232B">
            <w:pPr>
              <w:jc w:val="center"/>
              <w:rPr>
                <w:rFonts w:cs="Arial"/>
                <w:color w:val="000000"/>
              </w:rPr>
            </w:pPr>
            <w:r w:rsidRPr="00B85D62">
              <w:rPr>
                <w:rFonts w:cs="Arial"/>
              </w:rPr>
              <w:t>Third degree</w:t>
            </w:r>
          </w:p>
        </w:tc>
        <w:tc>
          <w:tcPr>
            <w:tcW w:w="0" w:type="auto"/>
            <w:shd w:val="clear" w:color="auto" w:fill="auto"/>
          </w:tcPr>
          <w:p w14:paraId="7D10280D"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6FDD7959"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1E854AA3" w14:textId="77777777" w:rsidR="002E2FFB" w:rsidRPr="00B85D62" w:rsidRDefault="002E2FFB" w:rsidP="0066232B">
            <w:pPr>
              <w:jc w:val="center"/>
              <w:rPr>
                <w:rFonts w:cs="Arial"/>
              </w:rPr>
            </w:pPr>
            <w:r w:rsidRPr="00B85D62">
              <w:rPr>
                <w:rFonts w:cs="Arial"/>
              </w:rPr>
              <w:t>High</w:t>
            </w:r>
          </w:p>
        </w:tc>
      </w:tr>
      <w:tr w:rsidR="00B85D62" w:rsidRPr="00B85D62" w14:paraId="59D3F0DA" w14:textId="77777777" w:rsidTr="00B85D62">
        <w:trPr>
          <w:cantSplit/>
        </w:trPr>
        <w:tc>
          <w:tcPr>
            <w:tcW w:w="0" w:type="auto"/>
            <w:shd w:val="clear" w:color="auto" w:fill="auto"/>
          </w:tcPr>
          <w:p w14:paraId="122DE9A0" w14:textId="77777777" w:rsidR="002E2FFB" w:rsidRPr="00B85D62" w:rsidRDefault="002E2FFB" w:rsidP="0066232B">
            <w:pPr>
              <w:jc w:val="center"/>
              <w:rPr>
                <w:rFonts w:cs="Arial"/>
                <w:b/>
                <w:bCs/>
                <w:color w:val="000000"/>
              </w:rPr>
            </w:pPr>
            <w:r w:rsidRPr="00B85D62">
              <w:rPr>
                <w:rFonts w:cs="Arial"/>
                <w:b/>
                <w:bCs/>
              </w:rPr>
              <w:t>Bhatnagar, 2000</w:t>
            </w:r>
          </w:p>
        </w:tc>
        <w:tc>
          <w:tcPr>
            <w:tcW w:w="0" w:type="auto"/>
            <w:shd w:val="clear" w:color="auto" w:fill="auto"/>
          </w:tcPr>
          <w:p w14:paraId="066864E3" w14:textId="77777777" w:rsidR="002E2FFB" w:rsidRPr="00B85D62" w:rsidRDefault="002E2FFB" w:rsidP="0066232B">
            <w:pPr>
              <w:jc w:val="center"/>
              <w:rPr>
                <w:rFonts w:cs="Arial"/>
                <w:color w:val="000000"/>
              </w:rPr>
            </w:pPr>
            <w:r w:rsidRPr="00B85D62">
              <w:rPr>
                <w:rFonts w:cs="Arial"/>
              </w:rPr>
              <w:t>England</w:t>
            </w:r>
          </w:p>
        </w:tc>
        <w:tc>
          <w:tcPr>
            <w:tcW w:w="0" w:type="auto"/>
            <w:shd w:val="clear" w:color="auto" w:fill="auto"/>
          </w:tcPr>
          <w:p w14:paraId="6DF3100F" w14:textId="77777777" w:rsidR="002E2FFB" w:rsidRPr="00B85D62" w:rsidRDefault="002E2FFB" w:rsidP="0066232B">
            <w:pPr>
              <w:jc w:val="center"/>
              <w:rPr>
                <w:rFonts w:cs="Arial"/>
                <w:color w:val="000000"/>
              </w:rPr>
            </w:pPr>
            <w:r w:rsidRPr="00B85D62">
              <w:rPr>
                <w:rFonts w:cs="Arial"/>
              </w:rPr>
              <w:t>262</w:t>
            </w:r>
          </w:p>
        </w:tc>
        <w:tc>
          <w:tcPr>
            <w:tcW w:w="0" w:type="auto"/>
            <w:shd w:val="clear" w:color="auto" w:fill="auto"/>
          </w:tcPr>
          <w:p w14:paraId="20BC071D"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68699A28"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364BDA55" w14:textId="77777777" w:rsidR="002E2FFB" w:rsidRPr="00B85D62" w:rsidRDefault="002E2FFB" w:rsidP="0066232B">
            <w:pPr>
              <w:jc w:val="center"/>
              <w:rPr>
                <w:rFonts w:cs="Arial"/>
                <w:color w:val="000000"/>
              </w:rPr>
            </w:pPr>
            <w:r w:rsidRPr="00B85D62">
              <w:rPr>
                <w:rFonts w:cs="Arial"/>
              </w:rPr>
              <w:t>First degree</w:t>
            </w:r>
          </w:p>
        </w:tc>
        <w:tc>
          <w:tcPr>
            <w:tcW w:w="0" w:type="auto"/>
            <w:shd w:val="clear" w:color="auto" w:fill="auto"/>
          </w:tcPr>
          <w:p w14:paraId="1703B4A4" w14:textId="77777777" w:rsidR="002E2FFB" w:rsidRPr="00B85D62" w:rsidRDefault="002E2FFB" w:rsidP="0066232B">
            <w:pPr>
              <w:jc w:val="center"/>
              <w:rPr>
                <w:rFonts w:cs="Arial"/>
                <w:color w:val="000000"/>
              </w:rPr>
            </w:pPr>
            <w:r w:rsidRPr="00B85D62">
              <w:rPr>
                <w:rFonts w:cs="Arial"/>
              </w:rPr>
              <w:t>Clinical (SB)</w:t>
            </w:r>
          </w:p>
        </w:tc>
        <w:tc>
          <w:tcPr>
            <w:tcW w:w="0" w:type="auto"/>
            <w:shd w:val="clear" w:color="auto" w:fill="auto"/>
          </w:tcPr>
          <w:p w14:paraId="0435AF2E" w14:textId="77777777" w:rsidR="002E2FFB" w:rsidRPr="00B85D62" w:rsidRDefault="002E2FFB" w:rsidP="0066232B">
            <w:pPr>
              <w:jc w:val="center"/>
              <w:rPr>
                <w:rFonts w:cs="Arial"/>
                <w:color w:val="000000"/>
              </w:rPr>
            </w:pPr>
            <w:r w:rsidRPr="00B85D62">
              <w:rPr>
                <w:rFonts w:cs="Arial"/>
              </w:rPr>
              <w:t>Clinical (SB)</w:t>
            </w:r>
          </w:p>
        </w:tc>
        <w:tc>
          <w:tcPr>
            <w:tcW w:w="0" w:type="auto"/>
            <w:shd w:val="clear" w:color="auto" w:fill="auto"/>
          </w:tcPr>
          <w:p w14:paraId="1A8E22A6" w14:textId="77777777" w:rsidR="002E2FFB" w:rsidRPr="00B85D62" w:rsidRDefault="002E2FFB" w:rsidP="0066232B">
            <w:pPr>
              <w:jc w:val="center"/>
              <w:rPr>
                <w:rFonts w:cs="Arial"/>
              </w:rPr>
            </w:pPr>
            <w:r w:rsidRPr="00B85D62">
              <w:rPr>
                <w:rFonts w:cs="Arial"/>
              </w:rPr>
              <w:t>Moderate</w:t>
            </w:r>
          </w:p>
        </w:tc>
      </w:tr>
      <w:tr w:rsidR="00B85D62" w:rsidRPr="00B85D62" w14:paraId="4D3DEB1E" w14:textId="77777777" w:rsidTr="00B85D62">
        <w:trPr>
          <w:cantSplit/>
        </w:trPr>
        <w:tc>
          <w:tcPr>
            <w:tcW w:w="0" w:type="auto"/>
            <w:shd w:val="clear" w:color="auto" w:fill="auto"/>
          </w:tcPr>
          <w:p w14:paraId="32CBBE07" w14:textId="77777777" w:rsidR="002E2FFB" w:rsidRPr="00B85D62" w:rsidRDefault="002E2FFB" w:rsidP="0066232B">
            <w:pPr>
              <w:jc w:val="center"/>
              <w:rPr>
                <w:rFonts w:cs="Arial"/>
                <w:b/>
                <w:bCs/>
                <w:color w:val="000000"/>
              </w:rPr>
            </w:pPr>
            <w:r w:rsidRPr="00B85D62">
              <w:rPr>
                <w:rFonts w:cs="Arial"/>
                <w:b/>
                <w:bCs/>
              </w:rPr>
              <w:t>Breen, 2011</w:t>
            </w:r>
          </w:p>
        </w:tc>
        <w:tc>
          <w:tcPr>
            <w:tcW w:w="0" w:type="auto"/>
            <w:shd w:val="clear" w:color="auto" w:fill="auto"/>
          </w:tcPr>
          <w:p w14:paraId="4D45DC6C" w14:textId="77777777" w:rsidR="002E2FFB" w:rsidRPr="00B85D62" w:rsidRDefault="002E2FFB" w:rsidP="0066232B">
            <w:pPr>
              <w:jc w:val="center"/>
              <w:rPr>
                <w:rFonts w:cs="Arial"/>
                <w:color w:val="000000"/>
              </w:rPr>
            </w:pPr>
            <w:r w:rsidRPr="00B85D62">
              <w:rPr>
                <w:rFonts w:cs="Arial"/>
              </w:rPr>
              <w:t>England</w:t>
            </w:r>
          </w:p>
        </w:tc>
        <w:tc>
          <w:tcPr>
            <w:tcW w:w="0" w:type="auto"/>
            <w:shd w:val="clear" w:color="auto" w:fill="auto"/>
          </w:tcPr>
          <w:p w14:paraId="0C25F8D3" w14:textId="77777777" w:rsidR="002E2FFB" w:rsidRPr="00B85D62" w:rsidRDefault="002E2FFB" w:rsidP="0066232B">
            <w:pPr>
              <w:jc w:val="center"/>
              <w:rPr>
                <w:rFonts w:cs="Arial"/>
                <w:color w:val="000000"/>
              </w:rPr>
            </w:pPr>
            <w:r w:rsidRPr="00B85D62">
              <w:rPr>
                <w:rFonts w:cs="Arial"/>
              </w:rPr>
              <w:t>72</w:t>
            </w:r>
          </w:p>
        </w:tc>
        <w:tc>
          <w:tcPr>
            <w:tcW w:w="0" w:type="auto"/>
            <w:shd w:val="clear" w:color="auto" w:fill="auto"/>
          </w:tcPr>
          <w:p w14:paraId="27C7651C" w14:textId="77777777" w:rsidR="002E2FFB" w:rsidRPr="00B85D62" w:rsidRDefault="002E2FFB" w:rsidP="0066232B">
            <w:pPr>
              <w:jc w:val="center"/>
              <w:rPr>
                <w:rFonts w:cs="Arial"/>
                <w:color w:val="000000"/>
              </w:rPr>
            </w:pPr>
            <w:r w:rsidRPr="00B85D62">
              <w:rPr>
                <w:rFonts w:cs="Arial"/>
              </w:rPr>
              <w:t>Indirect</w:t>
            </w:r>
          </w:p>
        </w:tc>
        <w:tc>
          <w:tcPr>
            <w:tcW w:w="0" w:type="auto"/>
            <w:shd w:val="clear" w:color="auto" w:fill="auto"/>
          </w:tcPr>
          <w:p w14:paraId="277EAE54"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41F2871C" w14:textId="77777777" w:rsidR="002E2FFB" w:rsidRPr="00B85D62" w:rsidRDefault="002E2FFB" w:rsidP="0066232B">
            <w:pPr>
              <w:jc w:val="center"/>
              <w:rPr>
                <w:rFonts w:cs="Arial"/>
                <w:color w:val="000000"/>
              </w:rPr>
            </w:pPr>
            <w:r w:rsidRPr="00B85D62">
              <w:rPr>
                <w:rFonts w:cs="Arial"/>
              </w:rPr>
              <w:t>Not reported</w:t>
            </w:r>
          </w:p>
        </w:tc>
        <w:tc>
          <w:tcPr>
            <w:tcW w:w="0" w:type="auto"/>
            <w:shd w:val="clear" w:color="auto" w:fill="auto"/>
          </w:tcPr>
          <w:p w14:paraId="103618AA"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065CDCEC"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3393EED3" w14:textId="77777777" w:rsidR="002E2FFB" w:rsidRPr="00B85D62" w:rsidRDefault="002E2FFB" w:rsidP="0066232B">
            <w:pPr>
              <w:jc w:val="center"/>
              <w:rPr>
                <w:rFonts w:cs="Arial"/>
              </w:rPr>
            </w:pPr>
            <w:r w:rsidRPr="00B85D62">
              <w:rPr>
                <w:rFonts w:cs="Arial"/>
              </w:rPr>
              <w:t>Moderate</w:t>
            </w:r>
          </w:p>
        </w:tc>
      </w:tr>
      <w:tr w:rsidR="00B85D62" w:rsidRPr="00B85D62" w14:paraId="1D35113E" w14:textId="77777777" w:rsidTr="00B85D62">
        <w:trPr>
          <w:cantSplit/>
        </w:trPr>
        <w:tc>
          <w:tcPr>
            <w:tcW w:w="0" w:type="auto"/>
            <w:shd w:val="clear" w:color="auto" w:fill="auto"/>
          </w:tcPr>
          <w:p w14:paraId="5B71CF43" w14:textId="77777777" w:rsidR="002E2FFB" w:rsidRPr="00B85D62" w:rsidRDefault="002E2FFB" w:rsidP="0066232B">
            <w:pPr>
              <w:jc w:val="center"/>
              <w:rPr>
                <w:rFonts w:cs="Arial"/>
                <w:b/>
                <w:bCs/>
                <w:color w:val="000000"/>
              </w:rPr>
            </w:pPr>
            <w:r w:rsidRPr="00B85D62">
              <w:rPr>
                <w:rFonts w:cs="Arial"/>
                <w:b/>
                <w:bCs/>
              </w:rPr>
              <w:t>Chan, 2018</w:t>
            </w:r>
          </w:p>
        </w:tc>
        <w:tc>
          <w:tcPr>
            <w:tcW w:w="0" w:type="auto"/>
            <w:shd w:val="clear" w:color="auto" w:fill="auto"/>
          </w:tcPr>
          <w:p w14:paraId="382936B9" w14:textId="77777777" w:rsidR="002E2FFB" w:rsidRPr="00B85D62" w:rsidRDefault="002E2FFB" w:rsidP="0066232B">
            <w:pPr>
              <w:jc w:val="center"/>
              <w:rPr>
                <w:rFonts w:cs="Arial"/>
                <w:color w:val="000000"/>
              </w:rPr>
            </w:pPr>
            <w:r w:rsidRPr="00B85D62">
              <w:rPr>
                <w:rFonts w:cs="Arial"/>
              </w:rPr>
              <w:t>Hong Kong</w:t>
            </w:r>
          </w:p>
        </w:tc>
        <w:tc>
          <w:tcPr>
            <w:tcW w:w="0" w:type="auto"/>
            <w:shd w:val="clear" w:color="auto" w:fill="auto"/>
          </w:tcPr>
          <w:p w14:paraId="20253AF0" w14:textId="77777777" w:rsidR="002E2FFB" w:rsidRPr="00B85D62" w:rsidRDefault="002E2FFB" w:rsidP="0066232B">
            <w:pPr>
              <w:jc w:val="center"/>
              <w:rPr>
                <w:rFonts w:cs="Arial"/>
                <w:color w:val="000000"/>
              </w:rPr>
            </w:pPr>
            <w:r w:rsidRPr="00B85D62">
              <w:rPr>
                <w:rFonts w:cs="Arial"/>
              </w:rPr>
              <w:t>64</w:t>
            </w:r>
          </w:p>
        </w:tc>
        <w:tc>
          <w:tcPr>
            <w:tcW w:w="0" w:type="auto"/>
            <w:shd w:val="clear" w:color="auto" w:fill="auto"/>
          </w:tcPr>
          <w:p w14:paraId="4F52D9F6" w14:textId="77777777" w:rsidR="002E2FFB" w:rsidRPr="00B85D62" w:rsidRDefault="002E2FFB" w:rsidP="0066232B">
            <w:pPr>
              <w:jc w:val="center"/>
              <w:rPr>
                <w:rFonts w:cs="Arial"/>
                <w:color w:val="000000"/>
              </w:rPr>
            </w:pPr>
            <w:r w:rsidRPr="00B85D62">
              <w:rPr>
                <w:rFonts w:cs="Arial"/>
              </w:rPr>
              <w:t>Indirect</w:t>
            </w:r>
          </w:p>
        </w:tc>
        <w:tc>
          <w:tcPr>
            <w:tcW w:w="0" w:type="auto"/>
            <w:shd w:val="clear" w:color="auto" w:fill="auto"/>
          </w:tcPr>
          <w:p w14:paraId="388084DD"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3575EB9A" w14:textId="77777777" w:rsidR="002E2FFB" w:rsidRPr="00B85D62" w:rsidRDefault="002E2FFB" w:rsidP="0066232B">
            <w:pPr>
              <w:jc w:val="center"/>
              <w:rPr>
                <w:rFonts w:cs="Arial"/>
                <w:color w:val="000000"/>
              </w:rPr>
            </w:pPr>
            <w:r w:rsidRPr="00B85D62">
              <w:rPr>
                <w:rFonts w:cs="Arial"/>
              </w:rPr>
              <w:t>Second degree</w:t>
            </w:r>
          </w:p>
        </w:tc>
        <w:tc>
          <w:tcPr>
            <w:tcW w:w="0" w:type="auto"/>
            <w:shd w:val="clear" w:color="auto" w:fill="auto"/>
          </w:tcPr>
          <w:p w14:paraId="07DC3A35"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26B1ACC4"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093DA6CF" w14:textId="77777777" w:rsidR="002E2FFB" w:rsidRPr="00B85D62" w:rsidRDefault="002E2FFB" w:rsidP="0066232B">
            <w:pPr>
              <w:jc w:val="center"/>
              <w:rPr>
                <w:rFonts w:cs="Arial"/>
              </w:rPr>
            </w:pPr>
            <w:r w:rsidRPr="00B85D62">
              <w:rPr>
                <w:rFonts w:cs="Arial"/>
              </w:rPr>
              <w:t>Moderate</w:t>
            </w:r>
          </w:p>
        </w:tc>
      </w:tr>
      <w:tr w:rsidR="00B85D62" w:rsidRPr="00B85D62" w14:paraId="385B80F0" w14:textId="77777777" w:rsidTr="00B85D62">
        <w:trPr>
          <w:cantSplit/>
        </w:trPr>
        <w:tc>
          <w:tcPr>
            <w:tcW w:w="0" w:type="auto"/>
            <w:shd w:val="clear" w:color="auto" w:fill="auto"/>
          </w:tcPr>
          <w:p w14:paraId="17E33A4A" w14:textId="77777777" w:rsidR="002E2FFB" w:rsidRPr="00B85D62" w:rsidRDefault="002E2FFB" w:rsidP="0066232B">
            <w:pPr>
              <w:jc w:val="center"/>
              <w:rPr>
                <w:rFonts w:cs="Arial"/>
                <w:b/>
                <w:bCs/>
                <w:color w:val="000000"/>
              </w:rPr>
            </w:pPr>
            <w:r w:rsidRPr="00B85D62">
              <w:rPr>
                <w:rFonts w:cs="Arial"/>
                <w:b/>
                <w:bCs/>
              </w:rPr>
              <w:t>Davis, 2016</w:t>
            </w:r>
          </w:p>
        </w:tc>
        <w:tc>
          <w:tcPr>
            <w:tcW w:w="0" w:type="auto"/>
            <w:shd w:val="clear" w:color="auto" w:fill="auto"/>
          </w:tcPr>
          <w:p w14:paraId="033FD64B" w14:textId="77777777" w:rsidR="002E2FFB" w:rsidRPr="00B85D62" w:rsidRDefault="002E2FFB" w:rsidP="0066232B">
            <w:pPr>
              <w:jc w:val="center"/>
              <w:rPr>
                <w:rFonts w:cs="Arial"/>
                <w:color w:val="000000"/>
              </w:rPr>
            </w:pPr>
            <w:r w:rsidRPr="00B85D62">
              <w:rPr>
                <w:rFonts w:cs="Arial"/>
              </w:rPr>
              <w:t>US</w:t>
            </w:r>
          </w:p>
        </w:tc>
        <w:tc>
          <w:tcPr>
            <w:tcW w:w="0" w:type="auto"/>
            <w:shd w:val="clear" w:color="auto" w:fill="auto"/>
          </w:tcPr>
          <w:p w14:paraId="430CB192" w14:textId="77777777" w:rsidR="002E2FFB" w:rsidRPr="00B85D62" w:rsidRDefault="002E2FFB" w:rsidP="0066232B">
            <w:pPr>
              <w:jc w:val="center"/>
              <w:rPr>
                <w:rFonts w:cs="Arial"/>
                <w:color w:val="000000"/>
              </w:rPr>
            </w:pPr>
            <w:r w:rsidRPr="00B85D62">
              <w:rPr>
                <w:rFonts w:cs="Arial"/>
              </w:rPr>
              <w:t>5</w:t>
            </w:r>
          </w:p>
        </w:tc>
        <w:tc>
          <w:tcPr>
            <w:tcW w:w="0" w:type="auto"/>
            <w:shd w:val="clear" w:color="auto" w:fill="auto"/>
          </w:tcPr>
          <w:p w14:paraId="5904FBF7"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2F431FFA"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3D2E8D37" w14:textId="77777777" w:rsidR="002E2FFB" w:rsidRPr="00B85D62" w:rsidRDefault="002E2FFB" w:rsidP="0066232B">
            <w:pPr>
              <w:jc w:val="center"/>
              <w:rPr>
                <w:rFonts w:cs="Arial"/>
                <w:color w:val="000000"/>
              </w:rPr>
            </w:pPr>
            <w:r w:rsidRPr="00B85D62">
              <w:rPr>
                <w:rFonts w:cs="Arial"/>
              </w:rPr>
              <w:t>First degree</w:t>
            </w:r>
          </w:p>
        </w:tc>
        <w:tc>
          <w:tcPr>
            <w:tcW w:w="0" w:type="auto"/>
            <w:shd w:val="clear" w:color="auto" w:fill="auto"/>
          </w:tcPr>
          <w:p w14:paraId="3DEC5730"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2ED9AEF8"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701A3476" w14:textId="77777777" w:rsidR="002E2FFB" w:rsidRPr="00B85D62" w:rsidRDefault="002E2FFB" w:rsidP="0066232B">
            <w:pPr>
              <w:jc w:val="center"/>
              <w:rPr>
                <w:rFonts w:cs="Arial"/>
              </w:rPr>
            </w:pPr>
            <w:r w:rsidRPr="00B85D62">
              <w:rPr>
                <w:rFonts w:cs="Arial"/>
              </w:rPr>
              <w:t>Moderate</w:t>
            </w:r>
          </w:p>
        </w:tc>
      </w:tr>
      <w:tr w:rsidR="00B85D62" w:rsidRPr="00B85D62" w14:paraId="03B4452F" w14:textId="77777777" w:rsidTr="00B85D62">
        <w:trPr>
          <w:cantSplit/>
        </w:trPr>
        <w:tc>
          <w:tcPr>
            <w:tcW w:w="0" w:type="auto"/>
            <w:shd w:val="clear" w:color="auto" w:fill="auto"/>
          </w:tcPr>
          <w:p w14:paraId="296E4A96" w14:textId="77777777" w:rsidR="002E2FFB" w:rsidRPr="00B85D62" w:rsidRDefault="002E2FFB" w:rsidP="0066232B">
            <w:pPr>
              <w:jc w:val="center"/>
              <w:rPr>
                <w:rFonts w:cs="Arial"/>
                <w:b/>
                <w:bCs/>
                <w:color w:val="000000"/>
              </w:rPr>
            </w:pPr>
            <w:r w:rsidRPr="00B85D62">
              <w:rPr>
                <w:rFonts w:cs="Arial"/>
                <w:b/>
                <w:bCs/>
              </w:rPr>
              <w:t>Descamps, 2020</w:t>
            </w:r>
          </w:p>
        </w:tc>
        <w:tc>
          <w:tcPr>
            <w:tcW w:w="0" w:type="auto"/>
            <w:shd w:val="clear" w:color="auto" w:fill="auto"/>
          </w:tcPr>
          <w:p w14:paraId="07301657" w14:textId="77777777" w:rsidR="002E2FFB" w:rsidRPr="00B85D62" w:rsidRDefault="002E2FFB" w:rsidP="0066232B">
            <w:pPr>
              <w:jc w:val="center"/>
              <w:rPr>
                <w:rFonts w:cs="Arial"/>
                <w:color w:val="000000"/>
              </w:rPr>
            </w:pPr>
            <w:r w:rsidRPr="00B85D62">
              <w:rPr>
                <w:rFonts w:cs="Arial"/>
              </w:rPr>
              <w:t>Belgium</w:t>
            </w:r>
          </w:p>
        </w:tc>
        <w:tc>
          <w:tcPr>
            <w:tcW w:w="0" w:type="auto"/>
            <w:shd w:val="clear" w:color="auto" w:fill="auto"/>
          </w:tcPr>
          <w:p w14:paraId="5AD5C3C6" w14:textId="77777777" w:rsidR="002E2FFB" w:rsidRPr="00B85D62" w:rsidRDefault="002E2FFB" w:rsidP="0066232B">
            <w:pPr>
              <w:jc w:val="center"/>
              <w:rPr>
                <w:rFonts w:cs="Arial"/>
              </w:rPr>
            </w:pPr>
            <w:r w:rsidRPr="00B85D62">
              <w:rPr>
                <w:rFonts w:cs="Arial"/>
              </w:rPr>
              <w:t>127</w:t>
            </w:r>
          </w:p>
          <w:p w14:paraId="55C4574C" w14:textId="77777777" w:rsidR="002E2FFB" w:rsidRPr="00B85D62" w:rsidRDefault="002E2FFB" w:rsidP="0066232B">
            <w:pPr>
              <w:jc w:val="center"/>
              <w:rPr>
                <w:rFonts w:cs="Arial"/>
                <w:color w:val="000000"/>
              </w:rPr>
            </w:pPr>
          </w:p>
        </w:tc>
        <w:tc>
          <w:tcPr>
            <w:tcW w:w="0" w:type="auto"/>
            <w:shd w:val="clear" w:color="auto" w:fill="auto"/>
          </w:tcPr>
          <w:p w14:paraId="6855ECAD"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4365A288"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2D1914A6" w14:textId="77777777" w:rsidR="002E2FFB" w:rsidRPr="00B85D62" w:rsidRDefault="002E2FFB" w:rsidP="0066232B">
            <w:pPr>
              <w:jc w:val="center"/>
              <w:rPr>
                <w:rFonts w:cs="Arial"/>
                <w:color w:val="000000"/>
              </w:rPr>
            </w:pPr>
            <w:r w:rsidRPr="00B85D62">
              <w:rPr>
                <w:rFonts w:cs="Arial"/>
              </w:rPr>
              <w:t>Second degree</w:t>
            </w:r>
          </w:p>
        </w:tc>
        <w:tc>
          <w:tcPr>
            <w:tcW w:w="0" w:type="auto"/>
            <w:shd w:val="clear" w:color="auto" w:fill="auto"/>
          </w:tcPr>
          <w:p w14:paraId="3639E498" w14:textId="77777777" w:rsidR="002E2FFB" w:rsidRPr="00B85D62" w:rsidRDefault="002E2FFB" w:rsidP="0066232B">
            <w:pPr>
              <w:jc w:val="center"/>
              <w:rPr>
                <w:rFonts w:cs="Arial"/>
                <w:color w:val="000000"/>
              </w:rPr>
            </w:pPr>
            <w:r w:rsidRPr="00B85D62">
              <w:rPr>
                <w:rFonts w:cs="Arial"/>
              </w:rPr>
              <w:t>Clinical (DCLN)</w:t>
            </w:r>
          </w:p>
        </w:tc>
        <w:tc>
          <w:tcPr>
            <w:tcW w:w="0" w:type="auto"/>
            <w:shd w:val="clear" w:color="auto" w:fill="auto"/>
          </w:tcPr>
          <w:p w14:paraId="66036F36" w14:textId="77777777" w:rsidR="002E2FFB" w:rsidRPr="00B85D62" w:rsidRDefault="002E2FFB" w:rsidP="0066232B">
            <w:pPr>
              <w:jc w:val="center"/>
              <w:rPr>
                <w:rFonts w:cs="Arial"/>
                <w:color w:val="000000"/>
              </w:rPr>
            </w:pPr>
            <w:r w:rsidRPr="00B85D62">
              <w:rPr>
                <w:rFonts w:cs="Arial"/>
              </w:rPr>
              <w:t>Clinical (MEDPED/DCLN)</w:t>
            </w:r>
          </w:p>
        </w:tc>
        <w:tc>
          <w:tcPr>
            <w:tcW w:w="0" w:type="auto"/>
            <w:shd w:val="clear" w:color="auto" w:fill="auto"/>
          </w:tcPr>
          <w:p w14:paraId="2CCE5C36" w14:textId="77777777" w:rsidR="002E2FFB" w:rsidRPr="00B85D62" w:rsidRDefault="002E2FFB" w:rsidP="0066232B">
            <w:pPr>
              <w:jc w:val="center"/>
              <w:rPr>
                <w:rFonts w:cs="Arial"/>
              </w:rPr>
            </w:pPr>
            <w:r w:rsidRPr="00B85D62">
              <w:rPr>
                <w:rFonts w:cs="Arial"/>
              </w:rPr>
              <w:t>Moderate</w:t>
            </w:r>
          </w:p>
        </w:tc>
      </w:tr>
      <w:tr w:rsidR="00B85D62" w:rsidRPr="00B85D62" w14:paraId="19CF08D6" w14:textId="77777777" w:rsidTr="00B85D62">
        <w:trPr>
          <w:cantSplit/>
        </w:trPr>
        <w:tc>
          <w:tcPr>
            <w:tcW w:w="0" w:type="auto"/>
            <w:shd w:val="clear" w:color="auto" w:fill="auto"/>
          </w:tcPr>
          <w:p w14:paraId="35CECD14" w14:textId="77777777" w:rsidR="002E2FFB" w:rsidRPr="00B85D62" w:rsidRDefault="002E2FFB" w:rsidP="0066232B">
            <w:pPr>
              <w:jc w:val="center"/>
              <w:rPr>
                <w:rFonts w:cs="Arial"/>
                <w:b/>
                <w:bCs/>
                <w:color w:val="000000"/>
              </w:rPr>
            </w:pPr>
            <w:r w:rsidRPr="00B85D62">
              <w:rPr>
                <w:rFonts w:cs="Arial"/>
                <w:b/>
                <w:bCs/>
              </w:rPr>
              <w:t>Edwards, 2013</w:t>
            </w:r>
          </w:p>
        </w:tc>
        <w:tc>
          <w:tcPr>
            <w:tcW w:w="0" w:type="auto"/>
            <w:shd w:val="clear" w:color="auto" w:fill="auto"/>
          </w:tcPr>
          <w:p w14:paraId="599E4A29" w14:textId="77777777" w:rsidR="002E2FFB" w:rsidRPr="00B85D62" w:rsidRDefault="002E2FFB" w:rsidP="0066232B">
            <w:pPr>
              <w:jc w:val="center"/>
              <w:rPr>
                <w:rFonts w:cs="Arial"/>
                <w:color w:val="000000"/>
              </w:rPr>
            </w:pPr>
            <w:r w:rsidRPr="00B85D62">
              <w:rPr>
                <w:rFonts w:cs="Arial"/>
              </w:rPr>
              <w:t>Wales</w:t>
            </w:r>
          </w:p>
        </w:tc>
        <w:tc>
          <w:tcPr>
            <w:tcW w:w="0" w:type="auto"/>
            <w:shd w:val="clear" w:color="auto" w:fill="auto"/>
          </w:tcPr>
          <w:p w14:paraId="288FF531" w14:textId="77777777" w:rsidR="002E2FFB" w:rsidRPr="00B85D62" w:rsidRDefault="002E2FFB" w:rsidP="0066232B">
            <w:pPr>
              <w:jc w:val="center"/>
              <w:rPr>
                <w:rFonts w:cs="Arial"/>
                <w:color w:val="000000"/>
              </w:rPr>
            </w:pPr>
            <w:r w:rsidRPr="00B85D62">
              <w:rPr>
                <w:rFonts w:cs="Arial"/>
              </w:rPr>
              <w:t>270</w:t>
            </w:r>
          </w:p>
        </w:tc>
        <w:tc>
          <w:tcPr>
            <w:tcW w:w="0" w:type="auto"/>
            <w:shd w:val="clear" w:color="auto" w:fill="auto"/>
          </w:tcPr>
          <w:p w14:paraId="35BE1AAA" w14:textId="77777777" w:rsidR="002E2FFB" w:rsidRPr="00B85D62" w:rsidRDefault="002E2FFB" w:rsidP="0066232B">
            <w:pPr>
              <w:jc w:val="center"/>
              <w:rPr>
                <w:rFonts w:cs="Arial"/>
                <w:color w:val="000000"/>
              </w:rPr>
            </w:pPr>
            <w:r w:rsidRPr="00B85D62">
              <w:rPr>
                <w:rFonts w:cs="Arial"/>
              </w:rPr>
              <w:t>Both</w:t>
            </w:r>
          </w:p>
        </w:tc>
        <w:tc>
          <w:tcPr>
            <w:tcW w:w="0" w:type="auto"/>
            <w:shd w:val="clear" w:color="auto" w:fill="auto"/>
          </w:tcPr>
          <w:p w14:paraId="5911B8A2"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17E506A1" w14:textId="77777777" w:rsidR="002E2FFB" w:rsidRPr="00B85D62" w:rsidRDefault="002E2FFB" w:rsidP="0066232B">
            <w:pPr>
              <w:jc w:val="center"/>
              <w:rPr>
                <w:rFonts w:cs="Arial"/>
                <w:color w:val="000000"/>
              </w:rPr>
            </w:pPr>
            <w:r w:rsidRPr="00B85D62">
              <w:rPr>
                <w:rFonts w:cs="Arial"/>
              </w:rPr>
              <w:t>Not reported</w:t>
            </w:r>
          </w:p>
        </w:tc>
        <w:tc>
          <w:tcPr>
            <w:tcW w:w="0" w:type="auto"/>
            <w:shd w:val="clear" w:color="auto" w:fill="auto"/>
          </w:tcPr>
          <w:p w14:paraId="483C17EB"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446E6C83"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5B45A4C5" w14:textId="77777777" w:rsidR="002E2FFB" w:rsidRPr="00B85D62" w:rsidRDefault="002E2FFB" w:rsidP="0066232B">
            <w:pPr>
              <w:jc w:val="center"/>
              <w:rPr>
                <w:rFonts w:cs="Arial"/>
              </w:rPr>
            </w:pPr>
            <w:r w:rsidRPr="00B85D62">
              <w:rPr>
                <w:rFonts w:cs="Arial"/>
              </w:rPr>
              <w:t>Moderate</w:t>
            </w:r>
          </w:p>
        </w:tc>
      </w:tr>
      <w:tr w:rsidR="00B85D62" w:rsidRPr="00B85D62" w14:paraId="0FFA9875" w14:textId="77777777" w:rsidTr="00B85D62">
        <w:trPr>
          <w:cantSplit/>
        </w:trPr>
        <w:tc>
          <w:tcPr>
            <w:tcW w:w="0" w:type="auto"/>
            <w:shd w:val="clear" w:color="auto" w:fill="auto"/>
          </w:tcPr>
          <w:p w14:paraId="3692C977" w14:textId="77777777" w:rsidR="002E2FFB" w:rsidRPr="00B85D62" w:rsidRDefault="002E2FFB" w:rsidP="0066232B">
            <w:pPr>
              <w:jc w:val="center"/>
              <w:rPr>
                <w:rFonts w:cs="Arial"/>
                <w:b/>
                <w:bCs/>
                <w:color w:val="000000"/>
              </w:rPr>
            </w:pPr>
            <w:r w:rsidRPr="00B85D62">
              <w:rPr>
                <w:rFonts w:cs="Arial"/>
                <w:b/>
                <w:bCs/>
              </w:rPr>
              <w:t>Ellis, 2019</w:t>
            </w:r>
          </w:p>
        </w:tc>
        <w:tc>
          <w:tcPr>
            <w:tcW w:w="0" w:type="auto"/>
            <w:shd w:val="clear" w:color="auto" w:fill="auto"/>
          </w:tcPr>
          <w:p w14:paraId="3847BE43" w14:textId="77777777" w:rsidR="002E2FFB" w:rsidRPr="00B85D62" w:rsidRDefault="002E2FFB" w:rsidP="0066232B">
            <w:pPr>
              <w:jc w:val="center"/>
              <w:rPr>
                <w:rFonts w:cs="Arial"/>
                <w:color w:val="000000"/>
              </w:rPr>
            </w:pPr>
            <w:r w:rsidRPr="00B85D62">
              <w:rPr>
                <w:rFonts w:cs="Arial"/>
              </w:rPr>
              <w:t>Spain</w:t>
            </w:r>
          </w:p>
        </w:tc>
        <w:tc>
          <w:tcPr>
            <w:tcW w:w="0" w:type="auto"/>
            <w:shd w:val="clear" w:color="auto" w:fill="auto"/>
          </w:tcPr>
          <w:p w14:paraId="335AD6A0" w14:textId="77777777" w:rsidR="002E2FFB" w:rsidRPr="00B85D62" w:rsidRDefault="002E2FFB" w:rsidP="0066232B">
            <w:pPr>
              <w:jc w:val="center"/>
              <w:rPr>
                <w:rFonts w:cs="Arial"/>
                <w:color w:val="000000"/>
              </w:rPr>
            </w:pPr>
            <w:r w:rsidRPr="00B85D62">
              <w:rPr>
                <w:rFonts w:cs="Arial"/>
              </w:rPr>
              <w:t>755</w:t>
            </w:r>
          </w:p>
        </w:tc>
        <w:tc>
          <w:tcPr>
            <w:tcW w:w="0" w:type="auto"/>
            <w:shd w:val="clear" w:color="auto" w:fill="auto"/>
          </w:tcPr>
          <w:p w14:paraId="3EE87A23"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77A26B86"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2D03F994" w14:textId="77777777" w:rsidR="002E2FFB" w:rsidRPr="00B85D62" w:rsidRDefault="002E2FFB" w:rsidP="0066232B">
            <w:pPr>
              <w:jc w:val="center"/>
              <w:rPr>
                <w:rFonts w:cs="Arial"/>
                <w:color w:val="000000"/>
              </w:rPr>
            </w:pPr>
            <w:r w:rsidRPr="00B85D62">
              <w:rPr>
                <w:rFonts w:cs="Arial"/>
              </w:rPr>
              <w:t>Not reported</w:t>
            </w:r>
          </w:p>
        </w:tc>
        <w:tc>
          <w:tcPr>
            <w:tcW w:w="0" w:type="auto"/>
            <w:shd w:val="clear" w:color="auto" w:fill="auto"/>
          </w:tcPr>
          <w:p w14:paraId="0C8A6D06"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358532E2"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51FDC850" w14:textId="77777777" w:rsidR="002E2FFB" w:rsidRPr="00B85D62" w:rsidRDefault="002E2FFB" w:rsidP="0066232B">
            <w:pPr>
              <w:jc w:val="center"/>
              <w:rPr>
                <w:rFonts w:cs="Arial"/>
              </w:rPr>
            </w:pPr>
            <w:r w:rsidRPr="00B85D62">
              <w:rPr>
                <w:rFonts w:cs="Arial"/>
              </w:rPr>
              <w:t>Moderate</w:t>
            </w:r>
          </w:p>
        </w:tc>
      </w:tr>
      <w:tr w:rsidR="00B85D62" w:rsidRPr="00B85D62" w14:paraId="68FCCC15" w14:textId="77777777" w:rsidTr="00B85D62">
        <w:trPr>
          <w:cantSplit/>
        </w:trPr>
        <w:tc>
          <w:tcPr>
            <w:tcW w:w="0" w:type="auto"/>
            <w:shd w:val="clear" w:color="auto" w:fill="auto"/>
          </w:tcPr>
          <w:p w14:paraId="1BB7697E" w14:textId="77777777" w:rsidR="002E2FFB" w:rsidRPr="00B85D62" w:rsidRDefault="002E2FFB" w:rsidP="0066232B">
            <w:pPr>
              <w:jc w:val="center"/>
              <w:rPr>
                <w:rFonts w:cs="Arial"/>
                <w:b/>
                <w:bCs/>
                <w:color w:val="000000"/>
              </w:rPr>
            </w:pPr>
            <w:r w:rsidRPr="00B85D62">
              <w:rPr>
                <w:rFonts w:cs="Arial"/>
                <w:b/>
                <w:bCs/>
              </w:rPr>
              <w:t>Hadfield, 2009</w:t>
            </w:r>
          </w:p>
        </w:tc>
        <w:tc>
          <w:tcPr>
            <w:tcW w:w="0" w:type="auto"/>
            <w:shd w:val="clear" w:color="auto" w:fill="auto"/>
          </w:tcPr>
          <w:p w14:paraId="6656C7F6" w14:textId="77777777" w:rsidR="002E2FFB" w:rsidRPr="00B85D62" w:rsidRDefault="002E2FFB" w:rsidP="0066232B">
            <w:pPr>
              <w:jc w:val="center"/>
              <w:rPr>
                <w:rFonts w:cs="Arial"/>
                <w:color w:val="000000"/>
              </w:rPr>
            </w:pPr>
            <w:r w:rsidRPr="00B85D62">
              <w:rPr>
                <w:rFonts w:cs="Arial"/>
              </w:rPr>
              <w:t>England</w:t>
            </w:r>
          </w:p>
        </w:tc>
        <w:tc>
          <w:tcPr>
            <w:tcW w:w="0" w:type="auto"/>
            <w:shd w:val="clear" w:color="auto" w:fill="auto"/>
          </w:tcPr>
          <w:p w14:paraId="2A420342" w14:textId="77777777" w:rsidR="002E2FFB" w:rsidRPr="00B85D62" w:rsidRDefault="002E2FFB" w:rsidP="0066232B">
            <w:pPr>
              <w:jc w:val="center"/>
              <w:rPr>
                <w:rFonts w:cs="Arial"/>
                <w:color w:val="000000"/>
              </w:rPr>
            </w:pPr>
            <w:r w:rsidRPr="00B85D62">
              <w:rPr>
                <w:rFonts w:cs="Arial"/>
              </w:rPr>
              <w:t>931</w:t>
            </w:r>
          </w:p>
        </w:tc>
        <w:tc>
          <w:tcPr>
            <w:tcW w:w="0" w:type="auto"/>
            <w:shd w:val="clear" w:color="auto" w:fill="auto"/>
          </w:tcPr>
          <w:p w14:paraId="4183BB1E" w14:textId="77777777" w:rsidR="002E2FFB" w:rsidRPr="00B85D62" w:rsidRDefault="002E2FFB" w:rsidP="0066232B">
            <w:pPr>
              <w:jc w:val="center"/>
              <w:rPr>
                <w:rFonts w:cs="Arial"/>
                <w:color w:val="000000"/>
              </w:rPr>
            </w:pPr>
            <w:r w:rsidRPr="00B85D62">
              <w:rPr>
                <w:rFonts w:cs="Arial"/>
              </w:rPr>
              <w:t>Both</w:t>
            </w:r>
          </w:p>
        </w:tc>
        <w:tc>
          <w:tcPr>
            <w:tcW w:w="0" w:type="auto"/>
            <w:shd w:val="clear" w:color="auto" w:fill="auto"/>
          </w:tcPr>
          <w:p w14:paraId="75AE33F4"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370C117A" w14:textId="77777777" w:rsidR="002E2FFB" w:rsidRPr="00B85D62" w:rsidRDefault="002E2FFB" w:rsidP="0066232B">
            <w:pPr>
              <w:jc w:val="center"/>
              <w:rPr>
                <w:rFonts w:cs="Arial"/>
                <w:color w:val="000000"/>
              </w:rPr>
            </w:pPr>
            <w:r w:rsidRPr="00B85D62">
              <w:rPr>
                <w:rFonts w:cs="Arial"/>
              </w:rPr>
              <w:t>Not reported</w:t>
            </w:r>
          </w:p>
        </w:tc>
        <w:tc>
          <w:tcPr>
            <w:tcW w:w="0" w:type="auto"/>
            <w:shd w:val="clear" w:color="auto" w:fill="auto"/>
          </w:tcPr>
          <w:p w14:paraId="65073648" w14:textId="77777777" w:rsidR="002E2FFB" w:rsidRPr="00B85D62" w:rsidRDefault="002E2FFB" w:rsidP="0066232B">
            <w:pPr>
              <w:jc w:val="center"/>
              <w:rPr>
                <w:rFonts w:cs="Arial"/>
                <w:color w:val="000000"/>
              </w:rPr>
            </w:pPr>
            <w:r w:rsidRPr="00B85D62">
              <w:rPr>
                <w:rFonts w:cs="Arial"/>
              </w:rPr>
              <w:t>Clinical (SB)</w:t>
            </w:r>
          </w:p>
        </w:tc>
        <w:tc>
          <w:tcPr>
            <w:tcW w:w="0" w:type="auto"/>
            <w:shd w:val="clear" w:color="auto" w:fill="auto"/>
          </w:tcPr>
          <w:p w14:paraId="60BA5480" w14:textId="77777777" w:rsidR="002E2FFB" w:rsidRPr="00B85D62" w:rsidRDefault="002E2FFB" w:rsidP="0066232B">
            <w:pPr>
              <w:jc w:val="center"/>
              <w:rPr>
                <w:rFonts w:cs="Arial"/>
                <w:color w:val="000000"/>
              </w:rPr>
            </w:pPr>
            <w:r w:rsidRPr="00B85D62">
              <w:rPr>
                <w:rFonts w:cs="Arial"/>
              </w:rPr>
              <w:t>Clinical (SB)</w:t>
            </w:r>
          </w:p>
        </w:tc>
        <w:tc>
          <w:tcPr>
            <w:tcW w:w="0" w:type="auto"/>
            <w:shd w:val="clear" w:color="auto" w:fill="auto"/>
          </w:tcPr>
          <w:p w14:paraId="6748A55D" w14:textId="77777777" w:rsidR="002E2FFB" w:rsidRPr="00B85D62" w:rsidRDefault="002E2FFB" w:rsidP="0066232B">
            <w:pPr>
              <w:jc w:val="center"/>
              <w:rPr>
                <w:rFonts w:cs="Arial"/>
              </w:rPr>
            </w:pPr>
            <w:r w:rsidRPr="00B85D62">
              <w:rPr>
                <w:rFonts w:cs="Arial"/>
              </w:rPr>
              <w:t>Moderate</w:t>
            </w:r>
          </w:p>
        </w:tc>
      </w:tr>
      <w:tr w:rsidR="00B85D62" w:rsidRPr="00B85D62" w14:paraId="2E2DB8E5" w14:textId="77777777" w:rsidTr="00B85D62">
        <w:trPr>
          <w:cantSplit/>
        </w:trPr>
        <w:tc>
          <w:tcPr>
            <w:tcW w:w="0" w:type="auto"/>
            <w:shd w:val="clear" w:color="auto" w:fill="auto"/>
          </w:tcPr>
          <w:p w14:paraId="452E1FAA" w14:textId="77777777" w:rsidR="002E2FFB" w:rsidRPr="00B85D62" w:rsidRDefault="002E2FFB" w:rsidP="0066232B">
            <w:pPr>
              <w:jc w:val="center"/>
              <w:rPr>
                <w:rFonts w:cs="Arial"/>
                <w:b/>
                <w:bCs/>
                <w:color w:val="000000"/>
              </w:rPr>
            </w:pPr>
            <w:r w:rsidRPr="00B85D62">
              <w:rPr>
                <w:rFonts w:cs="Arial"/>
                <w:b/>
                <w:bCs/>
              </w:rPr>
              <w:t>Jannes, 2015</w:t>
            </w:r>
          </w:p>
        </w:tc>
        <w:tc>
          <w:tcPr>
            <w:tcW w:w="0" w:type="auto"/>
            <w:shd w:val="clear" w:color="auto" w:fill="auto"/>
          </w:tcPr>
          <w:p w14:paraId="15819507" w14:textId="77777777" w:rsidR="002E2FFB" w:rsidRPr="00B85D62" w:rsidRDefault="002E2FFB" w:rsidP="0066232B">
            <w:pPr>
              <w:jc w:val="center"/>
              <w:rPr>
                <w:rFonts w:cs="Arial"/>
                <w:color w:val="000000"/>
              </w:rPr>
            </w:pPr>
            <w:r w:rsidRPr="00B85D62">
              <w:rPr>
                <w:rFonts w:cs="Arial"/>
              </w:rPr>
              <w:t>Brazil</w:t>
            </w:r>
          </w:p>
        </w:tc>
        <w:tc>
          <w:tcPr>
            <w:tcW w:w="0" w:type="auto"/>
            <w:shd w:val="clear" w:color="auto" w:fill="auto"/>
          </w:tcPr>
          <w:p w14:paraId="273EDFF9" w14:textId="77777777" w:rsidR="002E2FFB" w:rsidRPr="00B85D62" w:rsidRDefault="002E2FFB" w:rsidP="0066232B">
            <w:pPr>
              <w:jc w:val="center"/>
              <w:rPr>
                <w:rFonts w:cs="Arial"/>
                <w:color w:val="000000"/>
              </w:rPr>
            </w:pPr>
            <w:r w:rsidRPr="00B85D62">
              <w:rPr>
                <w:rFonts w:cs="Arial"/>
              </w:rPr>
              <w:t>125</w:t>
            </w:r>
          </w:p>
        </w:tc>
        <w:tc>
          <w:tcPr>
            <w:tcW w:w="0" w:type="auto"/>
            <w:shd w:val="clear" w:color="auto" w:fill="auto"/>
          </w:tcPr>
          <w:p w14:paraId="3223104D"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06352056"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3F2625DC" w14:textId="77777777" w:rsidR="002E2FFB" w:rsidRPr="00B85D62" w:rsidRDefault="002E2FFB" w:rsidP="0066232B">
            <w:pPr>
              <w:jc w:val="center"/>
              <w:rPr>
                <w:rFonts w:cs="Arial"/>
                <w:color w:val="000000"/>
              </w:rPr>
            </w:pPr>
            <w:r w:rsidRPr="00B85D62">
              <w:rPr>
                <w:rFonts w:cs="Arial"/>
              </w:rPr>
              <w:t>Second degree</w:t>
            </w:r>
          </w:p>
        </w:tc>
        <w:tc>
          <w:tcPr>
            <w:tcW w:w="0" w:type="auto"/>
            <w:shd w:val="clear" w:color="auto" w:fill="auto"/>
          </w:tcPr>
          <w:p w14:paraId="35873F9D"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20A049F2"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40418F92" w14:textId="77777777" w:rsidR="002E2FFB" w:rsidRPr="00B85D62" w:rsidRDefault="002E2FFB" w:rsidP="0066232B">
            <w:pPr>
              <w:jc w:val="center"/>
              <w:rPr>
                <w:rFonts w:cs="Arial"/>
              </w:rPr>
            </w:pPr>
            <w:r w:rsidRPr="00B85D62">
              <w:rPr>
                <w:rFonts w:cs="Arial"/>
              </w:rPr>
              <w:t>Moderate</w:t>
            </w:r>
          </w:p>
        </w:tc>
      </w:tr>
      <w:tr w:rsidR="00B85D62" w:rsidRPr="00B85D62" w14:paraId="40804B06" w14:textId="77777777" w:rsidTr="00B85D62">
        <w:trPr>
          <w:cantSplit/>
        </w:trPr>
        <w:tc>
          <w:tcPr>
            <w:tcW w:w="0" w:type="auto"/>
            <w:shd w:val="clear" w:color="auto" w:fill="auto"/>
          </w:tcPr>
          <w:p w14:paraId="2B1AEF67" w14:textId="77777777" w:rsidR="002E2FFB" w:rsidRPr="00B85D62" w:rsidRDefault="002E2FFB" w:rsidP="0066232B">
            <w:pPr>
              <w:jc w:val="center"/>
              <w:rPr>
                <w:rFonts w:cs="Arial"/>
                <w:b/>
                <w:bCs/>
                <w:color w:val="000000"/>
              </w:rPr>
            </w:pPr>
            <w:r w:rsidRPr="00B85D62">
              <w:rPr>
                <w:rFonts w:cs="Arial"/>
                <w:b/>
                <w:bCs/>
              </w:rPr>
              <w:t>Latkovskis, 2018</w:t>
            </w:r>
          </w:p>
        </w:tc>
        <w:tc>
          <w:tcPr>
            <w:tcW w:w="0" w:type="auto"/>
            <w:shd w:val="clear" w:color="auto" w:fill="auto"/>
          </w:tcPr>
          <w:p w14:paraId="435EFD76" w14:textId="77777777" w:rsidR="002E2FFB" w:rsidRPr="00B85D62" w:rsidRDefault="002E2FFB" w:rsidP="0066232B">
            <w:pPr>
              <w:jc w:val="center"/>
              <w:rPr>
                <w:rFonts w:cs="Arial"/>
                <w:color w:val="000000"/>
              </w:rPr>
            </w:pPr>
            <w:r w:rsidRPr="00B85D62">
              <w:rPr>
                <w:rFonts w:cs="Arial"/>
              </w:rPr>
              <w:t>Latvia</w:t>
            </w:r>
          </w:p>
        </w:tc>
        <w:tc>
          <w:tcPr>
            <w:tcW w:w="0" w:type="auto"/>
            <w:shd w:val="clear" w:color="auto" w:fill="auto"/>
          </w:tcPr>
          <w:p w14:paraId="2E2E76CE" w14:textId="77777777" w:rsidR="002E2FFB" w:rsidRPr="00B85D62" w:rsidRDefault="002E2FFB" w:rsidP="0066232B">
            <w:pPr>
              <w:jc w:val="center"/>
              <w:rPr>
                <w:rFonts w:cs="Arial"/>
                <w:color w:val="000000"/>
              </w:rPr>
            </w:pPr>
            <w:r w:rsidRPr="00B85D62">
              <w:rPr>
                <w:rFonts w:cs="Arial"/>
              </w:rPr>
              <w:t>140</w:t>
            </w:r>
          </w:p>
        </w:tc>
        <w:tc>
          <w:tcPr>
            <w:tcW w:w="0" w:type="auto"/>
            <w:shd w:val="clear" w:color="auto" w:fill="auto"/>
          </w:tcPr>
          <w:p w14:paraId="479075A2" w14:textId="77777777" w:rsidR="002E2FFB" w:rsidRPr="00B85D62" w:rsidRDefault="002E2FFB" w:rsidP="0066232B">
            <w:pPr>
              <w:jc w:val="center"/>
              <w:rPr>
                <w:rFonts w:cs="Arial"/>
                <w:color w:val="000000"/>
              </w:rPr>
            </w:pPr>
            <w:r w:rsidRPr="00B85D62">
              <w:rPr>
                <w:rFonts w:cs="Arial"/>
              </w:rPr>
              <w:t>Indirect</w:t>
            </w:r>
          </w:p>
        </w:tc>
        <w:tc>
          <w:tcPr>
            <w:tcW w:w="0" w:type="auto"/>
            <w:shd w:val="clear" w:color="auto" w:fill="auto"/>
          </w:tcPr>
          <w:p w14:paraId="0BFD958E"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1A5F29ED" w14:textId="77777777" w:rsidR="002E2FFB" w:rsidRPr="00B85D62" w:rsidRDefault="002E2FFB" w:rsidP="0066232B">
            <w:pPr>
              <w:jc w:val="center"/>
              <w:rPr>
                <w:rFonts w:cs="Arial"/>
                <w:color w:val="000000"/>
              </w:rPr>
            </w:pPr>
            <w:r w:rsidRPr="00B85D62">
              <w:rPr>
                <w:rFonts w:cs="Arial"/>
              </w:rPr>
              <w:t>First degree</w:t>
            </w:r>
          </w:p>
        </w:tc>
        <w:tc>
          <w:tcPr>
            <w:tcW w:w="0" w:type="auto"/>
            <w:shd w:val="clear" w:color="auto" w:fill="auto"/>
          </w:tcPr>
          <w:p w14:paraId="4FD82B8F" w14:textId="77777777" w:rsidR="002E2FFB" w:rsidRPr="00B85D62" w:rsidRDefault="002E2FFB" w:rsidP="0066232B">
            <w:pPr>
              <w:jc w:val="center"/>
              <w:rPr>
                <w:rFonts w:cs="Arial"/>
                <w:color w:val="000000"/>
              </w:rPr>
            </w:pPr>
            <w:r w:rsidRPr="00B85D62">
              <w:rPr>
                <w:rFonts w:cs="Arial"/>
              </w:rPr>
              <w:t>Clinical (DCLN)</w:t>
            </w:r>
          </w:p>
        </w:tc>
        <w:tc>
          <w:tcPr>
            <w:tcW w:w="0" w:type="auto"/>
            <w:shd w:val="clear" w:color="auto" w:fill="auto"/>
          </w:tcPr>
          <w:p w14:paraId="330BEB36" w14:textId="77777777" w:rsidR="002E2FFB" w:rsidRPr="00B85D62" w:rsidRDefault="002E2FFB" w:rsidP="0066232B">
            <w:pPr>
              <w:jc w:val="center"/>
              <w:rPr>
                <w:rFonts w:cs="Arial"/>
                <w:color w:val="000000"/>
              </w:rPr>
            </w:pPr>
            <w:r w:rsidRPr="00B85D62">
              <w:rPr>
                <w:rFonts w:cs="Arial"/>
              </w:rPr>
              <w:t>Clinical (DCLN)</w:t>
            </w:r>
          </w:p>
        </w:tc>
        <w:tc>
          <w:tcPr>
            <w:tcW w:w="0" w:type="auto"/>
            <w:shd w:val="clear" w:color="auto" w:fill="auto"/>
          </w:tcPr>
          <w:p w14:paraId="6B4B3D6C" w14:textId="77777777" w:rsidR="002E2FFB" w:rsidRPr="00B85D62" w:rsidRDefault="002E2FFB" w:rsidP="0066232B">
            <w:pPr>
              <w:jc w:val="center"/>
              <w:rPr>
                <w:rFonts w:cs="Arial"/>
              </w:rPr>
            </w:pPr>
            <w:r w:rsidRPr="00B85D62">
              <w:rPr>
                <w:rFonts w:cs="Arial"/>
              </w:rPr>
              <w:t>High</w:t>
            </w:r>
          </w:p>
        </w:tc>
      </w:tr>
      <w:tr w:rsidR="00B85D62" w:rsidRPr="00B85D62" w14:paraId="4ED2A4AD" w14:textId="77777777" w:rsidTr="00B85D62">
        <w:trPr>
          <w:cantSplit/>
        </w:trPr>
        <w:tc>
          <w:tcPr>
            <w:tcW w:w="0" w:type="auto"/>
            <w:shd w:val="clear" w:color="auto" w:fill="auto"/>
          </w:tcPr>
          <w:p w14:paraId="14CB0983" w14:textId="77777777" w:rsidR="002E2FFB" w:rsidRPr="00B85D62" w:rsidRDefault="002E2FFB" w:rsidP="0066232B">
            <w:pPr>
              <w:jc w:val="center"/>
              <w:rPr>
                <w:rFonts w:cs="Arial"/>
                <w:b/>
                <w:bCs/>
                <w:color w:val="000000"/>
              </w:rPr>
            </w:pPr>
            <w:r w:rsidRPr="00B85D62">
              <w:rPr>
                <w:rFonts w:cs="Arial"/>
                <w:b/>
                <w:bCs/>
              </w:rPr>
              <w:t>Leren, 2008</w:t>
            </w:r>
          </w:p>
        </w:tc>
        <w:tc>
          <w:tcPr>
            <w:tcW w:w="0" w:type="auto"/>
            <w:shd w:val="clear" w:color="auto" w:fill="auto"/>
          </w:tcPr>
          <w:p w14:paraId="4C38A262" w14:textId="77777777" w:rsidR="002E2FFB" w:rsidRPr="00B85D62" w:rsidRDefault="002E2FFB" w:rsidP="0066232B">
            <w:pPr>
              <w:jc w:val="center"/>
              <w:rPr>
                <w:rFonts w:cs="Arial"/>
                <w:color w:val="000000"/>
              </w:rPr>
            </w:pPr>
            <w:r w:rsidRPr="00B85D62">
              <w:rPr>
                <w:rFonts w:cs="Arial"/>
              </w:rPr>
              <w:t>Norway</w:t>
            </w:r>
          </w:p>
        </w:tc>
        <w:tc>
          <w:tcPr>
            <w:tcW w:w="0" w:type="auto"/>
            <w:shd w:val="clear" w:color="auto" w:fill="auto"/>
          </w:tcPr>
          <w:p w14:paraId="33BA617E" w14:textId="77777777" w:rsidR="002E2FFB" w:rsidRPr="00B85D62" w:rsidRDefault="002E2FFB" w:rsidP="0066232B">
            <w:pPr>
              <w:jc w:val="center"/>
              <w:rPr>
                <w:rFonts w:cs="Arial"/>
                <w:color w:val="000000"/>
              </w:rPr>
            </w:pPr>
            <w:r w:rsidRPr="00B85D62">
              <w:rPr>
                <w:rFonts w:cs="Arial"/>
              </w:rPr>
              <w:t>~1300</w:t>
            </w:r>
          </w:p>
        </w:tc>
        <w:tc>
          <w:tcPr>
            <w:tcW w:w="0" w:type="auto"/>
            <w:shd w:val="clear" w:color="auto" w:fill="auto"/>
          </w:tcPr>
          <w:p w14:paraId="103AFB17" w14:textId="77777777" w:rsidR="002E2FFB" w:rsidRPr="00B85D62" w:rsidRDefault="002E2FFB" w:rsidP="0066232B">
            <w:pPr>
              <w:jc w:val="center"/>
              <w:rPr>
                <w:rFonts w:cs="Arial"/>
                <w:color w:val="000000"/>
              </w:rPr>
            </w:pPr>
            <w:r w:rsidRPr="00B85D62">
              <w:rPr>
                <w:rFonts w:cs="Arial"/>
              </w:rPr>
              <w:t>Indirect</w:t>
            </w:r>
          </w:p>
        </w:tc>
        <w:tc>
          <w:tcPr>
            <w:tcW w:w="0" w:type="auto"/>
            <w:shd w:val="clear" w:color="auto" w:fill="auto"/>
          </w:tcPr>
          <w:p w14:paraId="41BF4C71"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62E44F89" w14:textId="77777777" w:rsidR="002E2FFB" w:rsidRPr="00B85D62" w:rsidRDefault="002E2FFB" w:rsidP="0066232B">
            <w:pPr>
              <w:jc w:val="center"/>
              <w:rPr>
                <w:rFonts w:cs="Arial"/>
                <w:color w:val="000000"/>
              </w:rPr>
            </w:pPr>
            <w:r w:rsidRPr="00B85D62">
              <w:rPr>
                <w:rFonts w:cs="Arial"/>
              </w:rPr>
              <w:t>Not reported</w:t>
            </w:r>
          </w:p>
        </w:tc>
        <w:tc>
          <w:tcPr>
            <w:tcW w:w="0" w:type="auto"/>
            <w:shd w:val="clear" w:color="auto" w:fill="auto"/>
          </w:tcPr>
          <w:p w14:paraId="6BCC155B"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0F5C350E"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5F6C0A43" w14:textId="77777777" w:rsidR="002E2FFB" w:rsidRPr="00B85D62" w:rsidRDefault="002E2FFB" w:rsidP="0066232B">
            <w:pPr>
              <w:jc w:val="center"/>
              <w:rPr>
                <w:rFonts w:cs="Arial"/>
              </w:rPr>
            </w:pPr>
            <w:r w:rsidRPr="00B85D62">
              <w:rPr>
                <w:rFonts w:cs="Arial"/>
              </w:rPr>
              <w:t>Moderate</w:t>
            </w:r>
          </w:p>
        </w:tc>
      </w:tr>
      <w:tr w:rsidR="00B85D62" w:rsidRPr="00B85D62" w14:paraId="037B3ED4" w14:textId="77777777" w:rsidTr="00B85D62">
        <w:trPr>
          <w:cantSplit/>
        </w:trPr>
        <w:tc>
          <w:tcPr>
            <w:tcW w:w="0" w:type="auto"/>
            <w:shd w:val="clear" w:color="auto" w:fill="auto"/>
          </w:tcPr>
          <w:p w14:paraId="02044FC0" w14:textId="77777777" w:rsidR="002E2FFB" w:rsidRPr="00B85D62" w:rsidRDefault="002E2FFB" w:rsidP="0066232B">
            <w:pPr>
              <w:jc w:val="center"/>
              <w:rPr>
                <w:rFonts w:cs="Arial"/>
                <w:b/>
                <w:bCs/>
                <w:color w:val="000000"/>
              </w:rPr>
            </w:pPr>
            <w:r w:rsidRPr="00B85D62">
              <w:rPr>
                <w:rFonts w:cs="Arial"/>
                <w:b/>
                <w:bCs/>
              </w:rPr>
              <w:t>Marks, 2006</w:t>
            </w:r>
          </w:p>
        </w:tc>
        <w:tc>
          <w:tcPr>
            <w:tcW w:w="0" w:type="auto"/>
            <w:shd w:val="clear" w:color="auto" w:fill="auto"/>
          </w:tcPr>
          <w:p w14:paraId="7A74367D" w14:textId="77777777" w:rsidR="002E2FFB" w:rsidRPr="00B85D62" w:rsidRDefault="002E2FFB" w:rsidP="0066232B">
            <w:pPr>
              <w:jc w:val="center"/>
              <w:rPr>
                <w:rFonts w:cs="Arial"/>
                <w:color w:val="000000"/>
              </w:rPr>
            </w:pPr>
            <w:r w:rsidRPr="00B85D62">
              <w:rPr>
                <w:rFonts w:cs="Arial"/>
              </w:rPr>
              <w:t>England</w:t>
            </w:r>
          </w:p>
        </w:tc>
        <w:tc>
          <w:tcPr>
            <w:tcW w:w="0" w:type="auto"/>
            <w:shd w:val="clear" w:color="auto" w:fill="auto"/>
          </w:tcPr>
          <w:p w14:paraId="575B4D07" w14:textId="77777777" w:rsidR="002E2FFB" w:rsidRPr="00B85D62" w:rsidRDefault="002E2FFB" w:rsidP="0066232B">
            <w:pPr>
              <w:jc w:val="center"/>
              <w:rPr>
                <w:rFonts w:cs="Arial"/>
                <w:color w:val="000000"/>
              </w:rPr>
            </w:pPr>
            <w:r w:rsidRPr="00B85D62">
              <w:rPr>
                <w:rFonts w:cs="Arial"/>
              </w:rPr>
              <w:t>354</w:t>
            </w:r>
          </w:p>
        </w:tc>
        <w:tc>
          <w:tcPr>
            <w:tcW w:w="0" w:type="auto"/>
            <w:shd w:val="clear" w:color="auto" w:fill="auto"/>
          </w:tcPr>
          <w:p w14:paraId="64A6DA6F" w14:textId="77777777" w:rsidR="002E2FFB" w:rsidRPr="00B85D62" w:rsidRDefault="002E2FFB" w:rsidP="0066232B">
            <w:pPr>
              <w:jc w:val="center"/>
              <w:rPr>
                <w:rFonts w:cs="Arial"/>
                <w:color w:val="000000"/>
              </w:rPr>
            </w:pPr>
            <w:r w:rsidRPr="00B85D62">
              <w:rPr>
                <w:rFonts w:cs="Arial"/>
              </w:rPr>
              <w:t>Indirect</w:t>
            </w:r>
          </w:p>
        </w:tc>
        <w:tc>
          <w:tcPr>
            <w:tcW w:w="0" w:type="auto"/>
            <w:shd w:val="clear" w:color="auto" w:fill="auto"/>
          </w:tcPr>
          <w:p w14:paraId="7016CCCE"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35BBFE09" w14:textId="77777777" w:rsidR="002E2FFB" w:rsidRPr="00B85D62" w:rsidRDefault="002E2FFB" w:rsidP="0066232B">
            <w:pPr>
              <w:jc w:val="center"/>
              <w:rPr>
                <w:rFonts w:cs="Arial"/>
                <w:color w:val="000000"/>
              </w:rPr>
            </w:pPr>
            <w:r w:rsidRPr="00B85D62">
              <w:rPr>
                <w:rFonts w:cs="Arial"/>
              </w:rPr>
              <w:t>Not reported</w:t>
            </w:r>
          </w:p>
        </w:tc>
        <w:tc>
          <w:tcPr>
            <w:tcW w:w="0" w:type="auto"/>
            <w:shd w:val="clear" w:color="auto" w:fill="auto"/>
          </w:tcPr>
          <w:p w14:paraId="080D7B36" w14:textId="77777777" w:rsidR="002E2FFB" w:rsidRPr="00B85D62" w:rsidRDefault="002E2FFB" w:rsidP="0066232B">
            <w:pPr>
              <w:jc w:val="center"/>
              <w:rPr>
                <w:rFonts w:cs="Arial"/>
                <w:color w:val="000000"/>
              </w:rPr>
            </w:pPr>
            <w:r w:rsidRPr="00B85D62">
              <w:rPr>
                <w:rFonts w:cs="Arial"/>
              </w:rPr>
              <w:t>Clinical (SB)</w:t>
            </w:r>
          </w:p>
        </w:tc>
        <w:tc>
          <w:tcPr>
            <w:tcW w:w="0" w:type="auto"/>
            <w:shd w:val="clear" w:color="auto" w:fill="auto"/>
          </w:tcPr>
          <w:p w14:paraId="083C753A" w14:textId="77777777" w:rsidR="002E2FFB" w:rsidRPr="00B85D62" w:rsidRDefault="002E2FFB" w:rsidP="0066232B">
            <w:pPr>
              <w:jc w:val="center"/>
              <w:rPr>
                <w:rFonts w:cs="Arial"/>
                <w:color w:val="000000"/>
              </w:rPr>
            </w:pPr>
            <w:r w:rsidRPr="00B85D62">
              <w:rPr>
                <w:rFonts w:cs="Arial"/>
              </w:rPr>
              <w:t>Clinical (MEDPED)</w:t>
            </w:r>
          </w:p>
        </w:tc>
        <w:tc>
          <w:tcPr>
            <w:tcW w:w="0" w:type="auto"/>
            <w:shd w:val="clear" w:color="auto" w:fill="auto"/>
          </w:tcPr>
          <w:p w14:paraId="1269E4CD" w14:textId="77777777" w:rsidR="002E2FFB" w:rsidRPr="00B85D62" w:rsidRDefault="002E2FFB" w:rsidP="0066232B">
            <w:pPr>
              <w:jc w:val="center"/>
              <w:rPr>
                <w:rFonts w:cs="Arial"/>
              </w:rPr>
            </w:pPr>
            <w:r w:rsidRPr="00B85D62">
              <w:rPr>
                <w:rFonts w:cs="Arial"/>
              </w:rPr>
              <w:t>Moderate</w:t>
            </w:r>
          </w:p>
        </w:tc>
      </w:tr>
      <w:tr w:rsidR="00B85D62" w:rsidRPr="00B85D62" w14:paraId="2FCACEC8" w14:textId="77777777" w:rsidTr="00B85D62">
        <w:trPr>
          <w:cantSplit/>
        </w:trPr>
        <w:tc>
          <w:tcPr>
            <w:tcW w:w="0" w:type="auto"/>
            <w:shd w:val="clear" w:color="auto" w:fill="auto"/>
          </w:tcPr>
          <w:p w14:paraId="2A2600E4" w14:textId="77777777" w:rsidR="002E2FFB" w:rsidRPr="00B85D62" w:rsidRDefault="002E2FFB" w:rsidP="0066232B">
            <w:pPr>
              <w:jc w:val="center"/>
              <w:rPr>
                <w:rFonts w:cs="Arial"/>
                <w:b/>
                <w:bCs/>
                <w:color w:val="000000"/>
              </w:rPr>
            </w:pPr>
            <w:r w:rsidRPr="00B85D62">
              <w:rPr>
                <w:rFonts w:cs="Arial"/>
                <w:b/>
                <w:bCs/>
              </w:rPr>
              <w:t>Marteau, 2004</w:t>
            </w:r>
          </w:p>
        </w:tc>
        <w:tc>
          <w:tcPr>
            <w:tcW w:w="0" w:type="auto"/>
            <w:shd w:val="clear" w:color="auto" w:fill="auto"/>
          </w:tcPr>
          <w:p w14:paraId="0EFCF54F" w14:textId="77777777" w:rsidR="002E2FFB" w:rsidRPr="00B85D62" w:rsidRDefault="002E2FFB" w:rsidP="0066232B">
            <w:pPr>
              <w:jc w:val="center"/>
              <w:rPr>
                <w:rFonts w:cs="Arial"/>
                <w:color w:val="000000"/>
              </w:rPr>
            </w:pPr>
            <w:r w:rsidRPr="00B85D62">
              <w:rPr>
                <w:rFonts w:cs="Arial"/>
              </w:rPr>
              <w:t>England</w:t>
            </w:r>
          </w:p>
        </w:tc>
        <w:tc>
          <w:tcPr>
            <w:tcW w:w="0" w:type="auto"/>
            <w:shd w:val="clear" w:color="auto" w:fill="auto"/>
          </w:tcPr>
          <w:p w14:paraId="195BA04F" w14:textId="77777777" w:rsidR="002E2FFB" w:rsidRPr="00B85D62" w:rsidRDefault="002E2FFB" w:rsidP="0066232B">
            <w:pPr>
              <w:jc w:val="center"/>
              <w:rPr>
                <w:rFonts w:cs="Arial"/>
                <w:color w:val="000000"/>
              </w:rPr>
            </w:pPr>
            <w:r w:rsidRPr="00B85D62">
              <w:rPr>
                <w:rFonts w:cs="Arial"/>
              </w:rPr>
              <w:t>341</w:t>
            </w:r>
          </w:p>
        </w:tc>
        <w:tc>
          <w:tcPr>
            <w:tcW w:w="0" w:type="auto"/>
            <w:shd w:val="clear" w:color="auto" w:fill="auto"/>
          </w:tcPr>
          <w:p w14:paraId="6B21AA8C"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0598B160"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4DD974BC" w14:textId="77777777" w:rsidR="002E2FFB" w:rsidRPr="00B85D62" w:rsidRDefault="002E2FFB" w:rsidP="0066232B">
            <w:pPr>
              <w:jc w:val="center"/>
              <w:rPr>
                <w:rFonts w:cs="Arial"/>
                <w:color w:val="000000"/>
              </w:rPr>
            </w:pPr>
            <w:r w:rsidRPr="00B85D62">
              <w:rPr>
                <w:rFonts w:cs="Arial"/>
              </w:rPr>
              <w:t>Second degree</w:t>
            </w:r>
          </w:p>
        </w:tc>
        <w:tc>
          <w:tcPr>
            <w:tcW w:w="0" w:type="auto"/>
            <w:shd w:val="clear" w:color="auto" w:fill="auto"/>
          </w:tcPr>
          <w:p w14:paraId="2A60275D" w14:textId="77777777" w:rsidR="002E2FFB" w:rsidRPr="00B85D62" w:rsidRDefault="002E2FFB" w:rsidP="0066232B">
            <w:pPr>
              <w:jc w:val="center"/>
              <w:rPr>
                <w:rFonts w:cs="Arial"/>
                <w:color w:val="000000"/>
              </w:rPr>
            </w:pPr>
            <w:r w:rsidRPr="00B85D62">
              <w:rPr>
                <w:rFonts w:cs="Arial"/>
              </w:rPr>
              <w:t>Clinical (SB)</w:t>
            </w:r>
          </w:p>
        </w:tc>
        <w:tc>
          <w:tcPr>
            <w:tcW w:w="0" w:type="auto"/>
            <w:shd w:val="clear" w:color="auto" w:fill="auto"/>
          </w:tcPr>
          <w:p w14:paraId="45D2F72C" w14:textId="77777777" w:rsidR="002E2FFB" w:rsidRPr="00B85D62" w:rsidRDefault="002E2FFB" w:rsidP="0066232B">
            <w:pPr>
              <w:jc w:val="center"/>
              <w:rPr>
                <w:rFonts w:cs="Arial"/>
                <w:color w:val="000000"/>
              </w:rPr>
            </w:pPr>
            <w:r w:rsidRPr="00B85D62">
              <w:rPr>
                <w:rFonts w:cs="Arial"/>
              </w:rPr>
              <w:t>Genetic or clinical (SB)</w:t>
            </w:r>
          </w:p>
        </w:tc>
        <w:tc>
          <w:tcPr>
            <w:tcW w:w="0" w:type="auto"/>
            <w:shd w:val="clear" w:color="auto" w:fill="auto"/>
          </w:tcPr>
          <w:p w14:paraId="49612B66" w14:textId="77777777" w:rsidR="002E2FFB" w:rsidRPr="00B85D62" w:rsidRDefault="002E2FFB" w:rsidP="0066232B">
            <w:pPr>
              <w:jc w:val="center"/>
              <w:rPr>
                <w:rFonts w:cs="Arial"/>
              </w:rPr>
            </w:pPr>
            <w:r w:rsidRPr="00B85D62">
              <w:rPr>
                <w:rFonts w:cs="Arial"/>
              </w:rPr>
              <w:t>Moderate</w:t>
            </w:r>
          </w:p>
        </w:tc>
      </w:tr>
      <w:tr w:rsidR="00B85D62" w:rsidRPr="00B85D62" w14:paraId="4CFDAA9E" w14:textId="77777777" w:rsidTr="00B85D62">
        <w:trPr>
          <w:cantSplit/>
        </w:trPr>
        <w:tc>
          <w:tcPr>
            <w:tcW w:w="0" w:type="auto"/>
            <w:shd w:val="clear" w:color="auto" w:fill="auto"/>
          </w:tcPr>
          <w:p w14:paraId="126BA99F" w14:textId="77777777" w:rsidR="002E2FFB" w:rsidRPr="00B85D62" w:rsidRDefault="002E2FFB" w:rsidP="0066232B">
            <w:pPr>
              <w:jc w:val="center"/>
              <w:rPr>
                <w:rFonts w:cs="Arial"/>
                <w:b/>
                <w:bCs/>
                <w:color w:val="000000"/>
              </w:rPr>
            </w:pPr>
            <w:r w:rsidRPr="00B85D62">
              <w:rPr>
                <w:rFonts w:cs="Arial"/>
                <w:b/>
                <w:bCs/>
              </w:rPr>
              <w:t>Muir, 2010</w:t>
            </w:r>
          </w:p>
        </w:tc>
        <w:tc>
          <w:tcPr>
            <w:tcW w:w="0" w:type="auto"/>
            <w:shd w:val="clear" w:color="auto" w:fill="auto"/>
          </w:tcPr>
          <w:p w14:paraId="4756FFDE" w14:textId="77777777" w:rsidR="002E2FFB" w:rsidRPr="00B85D62" w:rsidRDefault="002E2FFB" w:rsidP="0066232B">
            <w:pPr>
              <w:jc w:val="center"/>
              <w:rPr>
                <w:rFonts w:cs="Arial"/>
                <w:color w:val="000000"/>
              </w:rPr>
            </w:pPr>
            <w:r w:rsidRPr="00B85D62">
              <w:rPr>
                <w:rFonts w:cs="Arial"/>
              </w:rPr>
              <w:t>New Zealand</w:t>
            </w:r>
          </w:p>
        </w:tc>
        <w:tc>
          <w:tcPr>
            <w:tcW w:w="0" w:type="auto"/>
            <w:shd w:val="clear" w:color="auto" w:fill="auto"/>
          </w:tcPr>
          <w:p w14:paraId="6FA2CFF2" w14:textId="77777777" w:rsidR="002E2FFB" w:rsidRPr="00B85D62" w:rsidRDefault="002E2FFB" w:rsidP="0066232B">
            <w:pPr>
              <w:jc w:val="center"/>
              <w:rPr>
                <w:rFonts w:cs="Arial"/>
                <w:color w:val="000000"/>
              </w:rPr>
            </w:pPr>
            <w:r w:rsidRPr="00B85D62">
              <w:rPr>
                <w:rFonts w:cs="Arial"/>
              </w:rPr>
              <w:t>76</w:t>
            </w:r>
          </w:p>
        </w:tc>
        <w:tc>
          <w:tcPr>
            <w:tcW w:w="0" w:type="auto"/>
            <w:shd w:val="clear" w:color="auto" w:fill="auto"/>
          </w:tcPr>
          <w:p w14:paraId="5410711F"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15D095FF"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7E17020B" w14:textId="77777777" w:rsidR="002E2FFB" w:rsidRPr="00B85D62" w:rsidRDefault="002E2FFB" w:rsidP="0066232B">
            <w:pPr>
              <w:jc w:val="center"/>
              <w:rPr>
                <w:rFonts w:cs="Arial"/>
                <w:color w:val="000000"/>
              </w:rPr>
            </w:pPr>
            <w:r w:rsidRPr="00B85D62">
              <w:rPr>
                <w:rFonts w:cs="Arial"/>
              </w:rPr>
              <w:t>Not reported</w:t>
            </w:r>
          </w:p>
        </w:tc>
        <w:tc>
          <w:tcPr>
            <w:tcW w:w="0" w:type="auto"/>
            <w:shd w:val="clear" w:color="auto" w:fill="auto"/>
          </w:tcPr>
          <w:p w14:paraId="53B658DB"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157BA2F3"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43271281" w14:textId="77777777" w:rsidR="002E2FFB" w:rsidRPr="00B85D62" w:rsidRDefault="002E2FFB" w:rsidP="0066232B">
            <w:pPr>
              <w:jc w:val="center"/>
              <w:rPr>
                <w:rFonts w:cs="Arial"/>
              </w:rPr>
            </w:pPr>
            <w:r w:rsidRPr="00B85D62">
              <w:rPr>
                <w:rFonts w:cs="Arial"/>
              </w:rPr>
              <w:t>Low</w:t>
            </w:r>
          </w:p>
        </w:tc>
      </w:tr>
      <w:tr w:rsidR="00B85D62" w:rsidRPr="00B85D62" w14:paraId="4EF1C806" w14:textId="77777777" w:rsidTr="00B85D62">
        <w:trPr>
          <w:cantSplit/>
        </w:trPr>
        <w:tc>
          <w:tcPr>
            <w:tcW w:w="0" w:type="auto"/>
            <w:shd w:val="clear" w:color="auto" w:fill="auto"/>
          </w:tcPr>
          <w:p w14:paraId="3A873B60" w14:textId="77777777" w:rsidR="002E2FFB" w:rsidRPr="00B85D62" w:rsidRDefault="002E2FFB" w:rsidP="0066232B">
            <w:pPr>
              <w:jc w:val="center"/>
              <w:rPr>
                <w:rFonts w:cs="Arial"/>
                <w:b/>
                <w:bCs/>
                <w:color w:val="000000"/>
              </w:rPr>
            </w:pPr>
            <w:r w:rsidRPr="00B85D62">
              <w:rPr>
                <w:rFonts w:cs="Arial"/>
                <w:b/>
                <w:bCs/>
              </w:rPr>
              <w:t>Neuner, 2019</w:t>
            </w:r>
          </w:p>
        </w:tc>
        <w:tc>
          <w:tcPr>
            <w:tcW w:w="0" w:type="auto"/>
            <w:shd w:val="clear" w:color="auto" w:fill="auto"/>
          </w:tcPr>
          <w:p w14:paraId="70FDB2C1" w14:textId="77777777" w:rsidR="002E2FFB" w:rsidRPr="00B85D62" w:rsidRDefault="002E2FFB" w:rsidP="0066232B">
            <w:pPr>
              <w:jc w:val="center"/>
              <w:rPr>
                <w:rFonts w:cs="Arial"/>
                <w:color w:val="000000"/>
              </w:rPr>
            </w:pPr>
            <w:r w:rsidRPr="00B85D62">
              <w:rPr>
                <w:rFonts w:cs="Arial"/>
              </w:rPr>
              <w:t>US</w:t>
            </w:r>
          </w:p>
        </w:tc>
        <w:tc>
          <w:tcPr>
            <w:tcW w:w="0" w:type="auto"/>
            <w:shd w:val="clear" w:color="auto" w:fill="auto"/>
          </w:tcPr>
          <w:p w14:paraId="4FBF90FF" w14:textId="77777777" w:rsidR="002E2FFB" w:rsidRPr="00B85D62" w:rsidRDefault="002E2FFB" w:rsidP="0066232B">
            <w:pPr>
              <w:jc w:val="center"/>
              <w:rPr>
                <w:rFonts w:cs="Arial"/>
                <w:color w:val="000000"/>
              </w:rPr>
            </w:pPr>
            <w:r w:rsidRPr="00B85D62">
              <w:rPr>
                <w:rFonts w:cs="Arial"/>
              </w:rPr>
              <w:t>2</w:t>
            </w:r>
          </w:p>
        </w:tc>
        <w:tc>
          <w:tcPr>
            <w:tcW w:w="0" w:type="auto"/>
            <w:shd w:val="clear" w:color="auto" w:fill="auto"/>
          </w:tcPr>
          <w:p w14:paraId="032A5C49" w14:textId="77777777" w:rsidR="002E2FFB" w:rsidRPr="00B85D62" w:rsidRDefault="002E2FFB" w:rsidP="0066232B">
            <w:pPr>
              <w:jc w:val="center"/>
              <w:rPr>
                <w:rFonts w:cs="Arial"/>
                <w:color w:val="000000"/>
              </w:rPr>
            </w:pPr>
            <w:r w:rsidRPr="00B85D62">
              <w:rPr>
                <w:rFonts w:cs="Arial"/>
              </w:rPr>
              <w:t>Indirect</w:t>
            </w:r>
          </w:p>
        </w:tc>
        <w:tc>
          <w:tcPr>
            <w:tcW w:w="0" w:type="auto"/>
            <w:shd w:val="clear" w:color="auto" w:fill="auto"/>
          </w:tcPr>
          <w:p w14:paraId="0B23013D"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58F334C9" w14:textId="77777777" w:rsidR="002E2FFB" w:rsidRPr="00B85D62" w:rsidRDefault="002E2FFB" w:rsidP="0066232B">
            <w:pPr>
              <w:jc w:val="center"/>
              <w:rPr>
                <w:rFonts w:cs="Arial"/>
                <w:color w:val="000000"/>
              </w:rPr>
            </w:pPr>
            <w:r w:rsidRPr="00B85D62">
              <w:rPr>
                <w:rFonts w:cs="Arial"/>
              </w:rPr>
              <w:t>Not reported</w:t>
            </w:r>
          </w:p>
        </w:tc>
        <w:tc>
          <w:tcPr>
            <w:tcW w:w="0" w:type="auto"/>
            <w:shd w:val="clear" w:color="auto" w:fill="auto"/>
          </w:tcPr>
          <w:p w14:paraId="053CF9A0"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0F4127ED"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51A5566F" w14:textId="77777777" w:rsidR="002E2FFB" w:rsidRPr="00B85D62" w:rsidRDefault="002E2FFB" w:rsidP="0066232B">
            <w:pPr>
              <w:jc w:val="center"/>
              <w:rPr>
                <w:rFonts w:cs="Arial"/>
              </w:rPr>
            </w:pPr>
            <w:r w:rsidRPr="00B85D62">
              <w:rPr>
                <w:rFonts w:cs="Arial"/>
              </w:rPr>
              <w:t>Low</w:t>
            </w:r>
          </w:p>
        </w:tc>
      </w:tr>
      <w:tr w:rsidR="00B85D62" w:rsidRPr="00B85D62" w14:paraId="1B28366C" w14:textId="77777777" w:rsidTr="00B85D62">
        <w:trPr>
          <w:cantSplit/>
        </w:trPr>
        <w:tc>
          <w:tcPr>
            <w:tcW w:w="0" w:type="auto"/>
            <w:shd w:val="clear" w:color="auto" w:fill="auto"/>
          </w:tcPr>
          <w:p w14:paraId="2C937702" w14:textId="77777777" w:rsidR="002E2FFB" w:rsidRPr="00B85D62" w:rsidRDefault="002E2FFB" w:rsidP="0066232B">
            <w:pPr>
              <w:jc w:val="center"/>
              <w:rPr>
                <w:rFonts w:cs="Arial"/>
                <w:b/>
                <w:bCs/>
                <w:color w:val="000000"/>
              </w:rPr>
            </w:pPr>
            <w:r w:rsidRPr="00B85D62">
              <w:rPr>
                <w:rFonts w:cs="Arial"/>
                <w:b/>
                <w:bCs/>
              </w:rPr>
              <w:t>Raal, 2020</w:t>
            </w:r>
          </w:p>
        </w:tc>
        <w:tc>
          <w:tcPr>
            <w:tcW w:w="0" w:type="auto"/>
            <w:shd w:val="clear" w:color="auto" w:fill="auto"/>
          </w:tcPr>
          <w:p w14:paraId="30493FA0" w14:textId="77777777" w:rsidR="002E2FFB" w:rsidRPr="00B85D62" w:rsidRDefault="002E2FFB" w:rsidP="0066232B">
            <w:pPr>
              <w:jc w:val="center"/>
              <w:rPr>
                <w:rFonts w:cs="Arial"/>
                <w:color w:val="000000"/>
              </w:rPr>
            </w:pPr>
            <w:r w:rsidRPr="00B85D62">
              <w:rPr>
                <w:rFonts w:cs="Arial"/>
              </w:rPr>
              <w:t>South Africa</w:t>
            </w:r>
          </w:p>
        </w:tc>
        <w:tc>
          <w:tcPr>
            <w:tcW w:w="0" w:type="auto"/>
            <w:shd w:val="clear" w:color="auto" w:fill="auto"/>
          </w:tcPr>
          <w:p w14:paraId="051AA3F0" w14:textId="77777777" w:rsidR="002E2FFB" w:rsidRPr="00B85D62" w:rsidRDefault="002E2FFB" w:rsidP="0066232B">
            <w:pPr>
              <w:jc w:val="center"/>
              <w:rPr>
                <w:rFonts w:cs="Arial"/>
                <w:color w:val="000000"/>
              </w:rPr>
            </w:pPr>
            <w:r w:rsidRPr="00B85D62">
              <w:rPr>
                <w:rFonts w:cs="Arial"/>
              </w:rPr>
              <w:t>252*†</w:t>
            </w:r>
          </w:p>
        </w:tc>
        <w:tc>
          <w:tcPr>
            <w:tcW w:w="0" w:type="auto"/>
            <w:shd w:val="clear" w:color="auto" w:fill="auto"/>
          </w:tcPr>
          <w:p w14:paraId="6A0FD440"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7C4E7F93"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6A8132EB" w14:textId="77777777" w:rsidR="002E2FFB" w:rsidRPr="00B85D62" w:rsidRDefault="002E2FFB" w:rsidP="0066232B">
            <w:pPr>
              <w:jc w:val="center"/>
              <w:rPr>
                <w:rFonts w:cs="Arial"/>
                <w:color w:val="000000"/>
              </w:rPr>
            </w:pPr>
            <w:r w:rsidRPr="00B85D62">
              <w:rPr>
                <w:rFonts w:cs="Arial"/>
              </w:rPr>
              <w:t>First degree</w:t>
            </w:r>
          </w:p>
        </w:tc>
        <w:tc>
          <w:tcPr>
            <w:tcW w:w="0" w:type="auto"/>
            <w:shd w:val="clear" w:color="auto" w:fill="auto"/>
          </w:tcPr>
          <w:p w14:paraId="798B5FC6" w14:textId="77777777" w:rsidR="002E2FFB" w:rsidRPr="00B85D62" w:rsidRDefault="002E2FFB" w:rsidP="0066232B">
            <w:pPr>
              <w:jc w:val="center"/>
              <w:rPr>
                <w:rFonts w:cs="Arial"/>
                <w:color w:val="000000"/>
              </w:rPr>
            </w:pPr>
            <w:r w:rsidRPr="00B85D62">
              <w:rPr>
                <w:rFonts w:cs="Arial"/>
              </w:rPr>
              <w:t>Genetic or clinical (not specified)</w:t>
            </w:r>
          </w:p>
        </w:tc>
        <w:tc>
          <w:tcPr>
            <w:tcW w:w="0" w:type="auto"/>
            <w:shd w:val="clear" w:color="auto" w:fill="auto"/>
          </w:tcPr>
          <w:p w14:paraId="72E6192D"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0060C312" w14:textId="77777777" w:rsidR="002E2FFB" w:rsidRPr="00B85D62" w:rsidRDefault="002E2FFB" w:rsidP="0066232B">
            <w:pPr>
              <w:jc w:val="center"/>
              <w:rPr>
                <w:rFonts w:cs="Arial"/>
              </w:rPr>
            </w:pPr>
            <w:r w:rsidRPr="00B85D62">
              <w:rPr>
                <w:rFonts w:cs="Arial"/>
              </w:rPr>
              <w:t>Low</w:t>
            </w:r>
          </w:p>
        </w:tc>
      </w:tr>
      <w:tr w:rsidR="00B85D62" w:rsidRPr="00B85D62" w14:paraId="66256269" w14:textId="77777777" w:rsidTr="00B85D62">
        <w:trPr>
          <w:cantSplit/>
        </w:trPr>
        <w:tc>
          <w:tcPr>
            <w:tcW w:w="0" w:type="auto"/>
            <w:shd w:val="clear" w:color="auto" w:fill="auto"/>
          </w:tcPr>
          <w:p w14:paraId="70BC9F81" w14:textId="77777777" w:rsidR="002E2FFB" w:rsidRPr="00B85D62" w:rsidRDefault="002E2FFB" w:rsidP="0066232B">
            <w:pPr>
              <w:jc w:val="center"/>
              <w:rPr>
                <w:rFonts w:cs="Arial"/>
                <w:b/>
                <w:bCs/>
                <w:color w:val="000000"/>
              </w:rPr>
            </w:pPr>
            <w:r w:rsidRPr="00B85D62">
              <w:rPr>
                <w:rFonts w:cs="Arial"/>
                <w:b/>
                <w:bCs/>
              </w:rPr>
              <w:lastRenderedPageBreak/>
              <w:t>Setia, 2018</w:t>
            </w:r>
          </w:p>
        </w:tc>
        <w:tc>
          <w:tcPr>
            <w:tcW w:w="0" w:type="auto"/>
            <w:shd w:val="clear" w:color="auto" w:fill="auto"/>
          </w:tcPr>
          <w:p w14:paraId="0F401107" w14:textId="77777777" w:rsidR="002E2FFB" w:rsidRPr="00B85D62" w:rsidRDefault="002E2FFB" w:rsidP="0066232B">
            <w:pPr>
              <w:jc w:val="center"/>
              <w:rPr>
                <w:rFonts w:cs="Arial"/>
                <w:color w:val="000000"/>
              </w:rPr>
            </w:pPr>
            <w:r w:rsidRPr="00B85D62">
              <w:rPr>
                <w:rFonts w:cs="Arial"/>
              </w:rPr>
              <w:t>India</w:t>
            </w:r>
          </w:p>
        </w:tc>
        <w:tc>
          <w:tcPr>
            <w:tcW w:w="0" w:type="auto"/>
            <w:shd w:val="clear" w:color="auto" w:fill="auto"/>
          </w:tcPr>
          <w:p w14:paraId="27D9E215" w14:textId="77777777" w:rsidR="002E2FFB" w:rsidRPr="00B85D62" w:rsidRDefault="002E2FFB" w:rsidP="0066232B">
            <w:pPr>
              <w:jc w:val="center"/>
              <w:rPr>
                <w:rFonts w:cs="Arial"/>
                <w:color w:val="000000"/>
              </w:rPr>
            </w:pPr>
            <w:r w:rsidRPr="00B85D62">
              <w:rPr>
                <w:rFonts w:cs="Arial"/>
              </w:rPr>
              <w:t>31</w:t>
            </w:r>
          </w:p>
        </w:tc>
        <w:tc>
          <w:tcPr>
            <w:tcW w:w="0" w:type="auto"/>
            <w:shd w:val="clear" w:color="auto" w:fill="auto"/>
          </w:tcPr>
          <w:p w14:paraId="6CC2FD5E"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0F7EF2C4"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1434072C" w14:textId="77777777" w:rsidR="002E2FFB" w:rsidRPr="00B85D62" w:rsidRDefault="002E2FFB" w:rsidP="0066232B">
            <w:pPr>
              <w:jc w:val="center"/>
              <w:rPr>
                <w:rFonts w:cs="Arial"/>
                <w:color w:val="000000"/>
              </w:rPr>
            </w:pPr>
            <w:r w:rsidRPr="00B85D62">
              <w:rPr>
                <w:rFonts w:cs="Arial"/>
              </w:rPr>
              <w:t>Second degree</w:t>
            </w:r>
          </w:p>
        </w:tc>
        <w:tc>
          <w:tcPr>
            <w:tcW w:w="0" w:type="auto"/>
            <w:shd w:val="clear" w:color="auto" w:fill="auto"/>
          </w:tcPr>
          <w:p w14:paraId="2B03DEC7"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4E86502F"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11BEF764" w14:textId="77777777" w:rsidR="002E2FFB" w:rsidRPr="00B85D62" w:rsidRDefault="002E2FFB" w:rsidP="0066232B">
            <w:pPr>
              <w:jc w:val="center"/>
              <w:rPr>
                <w:rFonts w:cs="Arial"/>
              </w:rPr>
            </w:pPr>
            <w:r w:rsidRPr="00B85D62">
              <w:rPr>
                <w:rFonts w:cs="Arial"/>
              </w:rPr>
              <w:t>Moderate</w:t>
            </w:r>
          </w:p>
        </w:tc>
      </w:tr>
      <w:tr w:rsidR="00B85D62" w:rsidRPr="00B85D62" w14:paraId="4C36B2A4" w14:textId="77777777" w:rsidTr="00B85D62">
        <w:trPr>
          <w:cantSplit/>
        </w:trPr>
        <w:tc>
          <w:tcPr>
            <w:tcW w:w="0" w:type="auto"/>
            <w:shd w:val="clear" w:color="auto" w:fill="auto"/>
          </w:tcPr>
          <w:p w14:paraId="433D40FE" w14:textId="77777777" w:rsidR="002E2FFB" w:rsidRPr="00B85D62" w:rsidRDefault="002E2FFB" w:rsidP="0066232B">
            <w:pPr>
              <w:jc w:val="center"/>
              <w:rPr>
                <w:rFonts w:cs="Arial"/>
                <w:b/>
                <w:bCs/>
                <w:color w:val="000000"/>
              </w:rPr>
            </w:pPr>
            <w:r w:rsidRPr="00B85D62">
              <w:rPr>
                <w:rFonts w:cs="Arial"/>
                <w:b/>
                <w:bCs/>
              </w:rPr>
              <w:t>Skovby, 1991</w:t>
            </w:r>
          </w:p>
        </w:tc>
        <w:tc>
          <w:tcPr>
            <w:tcW w:w="0" w:type="auto"/>
            <w:shd w:val="clear" w:color="auto" w:fill="auto"/>
          </w:tcPr>
          <w:p w14:paraId="1FF32ADD" w14:textId="77777777" w:rsidR="002E2FFB" w:rsidRPr="00B85D62" w:rsidRDefault="002E2FFB" w:rsidP="0066232B">
            <w:pPr>
              <w:jc w:val="center"/>
              <w:rPr>
                <w:rFonts w:cs="Arial"/>
                <w:color w:val="000000"/>
              </w:rPr>
            </w:pPr>
            <w:r w:rsidRPr="00B85D62">
              <w:rPr>
                <w:rFonts w:cs="Arial"/>
              </w:rPr>
              <w:t>Denmark</w:t>
            </w:r>
          </w:p>
        </w:tc>
        <w:tc>
          <w:tcPr>
            <w:tcW w:w="0" w:type="auto"/>
            <w:shd w:val="clear" w:color="auto" w:fill="auto"/>
          </w:tcPr>
          <w:p w14:paraId="4EC02AEA" w14:textId="77777777" w:rsidR="002E2FFB" w:rsidRPr="00B85D62" w:rsidRDefault="002E2FFB" w:rsidP="0066232B">
            <w:pPr>
              <w:jc w:val="center"/>
              <w:rPr>
                <w:rFonts w:cs="Arial"/>
                <w:color w:val="000000"/>
              </w:rPr>
            </w:pPr>
            <w:r w:rsidRPr="00B85D62">
              <w:rPr>
                <w:rFonts w:cs="Arial"/>
              </w:rPr>
              <w:t>17</w:t>
            </w:r>
          </w:p>
        </w:tc>
        <w:tc>
          <w:tcPr>
            <w:tcW w:w="0" w:type="auto"/>
            <w:shd w:val="clear" w:color="auto" w:fill="auto"/>
          </w:tcPr>
          <w:p w14:paraId="3D3B298D"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21B5D832" w14:textId="77777777" w:rsidR="002E2FFB" w:rsidRPr="00B85D62" w:rsidRDefault="002E2FFB" w:rsidP="0066232B">
            <w:pPr>
              <w:jc w:val="center"/>
              <w:rPr>
                <w:rFonts w:cs="Arial"/>
                <w:color w:val="000000"/>
              </w:rPr>
            </w:pPr>
            <w:r w:rsidRPr="00B85D62">
              <w:rPr>
                <w:rFonts w:cs="Arial"/>
              </w:rPr>
              <w:t>Reverse</w:t>
            </w:r>
          </w:p>
        </w:tc>
        <w:tc>
          <w:tcPr>
            <w:tcW w:w="0" w:type="auto"/>
            <w:shd w:val="clear" w:color="auto" w:fill="auto"/>
          </w:tcPr>
          <w:p w14:paraId="5833C510" w14:textId="77777777" w:rsidR="002E2FFB" w:rsidRPr="00B85D62" w:rsidRDefault="002E2FFB" w:rsidP="0066232B">
            <w:pPr>
              <w:jc w:val="center"/>
              <w:rPr>
                <w:rFonts w:cs="Arial"/>
                <w:color w:val="000000"/>
              </w:rPr>
            </w:pPr>
            <w:r w:rsidRPr="00B85D62">
              <w:rPr>
                <w:rFonts w:cs="Arial"/>
              </w:rPr>
              <w:t>Not reported</w:t>
            </w:r>
          </w:p>
        </w:tc>
        <w:tc>
          <w:tcPr>
            <w:tcW w:w="0" w:type="auto"/>
            <w:shd w:val="clear" w:color="auto" w:fill="auto"/>
          </w:tcPr>
          <w:p w14:paraId="551BDAEA" w14:textId="77777777" w:rsidR="002E2FFB" w:rsidRPr="00B85D62" w:rsidRDefault="002E2FFB" w:rsidP="0066232B">
            <w:pPr>
              <w:jc w:val="center"/>
              <w:rPr>
                <w:rFonts w:cs="Arial"/>
                <w:color w:val="000000"/>
              </w:rPr>
            </w:pPr>
            <w:r w:rsidRPr="00B85D62">
              <w:rPr>
                <w:rFonts w:cs="Arial"/>
              </w:rPr>
              <w:t>Clinical (study-specific)</w:t>
            </w:r>
          </w:p>
        </w:tc>
        <w:tc>
          <w:tcPr>
            <w:tcW w:w="0" w:type="auto"/>
            <w:shd w:val="clear" w:color="auto" w:fill="auto"/>
          </w:tcPr>
          <w:p w14:paraId="28AA36A0" w14:textId="77777777" w:rsidR="002E2FFB" w:rsidRPr="00B85D62" w:rsidRDefault="002E2FFB" w:rsidP="0066232B">
            <w:pPr>
              <w:jc w:val="center"/>
              <w:rPr>
                <w:rFonts w:cs="Arial"/>
                <w:color w:val="000000"/>
              </w:rPr>
            </w:pPr>
            <w:r w:rsidRPr="00B85D62">
              <w:rPr>
                <w:rFonts w:cs="Arial"/>
              </w:rPr>
              <w:t>Clinical (study-specific)</w:t>
            </w:r>
          </w:p>
        </w:tc>
        <w:tc>
          <w:tcPr>
            <w:tcW w:w="0" w:type="auto"/>
            <w:shd w:val="clear" w:color="auto" w:fill="auto"/>
          </w:tcPr>
          <w:p w14:paraId="24FE5605" w14:textId="77777777" w:rsidR="002E2FFB" w:rsidRPr="00B85D62" w:rsidRDefault="002E2FFB" w:rsidP="0066232B">
            <w:pPr>
              <w:jc w:val="center"/>
              <w:rPr>
                <w:rFonts w:cs="Arial"/>
              </w:rPr>
            </w:pPr>
            <w:r w:rsidRPr="00B85D62">
              <w:rPr>
                <w:rFonts w:cs="Arial"/>
              </w:rPr>
              <w:t>Moderate</w:t>
            </w:r>
          </w:p>
        </w:tc>
      </w:tr>
      <w:tr w:rsidR="00B85D62" w:rsidRPr="00B85D62" w14:paraId="74E6B8B0" w14:textId="77777777" w:rsidTr="00B85D62">
        <w:trPr>
          <w:cantSplit/>
        </w:trPr>
        <w:tc>
          <w:tcPr>
            <w:tcW w:w="0" w:type="auto"/>
            <w:shd w:val="clear" w:color="auto" w:fill="auto"/>
          </w:tcPr>
          <w:p w14:paraId="69701996" w14:textId="77777777" w:rsidR="002E2FFB" w:rsidRPr="00B85D62" w:rsidRDefault="002E2FFB" w:rsidP="0066232B">
            <w:pPr>
              <w:jc w:val="center"/>
              <w:rPr>
                <w:rFonts w:cs="Arial"/>
                <w:b/>
                <w:bCs/>
                <w:color w:val="000000"/>
              </w:rPr>
            </w:pPr>
            <w:r w:rsidRPr="00B85D62">
              <w:rPr>
                <w:rFonts w:cs="Arial"/>
                <w:b/>
                <w:bCs/>
              </w:rPr>
              <w:t>Tilney, 2019</w:t>
            </w:r>
          </w:p>
        </w:tc>
        <w:tc>
          <w:tcPr>
            <w:tcW w:w="0" w:type="auto"/>
            <w:shd w:val="clear" w:color="auto" w:fill="auto"/>
          </w:tcPr>
          <w:p w14:paraId="0C9291CC" w14:textId="77777777" w:rsidR="002E2FFB" w:rsidRPr="00B85D62" w:rsidRDefault="002E2FFB" w:rsidP="0066232B">
            <w:pPr>
              <w:jc w:val="center"/>
              <w:rPr>
                <w:rFonts w:cs="Arial"/>
                <w:color w:val="000000"/>
              </w:rPr>
            </w:pPr>
            <w:r w:rsidRPr="00B85D62">
              <w:rPr>
                <w:rFonts w:cs="Arial"/>
              </w:rPr>
              <w:t>Malta</w:t>
            </w:r>
          </w:p>
        </w:tc>
        <w:tc>
          <w:tcPr>
            <w:tcW w:w="0" w:type="auto"/>
            <w:shd w:val="clear" w:color="auto" w:fill="auto"/>
          </w:tcPr>
          <w:p w14:paraId="6DEFEDB6" w14:textId="77777777" w:rsidR="002E2FFB" w:rsidRPr="00B85D62" w:rsidRDefault="002E2FFB" w:rsidP="0066232B">
            <w:pPr>
              <w:jc w:val="center"/>
              <w:rPr>
                <w:rFonts w:cs="Arial"/>
                <w:color w:val="000000"/>
              </w:rPr>
            </w:pPr>
            <w:r w:rsidRPr="00B85D62">
              <w:rPr>
                <w:rFonts w:cs="Arial"/>
              </w:rPr>
              <w:t>9</w:t>
            </w:r>
          </w:p>
        </w:tc>
        <w:tc>
          <w:tcPr>
            <w:tcW w:w="0" w:type="auto"/>
            <w:shd w:val="clear" w:color="auto" w:fill="auto"/>
          </w:tcPr>
          <w:p w14:paraId="287F5E92" w14:textId="77777777" w:rsidR="002E2FFB" w:rsidRPr="00B85D62" w:rsidRDefault="002E2FFB" w:rsidP="0066232B">
            <w:pPr>
              <w:jc w:val="center"/>
              <w:rPr>
                <w:rFonts w:cs="Arial"/>
                <w:color w:val="000000"/>
              </w:rPr>
            </w:pPr>
            <w:r w:rsidRPr="00B85D62">
              <w:rPr>
                <w:rFonts w:cs="Arial"/>
              </w:rPr>
              <w:t>Both</w:t>
            </w:r>
          </w:p>
        </w:tc>
        <w:tc>
          <w:tcPr>
            <w:tcW w:w="0" w:type="auto"/>
            <w:shd w:val="clear" w:color="auto" w:fill="auto"/>
          </w:tcPr>
          <w:p w14:paraId="395BDFD4"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14A6AB39" w14:textId="77777777" w:rsidR="002E2FFB" w:rsidRPr="00B85D62" w:rsidRDefault="002E2FFB" w:rsidP="0066232B">
            <w:pPr>
              <w:jc w:val="center"/>
              <w:rPr>
                <w:rFonts w:cs="Arial"/>
                <w:color w:val="000000"/>
              </w:rPr>
            </w:pPr>
            <w:r w:rsidRPr="00B85D62">
              <w:rPr>
                <w:rFonts w:cs="Arial"/>
              </w:rPr>
              <w:t>First degree</w:t>
            </w:r>
          </w:p>
        </w:tc>
        <w:tc>
          <w:tcPr>
            <w:tcW w:w="0" w:type="auto"/>
            <w:shd w:val="clear" w:color="auto" w:fill="auto"/>
          </w:tcPr>
          <w:p w14:paraId="59037010" w14:textId="77777777" w:rsidR="002E2FFB" w:rsidRPr="00B85D62" w:rsidRDefault="002E2FFB" w:rsidP="0066232B">
            <w:pPr>
              <w:jc w:val="center"/>
              <w:rPr>
                <w:rFonts w:cs="Arial"/>
                <w:color w:val="000000"/>
              </w:rPr>
            </w:pPr>
            <w:r w:rsidRPr="00B85D62">
              <w:rPr>
                <w:rFonts w:cs="Arial"/>
              </w:rPr>
              <w:t>Clinical (DCLN)</w:t>
            </w:r>
          </w:p>
        </w:tc>
        <w:tc>
          <w:tcPr>
            <w:tcW w:w="0" w:type="auto"/>
            <w:shd w:val="clear" w:color="auto" w:fill="auto"/>
          </w:tcPr>
          <w:p w14:paraId="73EF0527" w14:textId="77777777" w:rsidR="002E2FFB" w:rsidRPr="00B85D62" w:rsidRDefault="002E2FFB" w:rsidP="0066232B">
            <w:pPr>
              <w:jc w:val="center"/>
              <w:rPr>
                <w:rFonts w:cs="Arial"/>
                <w:color w:val="000000"/>
              </w:rPr>
            </w:pPr>
            <w:r w:rsidRPr="00B85D62">
              <w:rPr>
                <w:rFonts w:cs="Arial"/>
              </w:rPr>
              <w:t>Clinical (DCLN)</w:t>
            </w:r>
          </w:p>
        </w:tc>
        <w:tc>
          <w:tcPr>
            <w:tcW w:w="0" w:type="auto"/>
            <w:shd w:val="clear" w:color="auto" w:fill="auto"/>
          </w:tcPr>
          <w:p w14:paraId="33A5A639" w14:textId="77777777" w:rsidR="002E2FFB" w:rsidRPr="00B85D62" w:rsidRDefault="002E2FFB" w:rsidP="0066232B">
            <w:pPr>
              <w:jc w:val="center"/>
              <w:rPr>
                <w:rFonts w:cs="Arial"/>
              </w:rPr>
            </w:pPr>
            <w:r w:rsidRPr="00B85D62">
              <w:rPr>
                <w:rFonts w:cs="Arial"/>
              </w:rPr>
              <w:t>Moderate</w:t>
            </w:r>
          </w:p>
        </w:tc>
      </w:tr>
      <w:tr w:rsidR="00B85D62" w:rsidRPr="00B85D62" w14:paraId="704FECC2" w14:textId="77777777" w:rsidTr="00B85D62">
        <w:trPr>
          <w:cantSplit/>
        </w:trPr>
        <w:tc>
          <w:tcPr>
            <w:tcW w:w="0" w:type="auto"/>
            <w:shd w:val="clear" w:color="auto" w:fill="auto"/>
          </w:tcPr>
          <w:p w14:paraId="52482BED" w14:textId="77777777" w:rsidR="002E2FFB" w:rsidRPr="00B85D62" w:rsidRDefault="002E2FFB" w:rsidP="0066232B">
            <w:pPr>
              <w:jc w:val="center"/>
              <w:rPr>
                <w:rFonts w:cs="Arial"/>
                <w:b/>
                <w:bCs/>
                <w:color w:val="000000"/>
              </w:rPr>
            </w:pPr>
            <w:r w:rsidRPr="00B85D62">
              <w:rPr>
                <w:rFonts w:cs="Arial"/>
                <w:b/>
                <w:bCs/>
              </w:rPr>
              <w:t>Umans-Eckenhausen, 2001</w:t>
            </w:r>
          </w:p>
        </w:tc>
        <w:tc>
          <w:tcPr>
            <w:tcW w:w="0" w:type="auto"/>
            <w:shd w:val="clear" w:color="auto" w:fill="auto"/>
          </w:tcPr>
          <w:p w14:paraId="35CA03D5" w14:textId="77777777" w:rsidR="002E2FFB" w:rsidRPr="00B85D62" w:rsidRDefault="002E2FFB" w:rsidP="0066232B">
            <w:pPr>
              <w:jc w:val="center"/>
              <w:rPr>
                <w:rFonts w:cs="Arial"/>
                <w:color w:val="000000"/>
              </w:rPr>
            </w:pPr>
            <w:r w:rsidRPr="00B85D62">
              <w:rPr>
                <w:rFonts w:cs="Arial"/>
              </w:rPr>
              <w:t>Netherlands</w:t>
            </w:r>
          </w:p>
        </w:tc>
        <w:tc>
          <w:tcPr>
            <w:tcW w:w="0" w:type="auto"/>
            <w:shd w:val="clear" w:color="auto" w:fill="auto"/>
          </w:tcPr>
          <w:p w14:paraId="2201C8F7" w14:textId="77777777" w:rsidR="002E2FFB" w:rsidRPr="00B85D62" w:rsidRDefault="002E2FFB" w:rsidP="0066232B">
            <w:pPr>
              <w:jc w:val="center"/>
              <w:rPr>
                <w:rFonts w:cs="Arial"/>
                <w:color w:val="000000"/>
              </w:rPr>
            </w:pPr>
            <w:r w:rsidRPr="00B85D62">
              <w:rPr>
                <w:rFonts w:cs="Arial"/>
              </w:rPr>
              <w:t>237*</w:t>
            </w:r>
          </w:p>
        </w:tc>
        <w:tc>
          <w:tcPr>
            <w:tcW w:w="0" w:type="auto"/>
            <w:shd w:val="clear" w:color="auto" w:fill="auto"/>
          </w:tcPr>
          <w:p w14:paraId="39876341" w14:textId="77777777" w:rsidR="002E2FFB" w:rsidRPr="00B85D62" w:rsidRDefault="002E2FFB" w:rsidP="0066232B">
            <w:pPr>
              <w:jc w:val="center"/>
              <w:rPr>
                <w:rFonts w:cs="Arial"/>
                <w:color w:val="000000"/>
              </w:rPr>
            </w:pPr>
            <w:r w:rsidRPr="00B85D62">
              <w:rPr>
                <w:rFonts w:cs="Arial"/>
              </w:rPr>
              <w:t>Direct</w:t>
            </w:r>
          </w:p>
        </w:tc>
        <w:tc>
          <w:tcPr>
            <w:tcW w:w="0" w:type="auto"/>
            <w:shd w:val="clear" w:color="auto" w:fill="auto"/>
          </w:tcPr>
          <w:p w14:paraId="19F77EF2"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46CDC495" w14:textId="77777777" w:rsidR="002E2FFB" w:rsidRPr="00B85D62" w:rsidRDefault="002E2FFB" w:rsidP="0066232B">
            <w:pPr>
              <w:jc w:val="center"/>
              <w:rPr>
                <w:rFonts w:cs="Arial"/>
                <w:color w:val="000000"/>
              </w:rPr>
            </w:pPr>
            <w:r w:rsidRPr="00B85D62">
              <w:rPr>
                <w:rFonts w:cs="Arial"/>
              </w:rPr>
              <w:t>Second degree</w:t>
            </w:r>
          </w:p>
        </w:tc>
        <w:tc>
          <w:tcPr>
            <w:tcW w:w="0" w:type="auto"/>
            <w:shd w:val="clear" w:color="auto" w:fill="auto"/>
          </w:tcPr>
          <w:p w14:paraId="5EFB6A95"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6E34C9E4"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7A322204" w14:textId="77777777" w:rsidR="002E2FFB" w:rsidRPr="00B85D62" w:rsidRDefault="002E2FFB" w:rsidP="0066232B">
            <w:pPr>
              <w:jc w:val="center"/>
              <w:rPr>
                <w:rFonts w:cs="Arial"/>
              </w:rPr>
            </w:pPr>
            <w:r w:rsidRPr="00B85D62">
              <w:rPr>
                <w:rFonts w:cs="Arial"/>
              </w:rPr>
              <w:t>Moderate</w:t>
            </w:r>
          </w:p>
        </w:tc>
      </w:tr>
      <w:tr w:rsidR="00B85D62" w:rsidRPr="00B85D62" w14:paraId="7BDEF3BD" w14:textId="77777777" w:rsidTr="00B85D62">
        <w:trPr>
          <w:cantSplit/>
        </w:trPr>
        <w:tc>
          <w:tcPr>
            <w:tcW w:w="0" w:type="auto"/>
            <w:shd w:val="clear" w:color="auto" w:fill="auto"/>
          </w:tcPr>
          <w:p w14:paraId="453AD1AD" w14:textId="77777777" w:rsidR="002E2FFB" w:rsidRPr="00B85D62" w:rsidRDefault="002E2FFB" w:rsidP="0066232B">
            <w:pPr>
              <w:jc w:val="center"/>
              <w:rPr>
                <w:rFonts w:cs="Arial"/>
                <w:b/>
                <w:bCs/>
                <w:color w:val="000000"/>
              </w:rPr>
            </w:pPr>
            <w:r w:rsidRPr="00B85D62">
              <w:rPr>
                <w:rFonts w:cs="Arial"/>
                <w:b/>
                <w:bCs/>
              </w:rPr>
              <w:t>Webster, 2019</w:t>
            </w:r>
          </w:p>
        </w:tc>
        <w:tc>
          <w:tcPr>
            <w:tcW w:w="0" w:type="auto"/>
            <w:shd w:val="clear" w:color="auto" w:fill="auto"/>
          </w:tcPr>
          <w:p w14:paraId="7C8AB5C8" w14:textId="77777777" w:rsidR="002E2FFB" w:rsidRPr="00B85D62" w:rsidRDefault="002E2FFB" w:rsidP="0066232B">
            <w:pPr>
              <w:jc w:val="center"/>
              <w:rPr>
                <w:rFonts w:cs="Arial"/>
                <w:color w:val="000000"/>
              </w:rPr>
            </w:pPr>
            <w:r w:rsidRPr="00B85D62">
              <w:rPr>
                <w:rFonts w:cs="Arial"/>
              </w:rPr>
              <w:t>England</w:t>
            </w:r>
          </w:p>
        </w:tc>
        <w:tc>
          <w:tcPr>
            <w:tcW w:w="0" w:type="auto"/>
            <w:shd w:val="clear" w:color="auto" w:fill="auto"/>
          </w:tcPr>
          <w:p w14:paraId="706CB4FC" w14:textId="77777777" w:rsidR="002E2FFB" w:rsidRPr="00B85D62" w:rsidRDefault="002E2FFB" w:rsidP="0066232B">
            <w:pPr>
              <w:jc w:val="center"/>
              <w:rPr>
                <w:rFonts w:cs="Arial"/>
                <w:color w:val="000000"/>
              </w:rPr>
            </w:pPr>
            <w:r w:rsidRPr="00B85D62">
              <w:rPr>
                <w:rFonts w:cs="Arial"/>
              </w:rPr>
              <w:t>215</w:t>
            </w:r>
          </w:p>
        </w:tc>
        <w:tc>
          <w:tcPr>
            <w:tcW w:w="0" w:type="auto"/>
            <w:shd w:val="clear" w:color="auto" w:fill="auto"/>
          </w:tcPr>
          <w:p w14:paraId="15682727" w14:textId="77777777" w:rsidR="002E2FFB" w:rsidRPr="00B85D62" w:rsidRDefault="002E2FFB" w:rsidP="0066232B">
            <w:pPr>
              <w:jc w:val="center"/>
              <w:rPr>
                <w:rFonts w:cs="Arial"/>
                <w:color w:val="000000"/>
              </w:rPr>
            </w:pPr>
            <w:r w:rsidRPr="00B85D62">
              <w:rPr>
                <w:rFonts w:cs="Arial"/>
              </w:rPr>
              <w:t>Both</w:t>
            </w:r>
          </w:p>
        </w:tc>
        <w:tc>
          <w:tcPr>
            <w:tcW w:w="0" w:type="auto"/>
            <w:shd w:val="clear" w:color="auto" w:fill="auto"/>
          </w:tcPr>
          <w:p w14:paraId="57B2C388" w14:textId="77777777" w:rsidR="002E2FFB" w:rsidRPr="00B85D62" w:rsidRDefault="002E2FFB" w:rsidP="0066232B">
            <w:pPr>
              <w:jc w:val="center"/>
              <w:rPr>
                <w:rFonts w:cs="Arial"/>
                <w:color w:val="000000"/>
              </w:rPr>
            </w:pPr>
            <w:r w:rsidRPr="00B85D62">
              <w:rPr>
                <w:rFonts w:cs="Arial"/>
              </w:rPr>
              <w:t>Forward</w:t>
            </w:r>
          </w:p>
        </w:tc>
        <w:tc>
          <w:tcPr>
            <w:tcW w:w="0" w:type="auto"/>
            <w:shd w:val="clear" w:color="auto" w:fill="auto"/>
          </w:tcPr>
          <w:p w14:paraId="00041360" w14:textId="77777777" w:rsidR="002E2FFB" w:rsidRPr="00B85D62" w:rsidRDefault="002E2FFB" w:rsidP="0066232B">
            <w:pPr>
              <w:jc w:val="center"/>
              <w:rPr>
                <w:rFonts w:cs="Arial"/>
                <w:color w:val="000000"/>
              </w:rPr>
            </w:pPr>
            <w:r w:rsidRPr="00B85D62">
              <w:rPr>
                <w:rFonts w:cs="Arial"/>
              </w:rPr>
              <w:t>Not reported</w:t>
            </w:r>
          </w:p>
        </w:tc>
        <w:tc>
          <w:tcPr>
            <w:tcW w:w="0" w:type="auto"/>
            <w:shd w:val="clear" w:color="auto" w:fill="auto"/>
          </w:tcPr>
          <w:p w14:paraId="3767EA9F"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28A097B4" w14:textId="77777777" w:rsidR="002E2FFB" w:rsidRPr="00B85D62" w:rsidRDefault="002E2FFB" w:rsidP="0066232B">
            <w:pPr>
              <w:jc w:val="center"/>
              <w:rPr>
                <w:rFonts w:cs="Arial"/>
                <w:color w:val="000000"/>
              </w:rPr>
            </w:pPr>
            <w:r w:rsidRPr="00B85D62">
              <w:rPr>
                <w:rFonts w:cs="Arial"/>
              </w:rPr>
              <w:t>Genetic</w:t>
            </w:r>
          </w:p>
        </w:tc>
        <w:tc>
          <w:tcPr>
            <w:tcW w:w="0" w:type="auto"/>
            <w:shd w:val="clear" w:color="auto" w:fill="auto"/>
          </w:tcPr>
          <w:p w14:paraId="33E88FBC" w14:textId="77777777" w:rsidR="002E2FFB" w:rsidRPr="00B85D62" w:rsidRDefault="002E2FFB" w:rsidP="0066232B">
            <w:pPr>
              <w:jc w:val="center"/>
              <w:rPr>
                <w:rFonts w:cs="Arial"/>
              </w:rPr>
            </w:pPr>
            <w:r w:rsidRPr="00B85D62">
              <w:rPr>
                <w:rFonts w:cs="Arial"/>
              </w:rPr>
              <w:t>Moderate</w:t>
            </w:r>
          </w:p>
        </w:tc>
      </w:tr>
    </w:tbl>
    <w:p w14:paraId="37D76890" w14:textId="77777777" w:rsidR="00B85D62" w:rsidRPr="00B85D62" w:rsidRDefault="002E2FFB" w:rsidP="0066232B">
      <w:pPr>
        <w:rPr>
          <w:rFonts w:cs="Arial"/>
        </w:rPr>
      </w:pPr>
      <w:r w:rsidRPr="00B85D62">
        <w:rPr>
          <w:rFonts w:eastAsia="Calibri" w:cs="Arial"/>
        </w:rPr>
        <w:t xml:space="preserve">* Number of confirmed index cases involved in cascade testing strategy used because number of confirmed index cases enrolled in study was not reported, </w:t>
      </w:r>
      <w:r w:rsidRPr="00B85D62">
        <w:rPr>
          <w:rFonts w:cs="Arial"/>
        </w:rPr>
        <w:t>† an additional 43 index cases were included in the cascade testing strategy who did not meet criteria for FH diagnosis</w:t>
      </w:r>
    </w:p>
    <w:p w14:paraId="0293A26E" w14:textId="4CB78789" w:rsidR="002E2FFB" w:rsidRPr="00B85D62" w:rsidRDefault="54F9349D" w:rsidP="0066232B">
      <w:pPr>
        <w:spacing w:before="120" w:after="120"/>
        <w:jc w:val="both"/>
        <w:rPr>
          <w:rFonts w:eastAsia="Arial" w:cs="Arial"/>
          <w:lang w:eastAsia="ja-JP"/>
        </w:rPr>
      </w:pPr>
      <w:r w:rsidRPr="00B85D62">
        <w:rPr>
          <w:rFonts w:eastAsia="Arial" w:cs="Arial"/>
          <w:lang w:eastAsia="ja-JP"/>
        </w:rPr>
        <w:t xml:space="preserve">Of the 24 included studies, 16 were conducted in Europe (England </w:t>
      </w:r>
      <w:r w:rsidR="00F80015" w:rsidRPr="00B85D62">
        <w:rPr>
          <w:rFonts w:cs="Arial"/>
          <w:noProof/>
          <w:vertAlign w:val="superscript"/>
          <w:lang w:eastAsia="ja-JP"/>
        </w:rPr>
        <w:t>36, 37, 42, 45, 46, 52</w:t>
      </w:r>
      <w:r w:rsidRPr="00B85D62">
        <w:rPr>
          <w:rFonts w:eastAsia="Arial" w:cs="Arial"/>
          <w:lang w:eastAsia="ja-JP"/>
        </w:rPr>
        <w:t xml:space="preserve">, Wales </w:t>
      </w:r>
      <w:r w:rsidR="00F80015" w:rsidRPr="00B85D62">
        <w:rPr>
          <w:rFonts w:cs="Arial"/>
          <w:noProof/>
          <w:vertAlign w:val="superscript"/>
          <w:lang w:eastAsia="ja-JP"/>
        </w:rPr>
        <w:t>40</w:t>
      </w:r>
      <w:r w:rsidRPr="00B85D62">
        <w:rPr>
          <w:rFonts w:eastAsia="Arial" w:cs="Arial"/>
          <w:lang w:eastAsia="ja-JP"/>
        </w:rPr>
        <w:t xml:space="preserve">, Belgium </w:t>
      </w:r>
      <w:r w:rsidR="00F80015" w:rsidRPr="00B85D62">
        <w:rPr>
          <w:rFonts w:cs="Arial"/>
          <w:noProof/>
          <w:vertAlign w:val="superscript"/>
          <w:lang w:eastAsia="ja-JP"/>
        </w:rPr>
        <w:t>57</w:t>
      </w:r>
      <w:r w:rsidRPr="00B85D62">
        <w:rPr>
          <w:rFonts w:eastAsia="Arial" w:cs="Arial"/>
          <w:lang w:eastAsia="ja-JP"/>
        </w:rPr>
        <w:t xml:space="preserve">, Denmark </w:t>
      </w:r>
      <w:r w:rsidR="00F80015" w:rsidRPr="00B85D62">
        <w:rPr>
          <w:rFonts w:cs="Arial"/>
          <w:noProof/>
          <w:vertAlign w:val="superscript"/>
          <w:lang w:eastAsia="ja-JP"/>
        </w:rPr>
        <w:t>34, 53</w:t>
      </w:r>
      <w:r w:rsidRPr="00B85D62">
        <w:rPr>
          <w:rFonts w:eastAsia="Arial" w:cs="Arial"/>
          <w:lang w:eastAsia="ja-JP"/>
        </w:rPr>
        <w:t xml:space="preserve">, Latvia </w:t>
      </w:r>
      <w:r w:rsidR="00F80015" w:rsidRPr="00B85D62">
        <w:rPr>
          <w:rFonts w:cs="Arial"/>
          <w:noProof/>
          <w:vertAlign w:val="superscript"/>
          <w:lang w:eastAsia="ja-JP"/>
        </w:rPr>
        <w:t>44</w:t>
      </w:r>
      <w:r w:rsidRPr="00B85D62">
        <w:rPr>
          <w:rFonts w:eastAsia="Arial" w:cs="Arial"/>
          <w:lang w:eastAsia="ja-JP"/>
        </w:rPr>
        <w:t xml:space="preserve">, the Netherlands </w:t>
      </w:r>
      <w:r w:rsidR="00F80015" w:rsidRPr="00B85D62">
        <w:rPr>
          <w:rFonts w:cs="Arial"/>
          <w:noProof/>
          <w:vertAlign w:val="superscript"/>
          <w:lang w:eastAsia="ja-JP"/>
        </w:rPr>
        <w:t>51</w:t>
      </w:r>
      <w:r w:rsidRPr="00B85D62">
        <w:rPr>
          <w:rFonts w:eastAsia="Arial" w:cs="Arial"/>
          <w:lang w:eastAsia="ja-JP"/>
        </w:rPr>
        <w:t>, Norway</w:t>
      </w:r>
      <w:r w:rsidR="00F80015" w:rsidRPr="00B85D62">
        <w:rPr>
          <w:rFonts w:cs="Arial"/>
          <w:noProof/>
          <w:vertAlign w:val="superscript"/>
          <w:lang w:eastAsia="ja-JP"/>
        </w:rPr>
        <w:t>56</w:t>
      </w:r>
      <w:r w:rsidRPr="00B85D62">
        <w:rPr>
          <w:rFonts w:eastAsia="Arial" w:cs="Arial"/>
          <w:lang w:eastAsia="ja-JP"/>
        </w:rPr>
        <w:t xml:space="preserve">, Spain </w:t>
      </w:r>
      <w:r w:rsidR="00F80015" w:rsidRPr="00B85D62">
        <w:rPr>
          <w:rFonts w:cs="Arial"/>
          <w:noProof/>
          <w:vertAlign w:val="superscript"/>
          <w:lang w:eastAsia="ja-JP"/>
        </w:rPr>
        <w:t>41</w:t>
      </w:r>
      <w:r w:rsidRPr="00B85D62">
        <w:rPr>
          <w:rFonts w:eastAsia="Arial" w:cs="Arial"/>
          <w:lang w:eastAsia="ja-JP"/>
        </w:rPr>
        <w:t xml:space="preserve">, Malta </w:t>
      </w:r>
      <w:r w:rsidR="00F80015" w:rsidRPr="00B85D62">
        <w:rPr>
          <w:rFonts w:cs="Arial"/>
          <w:noProof/>
          <w:vertAlign w:val="superscript"/>
          <w:lang w:eastAsia="ja-JP"/>
        </w:rPr>
        <w:t>50</w:t>
      </w:r>
      <w:r w:rsidRPr="00B85D62">
        <w:rPr>
          <w:rFonts w:eastAsia="Arial" w:cs="Arial"/>
          <w:lang w:eastAsia="ja-JP"/>
        </w:rPr>
        <w:t xml:space="preserve">, Estonia </w:t>
      </w:r>
      <w:r w:rsidR="00F80015" w:rsidRPr="00B85D62">
        <w:rPr>
          <w:rFonts w:cs="Arial"/>
          <w:noProof/>
          <w:vertAlign w:val="superscript"/>
          <w:lang w:eastAsia="ja-JP"/>
        </w:rPr>
        <w:t>33</w:t>
      </w:r>
      <w:r w:rsidRPr="00B85D62">
        <w:rPr>
          <w:rFonts w:eastAsia="Arial" w:cs="Arial"/>
          <w:lang w:eastAsia="ja-JP"/>
        </w:rPr>
        <w:t xml:space="preserve">), one from Australia </w:t>
      </w:r>
      <w:r w:rsidR="00F80015" w:rsidRPr="00B85D62">
        <w:rPr>
          <w:rFonts w:cs="Arial"/>
          <w:noProof/>
          <w:vertAlign w:val="superscript"/>
          <w:lang w:eastAsia="ja-JP"/>
        </w:rPr>
        <w:t>35</w:t>
      </w:r>
      <w:r w:rsidRPr="00B85D62">
        <w:rPr>
          <w:rFonts w:eastAsia="Arial" w:cs="Arial"/>
          <w:lang w:eastAsia="ja-JP"/>
        </w:rPr>
        <w:t xml:space="preserve">, three in the Americas (North America </w:t>
      </w:r>
      <w:r w:rsidR="00F80015" w:rsidRPr="00B85D62">
        <w:rPr>
          <w:rFonts w:cs="Arial"/>
          <w:noProof/>
          <w:vertAlign w:val="superscript"/>
          <w:lang w:eastAsia="ja-JP"/>
        </w:rPr>
        <w:t>39, 48</w:t>
      </w:r>
      <w:r w:rsidRPr="00B85D62">
        <w:rPr>
          <w:rFonts w:eastAsia="Arial" w:cs="Arial"/>
          <w:lang w:eastAsia="ja-JP"/>
        </w:rPr>
        <w:t xml:space="preserve">, Brazil </w:t>
      </w:r>
      <w:r w:rsidR="00F80015" w:rsidRPr="00B85D62">
        <w:rPr>
          <w:rFonts w:cs="Arial"/>
          <w:noProof/>
          <w:vertAlign w:val="superscript"/>
          <w:lang w:eastAsia="ja-JP"/>
        </w:rPr>
        <w:t>43</w:t>
      </w:r>
      <w:r w:rsidRPr="00B85D62">
        <w:rPr>
          <w:rFonts w:eastAsia="Arial" w:cs="Arial"/>
          <w:lang w:eastAsia="ja-JP"/>
        </w:rPr>
        <w:t xml:space="preserve">), one in New Zealand </w:t>
      </w:r>
      <w:r w:rsidR="00F80015" w:rsidRPr="00B85D62">
        <w:rPr>
          <w:rFonts w:cs="Arial"/>
          <w:noProof/>
          <w:vertAlign w:val="superscript"/>
          <w:lang w:eastAsia="ja-JP"/>
        </w:rPr>
        <w:t>47</w:t>
      </w:r>
      <w:r w:rsidRPr="00B85D62">
        <w:rPr>
          <w:rFonts w:eastAsia="Arial" w:cs="Arial"/>
          <w:lang w:eastAsia="ja-JP"/>
        </w:rPr>
        <w:t xml:space="preserve">, two in Asia (India </w:t>
      </w:r>
      <w:r w:rsidR="00F80015" w:rsidRPr="00B85D62">
        <w:rPr>
          <w:rFonts w:cs="Arial"/>
          <w:noProof/>
          <w:vertAlign w:val="superscript"/>
          <w:lang w:eastAsia="ja-JP"/>
        </w:rPr>
        <w:t>49</w:t>
      </w:r>
      <w:r w:rsidRPr="00B85D62">
        <w:rPr>
          <w:rFonts w:eastAsia="Arial" w:cs="Arial"/>
          <w:lang w:eastAsia="ja-JP"/>
        </w:rPr>
        <w:t xml:space="preserve">, Hong Kong </w:t>
      </w:r>
      <w:r w:rsidR="00F80015" w:rsidRPr="00B85D62">
        <w:rPr>
          <w:rFonts w:cs="Arial"/>
          <w:noProof/>
          <w:vertAlign w:val="superscript"/>
          <w:lang w:eastAsia="ja-JP"/>
        </w:rPr>
        <w:t>38</w:t>
      </w:r>
      <w:r w:rsidRPr="00B85D62">
        <w:rPr>
          <w:rFonts w:eastAsia="Arial" w:cs="Arial"/>
          <w:lang w:eastAsia="ja-JP"/>
        </w:rPr>
        <w:t xml:space="preserve">), and one in South Africa </w:t>
      </w:r>
      <w:r w:rsidR="00F80015" w:rsidRPr="00B85D62">
        <w:rPr>
          <w:rFonts w:cs="Arial"/>
          <w:noProof/>
          <w:vertAlign w:val="superscript"/>
          <w:lang w:eastAsia="ja-JP"/>
        </w:rPr>
        <w:t>55</w:t>
      </w:r>
      <w:r w:rsidRPr="00B85D62">
        <w:rPr>
          <w:rFonts w:eastAsia="Arial" w:cs="Arial"/>
          <w:lang w:eastAsia="ja-JP"/>
        </w:rPr>
        <w:t>. All studies used an observational design to assess the outcome measures.</w:t>
      </w:r>
      <w:r w:rsidR="5B90778A" w:rsidRPr="00B85D62">
        <w:rPr>
          <w:rFonts w:eastAsia="Arial" w:cs="Arial"/>
          <w:lang w:eastAsia="ja-JP"/>
        </w:rPr>
        <w:t xml:space="preserve"> </w:t>
      </w:r>
      <w:r w:rsidRPr="00B85D62">
        <w:rPr>
          <w:rFonts w:eastAsia="Arial" w:cs="Arial"/>
          <w:lang w:eastAsia="ja-JP"/>
        </w:rPr>
        <w:t>The average number of confirmed index cases enrolled in the studies was 242, with sample sizes ranging from 2 to approx. 1300 participants.</w:t>
      </w:r>
    </w:p>
    <w:p w14:paraId="74CB0A7C" w14:textId="4631A0E9" w:rsidR="002E2FFB" w:rsidRPr="00B85D62" w:rsidRDefault="54F9349D" w:rsidP="0066232B">
      <w:pPr>
        <w:spacing w:before="120" w:after="120"/>
        <w:jc w:val="both"/>
        <w:rPr>
          <w:rFonts w:eastAsia="Arial" w:cs="Arial"/>
          <w:lang w:eastAsia="ja-JP"/>
        </w:rPr>
      </w:pPr>
      <w:r w:rsidRPr="00B85D62">
        <w:rPr>
          <w:rFonts w:eastAsia="Arial" w:cs="Arial"/>
          <w:lang w:eastAsia="ja-JP"/>
        </w:rPr>
        <w:t xml:space="preserve">The direct method of cascade testing contact in relatives was used in 12 studies </w:t>
      </w:r>
      <w:r w:rsidR="00F80015" w:rsidRPr="00B85D62">
        <w:rPr>
          <w:rFonts w:cs="Arial"/>
          <w:noProof/>
          <w:vertAlign w:val="superscript"/>
          <w:lang w:eastAsia="ja-JP"/>
        </w:rPr>
        <w:t>34, 36, 39, 41, 43, 46, 47, 49, 51, 53</w:t>
      </w:r>
      <w:r w:rsidR="00B85D62" w:rsidRPr="00B85D62">
        <w:rPr>
          <w:rFonts w:cs="Arial"/>
          <w:noProof/>
          <w:color w:val="00B0F0"/>
          <w:vertAlign w:val="superscript"/>
          <w:lang w:eastAsia="ja-JP"/>
        </w:rPr>
        <w:t>–</w:t>
      </w:r>
      <w:r w:rsidR="00B85D62" w:rsidRPr="00B85D62">
        <w:rPr>
          <w:rFonts w:cs="Arial"/>
          <w:noProof/>
          <w:color w:val="00B0F0"/>
          <w:vertAlign w:val="superscript"/>
          <w:lang w:eastAsia="ja-JP"/>
        </w:rPr>
        <w:t>5</w:t>
      </w:r>
      <w:r w:rsidR="00F80015" w:rsidRPr="00B85D62">
        <w:rPr>
          <w:rFonts w:cs="Arial"/>
          <w:noProof/>
          <w:vertAlign w:val="superscript"/>
          <w:lang w:eastAsia="ja-JP"/>
        </w:rPr>
        <w:t>5</w:t>
      </w:r>
      <w:r w:rsidRPr="00B85D62">
        <w:rPr>
          <w:rFonts w:eastAsia="Arial" w:cs="Arial"/>
          <w:lang w:eastAsia="ja-JP"/>
        </w:rPr>
        <w:t xml:space="preserve">, a further seven studies used an indirect method </w:t>
      </w:r>
      <w:r w:rsidR="00F80015" w:rsidRPr="00B85D62">
        <w:rPr>
          <w:rFonts w:cs="Arial"/>
          <w:noProof/>
          <w:vertAlign w:val="superscript"/>
          <w:lang w:eastAsia="ja-JP"/>
        </w:rPr>
        <w:t>33, 37, 38, 44, 45, 48, 56</w:t>
      </w:r>
      <w:r w:rsidRPr="00B85D62">
        <w:rPr>
          <w:rFonts w:eastAsia="Arial" w:cs="Arial"/>
          <w:lang w:eastAsia="ja-JP"/>
        </w:rPr>
        <w:t xml:space="preserve">, and the remaining five used a combination of direct and indirect methods </w:t>
      </w:r>
      <w:r w:rsidR="00F80015" w:rsidRPr="00B85D62">
        <w:rPr>
          <w:rFonts w:cs="Arial"/>
          <w:noProof/>
          <w:vertAlign w:val="superscript"/>
          <w:lang w:eastAsia="ja-JP"/>
        </w:rPr>
        <w:t>35, 40, 42, 50, 52</w:t>
      </w:r>
      <w:r w:rsidRPr="00B85D62">
        <w:rPr>
          <w:rFonts w:eastAsia="Arial" w:cs="Arial"/>
          <w:lang w:eastAsia="ja-JP"/>
        </w:rPr>
        <w:t>. Contact could be made through a range of approaches, including</w:t>
      </w:r>
      <w:r w:rsidRPr="00B85D62">
        <w:rPr>
          <w:rFonts w:eastAsia="Arial" w:cs="Arial"/>
        </w:rPr>
        <w:t xml:space="preserve"> postal invitation, telephone, in person or a combination of approaches.</w:t>
      </w:r>
      <w:r w:rsidRPr="00B85D62">
        <w:rPr>
          <w:rFonts w:eastAsia="Arial" w:cs="Arial"/>
          <w:lang w:eastAsia="ja-JP"/>
        </w:rPr>
        <w:t xml:space="preserve"> Forward cascade testing was used in the majority of included studies (23 studies) with the remaining study using reverse cascade testing </w:t>
      </w:r>
      <w:r w:rsidR="00F80015" w:rsidRPr="00B85D62">
        <w:rPr>
          <w:rFonts w:cs="Arial"/>
          <w:noProof/>
          <w:vertAlign w:val="superscript"/>
          <w:lang w:eastAsia="ja-JP"/>
        </w:rPr>
        <w:t>53</w:t>
      </w:r>
      <w:r w:rsidRPr="00B85D62">
        <w:rPr>
          <w:rFonts w:eastAsia="Arial" w:cs="Arial"/>
          <w:lang w:eastAsia="ja-JP"/>
        </w:rPr>
        <w:t xml:space="preserve">. Fourteen of the included studies reported the extent of cascade; the majority cascaded to second degree relatives (eight studies, </w:t>
      </w:r>
      <w:r w:rsidR="00F80015" w:rsidRPr="00B85D62">
        <w:rPr>
          <w:rFonts w:cs="Arial"/>
          <w:noProof/>
          <w:vertAlign w:val="superscript"/>
          <w:lang w:eastAsia="ja-JP"/>
        </w:rPr>
        <w:t>33, 34, 38, 43, 46, 49, 51, 54</w:t>
      </w:r>
      <w:r w:rsidRPr="00B85D62">
        <w:rPr>
          <w:rFonts w:eastAsia="Arial" w:cs="Arial"/>
          <w:lang w:eastAsia="ja-JP"/>
        </w:rPr>
        <w:t xml:space="preserve">), with only five studies cascading to first degree </w:t>
      </w:r>
      <w:r w:rsidR="00F80015" w:rsidRPr="00B85D62">
        <w:rPr>
          <w:rFonts w:cs="Arial"/>
          <w:noProof/>
          <w:vertAlign w:val="superscript"/>
          <w:lang w:eastAsia="ja-JP"/>
        </w:rPr>
        <w:t>36, 39, 44, 50, 55</w:t>
      </w:r>
      <w:r w:rsidRPr="00B85D62">
        <w:rPr>
          <w:rFonts w:eastAsia="Arial" w:cs="Arial"/>
          <w:lang w:eastAsia="ja-JP"/>
        </w:rPr>
        <w:t xml:space="preserve"> and one study cascading to third degree </w:t>
      </w:r>
      <w:r w:rsidR="00F80015" w:rsidRPr="00B85D62">
        <w:rPr>
          <w:rFonts w:cs="Arial"/>
          <w:noProof/>
          <w:vertAlign w:val="superscript"/>
          <w:lang w:eastAsia="ja-JP"/>
        </w:rPr>
        <w:t>35</w:t>
      </w:r>
      <w:r w:rsidRPr="00B85D62">
        <w:rPr>
          <w:rFonts w:eastAsia="Arial" w:cs="Arial"/>
          <w:lang w:eastAsia="ja-JP"/>
        </w:rPr>
        <w:t>.</w:t>
      </w:r>
    </w:p>
    <w:p w14:paraId="14469650" w14:textId="607274F6" w:rsidR="00B85D62" w:rsidRPr="00B85D62" w:rsidRDefault="54F9349D" w:rsidP="0066232B">
      <w:pPr>
        <w:jc w:val="both"/>
        <w:rPr>
          <w:rFonts w:eastAsia="Arial" w:cs="Arial"/>
          <w:lang w:eastAsia="ja-JP"/>
        </w:rPr>
      </w:pPr>
      <w:r w:rsidRPr="00B85D62">
        <w:rPr>
          <w:rFonts w:eastAsia="Arial" w:cs="Arial"/>
          <w:lang w:eastAsia="ja-JP"/>
        </w:rPr>
        <w:t xml:space="preserve">The majority of included studies confirmed FH diagnosis in the index cases using genetic testing (14 studies, </w:t>
      </w:r>
      <w:r w:rsidR="00F80015" w:rsidRPr="00B85D62">
        <w:rPr>
          <w:rFonts w:cs="Arial"/>
          <w:noProof/>
          <w:vertAlign w:val="superscript"/>
          <w:lang w:eastAsia="ja-JP"/>
        </w:rPr>
        <w:t>33, 35, 37</w:t>
      </w:r>
      <w:r w:rsidR="00B85D62" w:rsidRPr="00B85D62">
        <w:rPr>
          <w:rFonts w:cs="Arial"/>
          <w:noProof/>
          <w:color w:val="00B0F0"/>
          <w:vertAlign w:val="superscript"/>
          <w:lang w:eastAsia="ja-JP"/>
        </w:rPr>
        <w:t>–</w:t>
      </w:r>
      <w:r w:rsidR="00B85D62" w:rsidRPr="00B85D62">
        <w:rPr>
          <w:rFonts w:cs="Arial"/>
          <w:noProof/>
          <w:color w:val="00B0F0"/>
          <w:vertAlign w:val="superscript"/>
          <w:lang w:eastAsia="ja-JP"/>
        </w:rPr>
        <w:t>4</w:t>
      </w:r>
      <w:r w:rsidR="00F80015" w:rsidRPr="00B85D62">
        <w:rPr>
          <w:rFonts w:cs="Arial"/>
          <w:noProof/>
          <w:vertAlign w:val="superscript"/>
          <w:lang w:eastAsia="ja-JP"/>
        </w:rPr>
        <w:t>1, 43, 47</w:t>
      </w:r>
      <w:r w:rsidR="00B85D62" w:rsidRPr="00B85D62">
        <w:rPr>
          <w:rFonts w:cs="Arial"/>
          <w:noProof/>
          <w:color w:val="00B0F0"/>
          <w:vertAlign w:val="superscript"/>
          <w:lang w:eastAsia="ja-JP"/>
        </w:rPr>
        <w:t>–</w:t>
      </w:r>
      <w:r w:rsidR="00B85D62" w:rsidRPr="00B85D62">
        <w:rPr>
          <w:rFonts w:cs="Arial"/>
          <w:noProof/>
          <w:color w:val="00B0F0"/>
          <w:vertAlign w:val="superscript"/>
          <w:lang w:eastAsia="ja-JP"/>
        </w:rPr>
        <w:t>4</w:t>
      </w:r>
      <w:r w:rsidR="00F80015" w:rsidRPr="00B85D62">
        <w:rPr>
          <w:rFonts w:cs="Arial"/>
          <w:noProof/>
          <w:vertAlign w:val="superscript"/>
          <w:lang w:eastAsia="ja-JP"/>
        </w:rPr>
        <w:t>9, 51, 52, 56</w:t>
      </w:r>
      <w:r w:rsidR="005275E4" w:rsidRPr="00B85D62">
        <w:rPr>
          <w:rFonts w:cs="Arial"/>
          <w:lang w:eastAsia="ja-JP"/>
        </w:rPr>
        <w:t>)</w:t>
      </w:r>
      <w:r w:rsidRPr="00B85D62">
        <w:rPr>
          <w:rFonts w:eastAsia="Arial" w:cs="Arial"/>
          <w:lang w:eastAsia="ja-JP"/>
        </w:rPr>
        <w:t>, nine studies confirmed FH diagnosis in the index cases using clinical assessment based either on S</w:t>
      </w:r>
      <w:r w:rsidR="71F8A90A" w:rsidRPr="00B85D62">
        <w:rPr>
          <w:rFonts w:eastAsia="Arial" w:cs="Arial"/>
          <w:lang w:eastAsia="ja-JP"/>
        </w:rPr>
        <w:t>imon-</w:t>
      </w:r>
      <w:r w:rsidRPr="00B85D62">
        <w:rPr>
          <w:rFonts w:eastAsia="Arial" w:cs="Arial"/>
          <w:lang w:eastAsia="ja-JP"/>
        </w:rPr>
        <w:t>B</w:t>
      </w:r>
      <w:r w:rsidR="17ACB022" w:rsidRPr="00B85D62">
        <w:rPr>
          <w:rFonts w:eastAsia="Arial" w:cs="Arial"/>
          <w:lang w:eastAsia="ja-JP"/>
        </w:rPr>
        <w:t>roome</w:t>
      </w:r>
      <w:r w:rsidRPr="00B85D62">
        <w:rPr>
          <w:rFonts w:eastAsia="Arial" w:cs="Arial"/>
          <w:lang w:eastAsia="ja-JP"/>
        </w:rPr>
        <w:t xml:space="preserve"> (four studies, </w:t>
      </w:r>
      <w:r w:rsidR="00F80015" w:rsidRPr="00B85D62">
        <w:rPr>
          <w:rFonts w:cs="Arial"/>
          <w:noProof/>
          <w:vertAlign w:val="superscript"/>
          <w:lang w:eastAsia="ja-JP"/>
        </w:rPr>
        <w:t>36, 42, 45, 46</w:t>
      </w:r>
      <w:r w:rsidR="005275E4" w:rsidRPr="00B85D62">
        <w:rPr>
          <w:rFonts w:cs="Arial"/>
          <w:lang w:eastAsia="ja-JP"/>
        </w:rPr>
        <w:t>)</w:t>
      </w:r>
      <w:r w:rsidRPr="00B85D62">
        <w:rPr>
          <w:rFonts w:eastAsia="Arial" w:cs="Arial"/>
          <w:lang w:eastAsia="ja-JP"/>
        </w:rPr>
        <w:t>, D</w:t>
      </w:r>
      <w:r w:rsidR="447A13E7" w:rsidRPr="00B85D62">
        <w:rPr>
          <w:rFonts w:eastAsia="Arial" w:cs="Arial"/>
          <w:lang w:eastAsia="ja-JP"/>
        </w:rPr>
        <w:t>L</w:t>
      </w:r>
      <w:r w:rsidRPr="00B85D62">
        <w:rPr>
          <w:rFonts w:eastAsia="Arial" w:cs="Arial"/>
          <w:lang w:eastAsia="ja-JP"/>
        </w:rPr>
        <w:t xml:space="preserve">CN (three studies, </w:t>
      </w:r>
      <w:r w:rsidR="00F80015" w:rsidRPr="00B85D62">
        <w:rPr>
          <w:rFonts w:cs="Arial"/>
          <w:noProof/>
          <w:vertAlign w:val="superscript"/>
          <w:lang w:eastAsia="ja-JP"/>
        </w:rPr>
        <w:t>44, 50, 54</w:t>
      </w:r>
      <w:r w:rsidR="005275E4" w:rsidRPr="00B85D62">
        <w:rPr>
          <w:rFonts w:cs="Arial"/>
          <w:lang w:eastAsia="ja-JP"/>
        </w:rPr>
        <w:t>)</w:t>
      </w:r>
      <w:r w:rsidRPr="00B85D62">
        <w:rPr>
          <w:rFonts w:eastAsia="Arial" w:cs="Arial"/>
          <w:lang w:eastAsia="ja-JP"/>
        </w:rPr>
        <w:t xml:space="preserve">, or study-specific criteria (serum cholesterol </w:t>
      </w:r>
      <w:r w:rsidR="00B85D62" w:rsidRPr="00B85D62">
        <w:rPr>
          <w:rFonts w:eastAsia="Arial" w:cs="Arial"/>
          <w:color w:val="00B0F0"/>
          <w:lang w:eastAsia="ja-JP"/>
        </w:rPr>
        <w:t>≥</w:t>
      </w:r>
      <w:r w:rsidR="00B85D62" w:rsidRPr="00B85D62">
        <w:rPr>
          <w:rFonts w:eastAsia="Arial" w:cs="Arial"/>
          <w:color w:val="00B0F0"/>
          <w:lang w:eastAsia="ja-JP"/>
        </w:rPr>
        <w:t> </w:t>
      </w:r>
      <w:r w:rsidR="00B85D62" w:rsidRPr="00B85D62">
        <w:rPr>
          <w:rFonts w:eastAsia="Arial" w:cs="Arial"/>
          <w:color w:val="00B0F0"/>
          <w:lang w:eastAsia="ja-JP"/>
        </w:rPr>
        <w:t>8</w:t>
      </w:r>
      <w:r w:rsidRPr="00B85D62">
        <w:rPr>
          <w:rFonts w:eastAsia="Arial" w:cs="Arial"/>
          <w:lang w:eastAsia="ja-JP"/>
        </w:rPr>
        <w:t xml:space="preserve">mmol/L and LDL cholesterol </w:t>
      </w:r>
      <w:r w:rsidR="00B85D62" w:rsidRPr="00B85D62">
        <w:rPr>
          <w:rFonts w:eastAsia="Arial" w:cs="Arial"/>
          <w:color w:val="00B0F0"/>
          <w:lang w:eastAsia="ja-JP"/>
        </w:rPr>
        <w:t>≥</w:t>
      </w:r>
      <w:r w:rsidR="00B85D62" w:rsidRPr="00B85D62">
        <w:rPr>
          <w:rFonts w:eastAsia="Arial" w:cs="Arial"/>
          <w:color w:val="00B0F0"/>
          <w:lang w:eastAsia="ja-JP"/>
        </w:rPr>
        <w:t> </w:t>
      </w:r>
      <w:r w:rsidRPr="00B85D62">
        <w:rPr>
          <w:rFonts w:eastAsia="Arial" w:cs="Arial"/>
          <w:lang w:eastAsia="ja-JP"/>
        </w:rPr>
        <w:t xml:space="preserve">6mmol/L and family history of hypercholesterolemia </w:t>
      </w:r>
      <w:r w:rsidR="00F80015" w:rsidRPr="00B85D62">
        <w:rPr>
          <w:rFonts w:cs="Arial"/>
          <w:noProof/>
          <w:vertAlign w:val="superscript"/>
          <w:lang w:eastAsia="ja-JP"/>
        </w:rPr>
        <w:t>34</w:t>
      </w:r>
      <w:r w:rsidRPr="00B85D62">
        <w:rPr>
          <w:rFonts w:eastAsia="Arial" w:cs="Arial"/>
          <w:lang w:eastAsia="ja-JP"/>
        </w:rPr>
        <w:t xml:space="preserve">; apolipoprotein B: apolipoprotein </w:t>
      </w:r>
      <w:r w:rsidR="00B85D62" w:rsidRPr="00B85D62">
        <w:rPr>
          <w:rFonts w:eastAsia="Arial" w:cs="Arial"/>
          <w:color w:val="00B0F0"/>
          <w:lang w:eastAsia="ja-JP"/>
        </w:rPr>
        <w:t>A</w:t>
      </w:r>
      <w:r w:rsidR="00B85D62" w:rsidRPr="00B85D62">
        <w:rPr>
          <w:rFonts w:eastAsia="Arial" w:cs="Arial"/>
          <w:color w:val="00B0F0"/>
          <w:lang w:eastAsia="ja-JP"/>
        </w:rPr>
        <w:t>–</w:t>
      </w:r>
      <w:r w:rsidR="00B85D62" w:rsidRPr="00B85D62">
        <w:rPr>
          <w:rFonts w:eastAsia="Arial" w:cs="Arial"/>
          <w:color w:val="00B0F0"/>
          <w:lang w:eastAsia="ja-JP"/>
        </w:rPr>
        <w:t>1 ratio</w:t>
      </w:r>
      <w:r w:rsidRPr="00B85D62">
        <w:rPr>
          <w:rFonts w:eastAsia="Arial" w:cs="Arial"/>
          <w:lang w:eastAsia="ja-JP"/>
        </w:rPr>
        <w:t xml:space="preserve"> </w:t>
      </w:r>
      <w:r w:rsidR="00B85D62" w:rsidRPr="00B85D62">
        <w:rPr>
          <w:rFonts w:eastAsia="Arial" w:cs="Arial"/>
          <w:color w:val="00B0F0"/>
          <w:lang w:eastAsia="ja-JP"/>
        </w:rPr>
        <w:t>&gt;</w:t>
      </w:r>
      <w:r w:rsidR="00B85D62" w:rsidRPr="00B85D62">
        <w:rPr>
          <w:rFonts w:eastAsia="Arial" w:cs="Arial"/>
          <w:color w:val="00B0F0"/>
          <w:lang w:eastAsia="ja-JP"/>
        </w:rPr>
        <w:t> </w:t>
      </w:r>
      <w:r w:rsidR="00B85D62" w:rsidRPr="00B85D62">
        <w:rPr>
          <w:rFonts w:eastAsia="Arial" w:cs="Arial"/>
          <w:color w:val="00B0F0"/>
          <w:lang w:eastAsia="ja-JP"/>
        </w:rPr>
        <w:t>97th</w:t>
      </w:r>
      <w:r w:rsidRPr="00B85D62">
        <w:rPr>
          <w:rFonts w:eastAsia="Arial" w:cs="Arial"/>
          <w:lang w:eastAsia="ja-JP"/>
        </w:rPr>
        <w:t xml:space="preserve"> centile or apolipoprotein B </w:t>
      </w:r>
      <w:r w:rsidR="00B85D62" w:rsidRPr="00B85D62">
        <w:rPr>
          <w:rFonts w:eastAsia="Arial" w:cs="Arial"/>
          <w:color w:val="00B0F0"/>
          <w:lang w:eastAsia="ja-JP"/>
        </w:rPr>
        <w:t>&gt;</w:t>
      </w:r>
      <w:r w:rsidR="00B85D62" w:rsidRPr="00B85D62">
        <w:rPr>
          <w:rFonts w:eastAsia="Arial" w:cs="Arial"/>
          <w:color w:val="00B0F0"/>
          <w:lang w:eastAsia="ja-JP"/>
        </w:rPr>
        <w:t> </w:t>
      </w:r>
      <w:r w:rsidR="00B85D62" w:rsidRPr="00B85D62">
        <w:rPr>
          <w:rFonts w:eastAsia="Arial" w:cs="Arial"/>
          <w:color w:val="00B0F0"/>
          <w:lang w:eastAsia="ja-JP"/>
        </w:rPr>
        <w:t>99th</w:t>
      </w:r>
      <w:r w:rsidRPr="00B85D62">
        <w:rPr>
          <w:rFonts w:eastAsia="Arial" w:cs="Arial"/>
          <w:lang w:eastAsia="ja-JP"/>
        </w:rPr>
        <w:t xml:space="preserve"> centile, and LDL</w:t>
      </w:r>
      <w:r w:rsidR="41F587D9" w:rsidRPr="00B85D62">
        <w:rPr>
          <w:rFonts w:eastAsia="Arial" w:cs="Arial"/>
          <w:lang w:eastAsia="ja-JP"/>
        </w:rPr>
        <w:t>-C</w:t>
      </w:r>
      <w:r w:rsidRPr="00B85D62">
        <w:rPr>
          <w:rFonts w:eastAsia="Arial" w:cs="Arial"/>
          <w:lang w:eastAsia="ja-JP"/>
        </w:rPr>
        <w:t xml:space="preserve"> </w:t>
      </w:r>
      <w:r w:rsidR="00B85D62" w:rsidRPr="00B85D62">
        <w:rPr>
          <w:rFonts w:eastAsia="Arial" w:cs="Arial"/>
          <w:color w:val="00B0F0"/>
          <w:lang w:eastAsia="ja-JP"/>
        </w:rPr>
        <w:t>&gt;</w:t>
      </w:r>
      <w:r w:rsidR="00B85D62" w:rsidRPr="00B85D62">
        <w:rPr>
          <w:rFonts w:eastAsia="Arial" w:cs="Arial"/>
          <w:color w:val="00B0F0"/>
          <w:lang w:eastAsia="ja-JP"/>
        </w:rPr>
        <w:t> </w:t>
      </w:r>
      <w:r w:rsidR="00B85D62" w:rsidRPr="00B85D62">
        <w:rPr>
          <w:rFonts w:eastAsia="Arial" w:cs="Arial"/>
          <w:color w:val="00B0F0"/>
          <w:lang w:eastAsia="ja-JP"/>
        </w:rPr>
        <w:t>95th</w:t>
      </w:r>
      <w:r w:rsidRPr="00B85D62">
        <w:rPr>
          <w:rFonts w:eastAsia="Arial" w:cs="Arial"/>
          <w:lang w:eastAsia="ja-JP"/>
        </w:rPr>
        <w:t xml:space="preserve"> centile and no secondary causes for raised cholesterol </w:t>
      </w:r>
      <w:r w:rsidR="00F80015" w:rsidRPr="00B85D62">
        <w:rPr>
          <w:rFonts w:cs="Arial"/>
          <w:noProof/>
          <w:vertAlign w:val="superscript"/>
          <w:lang w:eastAsia="ja-JP"/>
        </w:rPr>
        <w:t>53</w:t>
      </w:r>
      <w:r w:rsidRPr="00B85D62">
        <w:rPr>
          <w:rFonts w:eastAsia="Arial" w:cs="Arial"/>
          <w:lang w:eastAsia="ja-JP"/>
        </w:rPr>
        <w:t>); and one study stated diagnosis was based on either genetic or clinical criteria but did not provide additional details.</w:t>
      </w:r>
      <w:r w:rsidR="00F80015" w:rsidRPr="00B85D62">
        <w:rPr>
          <w:rFonts w:cs="Arial"/>
          <w:noProof/>
          <w:vertAlign w:val="superscript"/>
          <w:lang w:eastAsia="ja-JP"/>
        </w:rPr>
        <w:t>55</w:t>
      </w:r>
      <w:r w:rsidRPr="00B85D62">
        <w:rPr>
          <w:rFonts w:eastAsia="Arial" w:cs="Arial"/>
          <w:lang w:eastAsia="ja-JP"/>
        </w:rPr>
        <w:t xml:space="preserve"> For the relatives, genetic confirmation of FH was used in the majority of studies (15 studies, </w:t>
      </w:r>
      <w:r w:rsidR="00F80015" w:rsidRPr="00B85D62">
        <w:rPr>
          <w:rFonts w:cs="Arial"/>
          <w:noProof/>
          <w:vertAlign w:val="superscript"/>
          <w:lang w:eastAsia="ja-JP"/>
        </w:rPr>
        <w:t>33, 35, 37</w:t>
      </w:r>
      <w:r w:rsidR="00B85D62" w:rsidRPr="00B85D62">
        <w:rPr>
          <w:rFonts w:cs="Arial"/>
          <w:noProof/>
          <w:color w:val="00B0F0"/>
          <w:vertAlign w:val="superscript"/>
          <w:lang w:eastAsia="ja-JP"/>
        </w:rPr>
        <w:t>–</w:t>
      </w:r>
      <w:r w:rsidR="00B85D62" w:rsidRPr="00B85D62">
        <w:rPr>
          <w:rFonts w:cs="Arial"/>
          <w:noProof/>
          <w:color w:val="00B0F0"/>
          <w:vertAlign w:val="superscript"/>
          <w:lang w:eastAsia="ja-JP"/>
        </w:rPr>
        <w:t>4</w:t>
      </w:r>
      <w:r w:rsidR="00F80015" w:rsidRPr="00B85D62">
        <w:rPr>
          <w:rFonts w:cs="Arial"/>
          <w:noProof/>
          <w:vertAlign w:val="superscript"/>
          <w:lang w:eastAsia="ja-JP"/>
        </w:rPr>
        <w:t>1, 43, 47</w:t>
      </w:r>
      <w:r w:rsidR="00B85D62" w:rsidRPr="00B85D62">
        <w:rPr>
          <w:rFonts w:cs="Arial"/>
          <w:noProof/>
          <w:color w:val="00B0F0"/>
          <w:vertAlign w:val="superscript"/>
          <w:lang w:eastAsia="ja-JP"/>
        </w:rPr>
        <w:t>–</w:t>
      </w:r>
      <w:r w:rsidR="00B85D62" w:rsidRPr="00B85D62">
        <w:rPr>
          <w:rFonts w:cs="Arial"/>
          <w:noProof/>
          <w:color w:val="00B0F0"/>
          <w:vertAlign w:val="superscript"/>
          <w:lang w:eastAsia="ja-JP"/>
        </w:rPr>
        <w:t>4</w:t>
      </w:r>
      <w:r w:rsidR="00F80015" w:rsidRPr="00B85D62">
        <w:rPr>
          <w:rFonts w:cs="Arial"/>
          <w:noProof/>
          <w:vertAlign w:val="superscript"/>
          <w:lang w:eastAsia="ja-JP"/>
        </w:rPr>
        <w:t>9, 51, 52, 56, 58</w:t>
      </w:r>
      <w:r w:rsidR="005275E4" w:rsidRPr="00B85D62">
        <w:rPr>
          <w:rFonts w:cs="Arial"/>
          <w:lang w:eastAsia="ja-JP"/>
        </w:rPr>
        <w:t>)</w:t>
      </w:r>
      <w:r w:rsidRPr="00B85D62">
        <w:rPr>
          <w:rFonts w:eastAsia="Arial" w:cs="Arial"/>
          <w:lang w:eastAsia="ja-JP"/>
        </w:rPr>
        <w:t xml:space="preserve">. A further eight studies used clinical assessment based on either SB </w:t>
      </w:r>
      <w:r w:rsidR="00F80015" w:rsidRPr="00B85D62">
        <w:rPr>
          <w:rFonts w:cs="Arial"/>
          <w:noProof/>
          <w:vertAlign w:val="superscript"/>
          <w:lang w:eastAsia="ja-JP"/>
        </w:rPr>
        <w:t>36, 42</w:t>
      </w:r>
      <w:r w:rsidRPr="00B85D62">
        <w:rPr>
          <w:rFonts w:eastAsia="Arial" w:cs="Arial"/>
          <w:lang w:eastAsia="ja-JP"/>
        </w:rPr>
        <w:t>, D</w:t>
      </w:r>
      <w:r w:rsidR="5996A943" w:rsidRPr="00B85D62">
        <w:rPr>
          <w:rFonts w:eastAsia="Arial" w:cs="Arial"/>
          <w:lang w:eastAsia="ja-JP"/>
        </w:rPr>
        <w:t>LC</w:t>
      </w:r>
      <w:r w:rsidRPr="00B85D62">
        <w:rPr>
          <w:rFonts w:eastAsia="Arial" w:cs="Arial"/>
          <w:lang w:eastAsia="ja-JP"/>
        </w:rPr>
        <w:t xml:space="preserve">N </w:t>
      </w:r>
      <w:r w:rsidR="00F80015" w:rsidRPr="00B85D62">
        <w:rPr>
          <w:rFonts w:cs="Arial"/>
          <w:noProof/>
          <w:vertAlign w:val="superscript"/>
          <w:lang w:eastAsia="ja-JP"/>
        </w:rPr>
        <w:t>44, 50</w:t>
      </w:r>
      <w:r w:rsidRPr="00B85D62">
        <w:rPr>
          <w:rFonts w:eastAsia="Arial" w:cs="Arial"/>
          <w:lang w:eastAsia="ja-JP"/>
        </w:rPr>
        <w:t xml:space="preserve">, MEDPED </w:t>
      </w:r>
      <w:r w:rsidR="00F80015" w:rsidRPr="00B85D62">
        <w:rPr>
          <w:rFonts w:cs="Arial"/>
          <w:noProof/>
          <w:vertAlign w:val="superscript"/>
          <w:lang w:eastAsia="ja-JP"/>
        </w:rPr>
        <w:t>45</w:t>
      </w:r>
      <w:r w:rsidRPr="00B85D62">
        <w:rPr>
          <w:rFonts w:eastAsia="Arial" w:cs="Arial"/>
          <w:lang w:eastAsia="ja-JP"/>
        </w:rPr>
        <w:t>, combination of D</w:t>
      </w:r>
      <w:r w:rsidR="242D2F8C" w:rsidRPr="00B85D62">
        <w:rPr>
          <w:rFonts w:eastAsia="Arial" w:cs="Arial"/>
          <w:lang w:eastAsia="ja-JP"/>
        </w:rPr>
        <w:t>L</w:t>
      </w:r>
      <w:r w:rsidRPr="00B85D62">
        <w:rPr>
          <w:rFonts w:eastAsia="Arial" w:cs="Arial"/>
          <w:lang w:eastAsia="ja-JP"/>
        </w:rPr>
        <w:t>CN and MEDPED</w:t>
      </w:r>
      <w:r w:rsidR="00F80015" w:rsidRPr="00B85D62">
        <w:rPr>
          <w:rFonts w:cs="Arial"/>
          <w:noProof/>
          <w:vertAlign w:val="superscript"/>
          <w:lang w:eastAsia="ja-JP"/>
        </w:rPr>
        <w:t>54</w:t>
      </w:r>
      <w:r w:rsidRPr="00B85D62">
        <w:rPr>
          <w:rFonts w:eastAsia="Arial" w:cs="Arial"/>
          <w:lang w:eastAsia="ja-JP"/>
        </w:rPr>
        <w:t xml:space="preserve">, or study-specific criteria (serum cholesterol </w:t>
      </w:r>
      <w:r w:rsidR="00B85D62" w:rsidRPr="00B85D62">
        <w:rPr>
          <w:rFonts w:eastAsia="Arial" w:cs="Arial"/>
          <w:color w:val="00B0F0"/>
          <w:lang w:eastAsia="ja-JP"/>
        </w:rPr>
        <w:t>≥</w:t>
      </w:r>
      <w:r w:rsidR="00B85D62" w:rsidRPr="00B85D62">
        <w:rPr>
          <w:rFonts w:eastAsia="Arial" w:cs="Arial"/>
          <w:color w:val="00B0F0"/>
          <w:lang w:eastAsia="ja-JP"/>
        </w:rPr>
        <w:t> </w:t>
      </w:r>
      <w:r w:rsidRPr="00B85D62">
        <w:rPr>
          <w:rFonts w:eastAsia="Arial" w:cs="Arial"/>
          <w:lang w:eastAsia="ja-JP"/>
        </w:rPr>
        <w:t xml:space="preserve">7mmol/L </w:t>
      </w:r>
      <w:r w:rsidR="00F80015" w:rsidRPr="00B85D62">
        <w:rPr>
          <w:rFonts w:cs="Arial"/>
          <w:noProof/>
          <w:vertAlign w:val="superscript"/>
          <w:lang w:eastAsia="ja-JP"/>
        </w:rPr>
        <w:t>34</w:t>
      </w:r>
      <w:r w:rsidRPr="00B85D62">
        <w:rPr>
          <w:rFonts w:eastAsia="Arial" w:cs="Arial"/>
          <w:lang w:eastAsia="ja-JP"/>
        </w:rPr>
        <w:t>; LDL</w:t>
      </w:r>
      <w:r w:rsidR="76D2CC1E" w:rsidRPr="00B85D62">
        <w:rPr>
          <w:rFonts w:eastAsia="Arial" w:cs="Arial"/>
          <w:lang w:eastAsia="ja-JP"/>
        </w:rPr>
        <w:t>-C</w:t>
      </w:r>
      <w:r w:rsidRPr="00B85D62">
        <w:rPr>
          <w:rFonts w:eastAsia="Arial" w:cs="Arial"/>
          <w:lang w:eastAsia="ja-JP"/>
        </w:rPr>
        <w:t xml:space="preserve"> </w:t>
      </w:r>
      <w:r w:rsidR="00B85D62" w:rsidRPr="00B85D62">
        <w:rPr>
          <w:rFonts w:eastAsia="Arial" w:cs="Arial"/>
          <w:color w:val="00B0F0"/>
          <w:lang w:eastAsia="ja-JP"/>
        </w:rPr>
        <w:t>&gt;</w:t>
      </w:r>
      <w:r w:rsidR="00B85D62" w:rsidRPr="00B85D62">
        <w:rPr>
          <w:rFonts w:eastAsia="Arial" w:cs="Arial"/>
          <w:color w:val="00B0F0"/>
          <w:lang w:eastAsia="ja-JP"/>
        </w:rPr>
        <w:t> </w:t>
      </w:r>
      <w:r w:rsidR="00B85D62" w:rsidRPr="00B85D62">
        <w:rPr>
          <w:rFonts w:eastAsia="Arial" w:cs="Arial"/>
          <w:color w:val="00B0F0"/>
          <w:lang w:eastAsia="ja-JP"/>
        </w:rPr>
        <w:t>95th</w:t>
      </w:r>
      <w:r w:rsidRPr="00B85D62">
        <w:rPr>
          <w:rFonts w:eastAsia="Arial" w:cs="Arial"/>
          <w:lang w:eastAsia="ja-JP"/>
        </w:rPr>
        <w:t xml:space="preserve"> centile </w:t>
      </w:r>
      <w:r w:rsidR="00F80015" w:rsidRPr="00B85D62">
        <w:rPr>
          <w:rFonts w:cs="Arial"/>
          <w:noProof/>
          <w:vertAlign w:val="superscript"/>
          <w:lang w:eastAsia="ja-JP"/>
        </w:rPr>
        <w:t>53</w:t>
      </w:r>
      <w:r w:rsidRPr="00B85D62">
        <w:rPr>
          <w:rFonts w:eastAsia="Arial" w:cs="Arial"/>
          <w:lang w:eastAsia="ja-JP"/>
        </w:rPr>
        <w:t>). The final study used genetic testing or clinical assessment based on S</w:t>
      </w:r>
      <w:r w:rsidR="5E192A8F" w:rsidRPr="00B85D62">
        <w:rPr>
          <w:rFonts w:eastAsia="Arial" w:cs="Arial"/>
          <w:lang w:eastAsia="ja-JP"/>
        </w:rPr>
        <w:t>imon-</w:t>
      </w:r>
      <w:r w:rsidRPr="00B85D62">
        <w:rPr>
          <w:rFonts w:eastAsia="Arial" w:cs="Arial"/>
          <w:lang w:eastAsia="ja-JP"/>
        </w:rPr>
        <w:t>B</w:t>
      </w:r>
      <w:r w:rsidR="4626AB57" w:rsidRPr="00B85D62">
        <w:rPr>
          <w:rFonts w:eastAsia="Arial" w:cs="Arial"/>
          <w:lang w:eastAsia="ja-JP"/>
        </w:rPr>
        <w:t>roome</w:t>
      </w:r>
      <w:r w:rsidRPr="00B85D62">
        <w:rPr>
          <w:rFonts w:eastAsia="Arial" w:cs="Arial"/>
          <w:lang w:eastAsia="ja-JP"/>
        </w:rPr>
        <w:t xml:space="preserve"> criteria depending on which arm of the trial the </w:t>
      </w:r>
      <w:r w:rsidR="005275E4" w:rsidRPr="00B85D62">
        <w:rPr>
          <w:rFonts w:eastAsia="Arial" w:cs="Arial"/>
          <w:lang w:eastAsia="ja-JP"/>
        </w:rPr>
        <w:t>index case</w:t>
      </w:r>
      <w:r w:rsidRPr="00B85D62">
        <w:rPr>
          <w:rFonts w:eastAsia="Arial" w:cs="Arial"/>
          <w:lang w:eastAsia="ja-JP"/>
        </w:rPr>
        <w:t xml:space="preserve"> had been </w:t>
      </w:r>
      <w:r w:rsidR="00B85D62" w:rsidRPr="00B85D62">
        <w:rPr>
          <w:rFonts w:eastAsia="Arial" w:cs="Arial"/>
          <w:color w:val="00B0F0"/>
          <w:lang w:eastAsia="ja-JP"/>
        </w:rPr>
        <w:t>randomised</w:t>
      </w:r>
      <w:r w:rsidRPr="00B85D62">
        <w:rPr>
          <w:rFonts w:eastAsia="Arial" w:cs="Arial"/>
          <w:lang w:eastAsia="ja-JP"/>
        </w:rPr>
        <w:t xml:space="preserve"> to </w:t>
      </w:r>
      <w:r w:rsidR="00F80015" w:rsidRPr="00B85D62">
        <w:rPr>
          <w:rFonts w:cs="Arial"/>
          <w:noProof/>
          <w:vertAlign w:val="superscript"/>
          <w:lang w:eastAsia="ja-JP"/>
        </w:rPr>
        <w:t>46</w:t>
      </w:r>
      <w:r w:rsidRPr="00B85D62">
        <w:rPr>
          <w:rFonts w:eastAsia="Arial" w:cs="Arial"/>
          <w:lang w:eastAsia="ja-JP"/>
        </w:rPr>
        <w:t>.</w:t>
      </w:r>
    </w:p>
    <w:p w14:paraId="0E971EFD" w14:textId="77777777" w:rsidR="00B85D62" w:rsidRPr="00B85D62" w:rsidRDefault="54F9349D" w:rsidP="0066232B">
      <w:pPr>
        <w:jc w:val="both"/>
        <w:rPr>
          <w:rFonts w:eastAsia="Arial" w:cs="Arial"/>
          <w:lang w:eastAsia="ja-JP"/>
        </w:rPr>
      </w:pPr>
      <w:r w:rsidRPr="00B85D62">
        <w:rPr>
          <w:rFonts w:eastAsia="Arial" w:cs="Arial"/>
          <w:lang w:eastAsia="ja-JP"/>
        </w:rPr>
        <w:t xml:space="preserve">For the 16 studies using genetic testing for confirmation of FH, testing of only the LDLR gene was performed in three studies </w:t>
      </w:r>
      <w:r w:rsidR="00F80015" w:rsidRPr="00B85D62">
        <w:rPr>
          <w:rFonts w:cs="Arial"/>
          <w:noProof/>
          <w:vertAlign w:val="superscript"/>
          <w:lang w:eastAsia="ja-JP"/>
        </w:rPr>
        <w:t>47, 49, 51</w:t>
      </w:r>
      <w:r w:rsidRPr="00B85D62">
        <w:rPr>
          <w:rFonts w:eastAsia="Arial" w:cs="Arial"/>
          <w:lang w:eastAsia="ja-JP"/>
        </w:rPr>
        <w:t xml:space="preserve">, testing of LDLR and APOB genes was performed in two studies </w:t>
      </w:r>
      <w:r w:rsidR="00F80015" w:rsidRPr="00B85D62">
        <w:rPr>
          <w:rFonts w:cs="Arial"/>
          <w:noProof/>
          <w:vertAlign w:val="superscript"/>
          <w:lang w:eastAsia="ja-JP"/>
        </w:rPr>
        <w:t>46</w:t>
      </w:r>
      <w:r w:rsidRPr="00B85D62">
        <w:rPr>
          <w:rFonts w:eastAsia="Arial" w:cs="Arial"/>
          <w:lang w:eastAsia="ja-JP"/>
        </w:rPr>
        <w:t xml:space="preserve">, testing of LDLR, APOB and PCSK9 genes was performed in eight studies </w:t>
      </w:r>
      <w:r w:rsidR="00F80015" w:rsidRPr="00B85D62">
        <w:rPr>
          <w:rFonts w:cs="Arial"/>
          <w:noProof/>
          <w:vertAlign w:val="superscript"/>
          <w:lang w:eastAsia="ja-JP"/>
        </w:rPr>
        <w:t>33, 35, 38, 39, 41, 43, 48, 52</w:t>
      </w:r>
      <w:r w:rsidRPr="00B85D62">
        <w:rPr>
          <w:rFonts w:eastAsia="Arial" w:cs="Arial"/>
          <w:lang w:eastAsia="ja-JP"/>
        </w:rPr>
        <w:t xml:space="preserve">, and testing of LDLR, APoB, PCSK9, and LDLRAP1 genes was performed in one study </w:t>
      </w:r>
      <w:r w:rsidR="00F80015" w:rsidRPr="00B85D62">
        <w:rPr>
          <w:rFonts w:cs="Arial"/>
          <w:noProof/>
          <w:vertAlign w:val="superscript"/>
          <w:lang w:eastAsia="ja-JP"/>
        </w:rPr>
        <w:t>55</w:t>
      </w:r>
      <w:r w:rsidRPr="00B85D62">
        <w:rPr>
          <w:rFonts w:eastAsia="Arial" w:cs="Arial"/>
          <w:lang w:eastAsia="ja-JP"/>
        </w:rPr>
        <w:t xml:space="preserve">; the genes </w:t>
      </w:r>
      <w:r w:rsidR="42A477BE" w:rsidRPr="00B85D62">
        <w:rPr>
          <w:rFonts w:eastAsia="Arial" w:cs="Arial"/>
          <w:lang w:eastAsia="ja-JP"/>
        </w:rPr>
        <w:t>test</w:t>
      </w:r>
      <w:r w:rsidRPr="00B85D62">
        <w:rPr>
          <w:rFonts w:eastAsia="Arial" w:cs="Arial"/>
          <w:lang w:eastAsia="ja-JP"/>
        </w:rPr>
        <w:t xml:space="preserve">ed in the remaining two studies were unclear </w:t>
      </w:r>
      <w:r w:rsidR="00F80015" w:rsidRPr="00B85D62">
        <w:rPr>
          <w:rFonts w:cs="Arial"/>
          <w:noProof/>
          <w:vertAlign w:val="superscript"/>
          <w:lang w:eastAsia="ja-JP"/>
        </w:rPr>
        <w:t>37, 40</w:t>
      </w:r>
      <w:r w:rsidRPr="00B85D62">
        <w:rPr>
          <w:rFonts w:eastAsia="Arial" w:cs="Arial"/>
          <w:lang w:eastAsia="ja-JP"/>
        </w:rPr>
        <w:t>.</w:t>
      </w:r>
    </w:p>
    <w:p w14:paraId="6238453D" w14:textId="73012937" w:rsidR="002E2FFB" w:rsidRPr="00B85D62" w:rsidRDefault="54F9349D" w:rsidP="006C7E71">
      <w:pPr>
        <w:pStyle w:val="Heading4"/>
        <w:numPr>
          <w:ilvl w:val="0"/>
          <w:numId w:val="0"/>
        </w:numPr>
      </w:pPr>
      <w:r w:rsidRPr="00B85D62">
        <w:rPr>
          <w:rFonts w:eastAsia="Arial"/>
          <w:color w:val="000000" w:themeColor="text1"/>
        </w:rPr>
        <w:t xml:space="preserve">The median number of new relatives with FH per known index case was 0.98 (range 0.15 to 8.6), with the largest medians seen in the studies using the indirect (median 1.39, range 0.22 to 8.60) and direct (median 1.27, range 0.15 to 3.86) testing strategies </w:t>
      </w:r>
      <w:r w:rsidRPr="00B85D62">
        <w:rPr>
          <w:rFonts w:eastAsia="Arial"/>
          <w:color w:val="000000" w:themeColor="text1"/>
          <w:highlight w:val="magenta"/>
        </w:rPr>
        <w:t>compared to</w:t>
      </w:r>
      <w:r w:rsidRPr="00B85D62">
        <w:rPr>
          <w:rFonts w:eastAsia="Arial"/>
          <w:color w:val="000000" w:themeColor="text1"/>
        </w:rPr>
        <w:t xml:space="preserve"> the combination approach (median 0.72, range 0.26 to 1.88); however, this is a crude analysis which does not </w:t>
      </w:r>
      <w:r w:rsidR="009338AC" w:rsidRPr="00B85D62">
        <w:rPr>
          <w:rFonts w:eastAsia="Arial"/>
          <w:color w:val="000000" w:themeColor="text1"/>
        </w:rPr>
        <w:t>consider</w:t>
      </w:r>
      <w:r w:rsidRPr="00B85D62">
        <w:rPr>
          <w:rFonts w:eastAsia="Arial"/>
          <w:color w:val="000000" w:themeColor="text1"/>
        </w:rPr>
        <w:t xml:space="preserve"> the relative contribution of each study.</w:t>
      </w:r>
      <w:r w:rsidR="00B85D62" w:rsidRPr="00B85D62">
        <w:rPr>
          <w:rFonts w:eastAsia="Arial"/>
          <w:color w:val="000000" w:themeColor="text1"/>
        </w:rPr>
        <w:t xml:space="preserve"> </w:t>
      </w:r>
      <w:r w:rsidR="7920A156" w:rsidRPr="00B85D62">
        <w:t>Quality assessment</w:t>
      </w:r>
    </w:p>
    <w:p w14:paraId="23C513CC" w14:textId="258CA6B9" w:rsidR="002E2FFB" w:rsidRPr="00B85D62" w:rsidRDefault="53597F66" w:rsidP="0066232B">
      <w:pPr>
        <w:jc w:val="both"/>
        <w:rPr>
          <w:rFonts w:eastAsia="Arial" w:cs="Arial"/>
        </w:rPr>
      </w:pPr>
      <w:r w:rsidRPr="00B85D62">
        <w:rPr>
          <w:rFonts w:eastAsia="Arial" w:cs="Arial"/>
        </w:rPr>
        <w:t xml:space="preserve">The majority of studies were rated as having a moderate risk of bias; only three studies had a high methodological quality score </w:t>
      </w:r>
      <w:r w:rsidR="00F80015" w:rsidRPr="00B85D62">
        <w:rPr>
          <w:rFonts w:eastAsia="Calibri" w:cs="Arial"/>
          <w:noProof/>
          <w:vertAlign w:val="superscript"/>
        </w:rPr>
        <w:t>35, 44, 54</w:t>
      </w:r>
      <w:r w:rsidRPr="00B85D62">
        <w:rPr>
          <w:rFonts w:eastAsia="Arial" w:cs="Arial"/>
        </w:rPr>
        <w:t xml:space="preserve"> and two studies were rated with low methodological quality </w:t>
      </w:r>
      <w:r w:rsidR="00F80015" w:rsidRPr="00B85D62">
        <w:rPr>
          <w:rFonts w:eastAsia="Calibri" w:cs="Arial"/>
          <w:noProof/>
          <w:vertAlign w:val="superscript"/>
        </w:rPr>
        <w:t>47, 48</w:t>
      </w:r>
      <w:r w:rsidRPr="00B85D62">
        <w:rPr>
          <w:rFonts w:eastAsia="Arial" w:cs="Arial"/>
        </w:rPr>
        <w:t xml:space="preserve"> (</w:t>
      </w:r>
      <w:r w:rsidR="004CB9BE" w:rsidRPr="00B85D62">
        <w:rPr>
          <w:rFonts w:eastAsia="Arial" w:cs="Arial"/>
        </w:rPr>
        <w:t xml:space="preserve">Appendix </w:t>
      </w:r>
      <w:r w:rsidR="21F22E97" w:rsidRPr="00B85D62">
        <w:rPr>
          <w:rFonts w:eastAsia="Arial" w:cs="Arial"/>
        </w:rPr>
        <w:t>1</w:t>
      </w:r>
      <w:r w:rsidR="004CB9BE" w:rsidRPr="00B85D62">
        <w:rPr>
          <w:rFonts w:eastAsia="Arial" w:cs="Arial"/>
        </w:rPr>
        <w:t>:</w:t>
      </w:r>
      <w:r w:rsidR="09C5CBA9" w:rsidRPr="00B85D62">
        <w:rPr>
          <w:rFonts w:eastAsia="Arial" w:cs="Arial"/>
        </w:rPr>
        <w:t xml:space="preserve"> </w:t>
      </w:r>
      <w:r w:rsidR="00B85D62" w:rsidRPr="00B85D62">
        <w:rPr>
          <w:rFonts w:eastAsia="Arial" w:cs="Arial"/>
          <w:i/>
          <w:color w:val="FF0000"/>
        </w:rPr>
        <w:t>T</w:t>
      </w:r>
      <w:r w:rsidR="00B85D62" w:rsidRPr="00B85D62">
        <w:rPr>
          <w:rFonts w:eastAsia="Arial" w:cs="Arial"/>
          <w:i/>
          <w:color w:val="FF0000"/>
        </w:rPr>
        <w:t>able</w:t>
      </w:r>
      <w:r w:rsidR="00B85D62" w:rsidRPr="00B85D62">
        <w:rPr>
          <w:rFonts w:eastAsia="Arial" w:cs="Arial"/>
          <w:i/>
          <w:color w:val="FF0000"/>
        </w:rPr>
        <w:t xml:space="preserve"> </w:t>
      </w:r>
      <w:r w:rsidR="00B85D62" w:rsidRPr="00B85D62">
        <w:rPr>
          <w:rFonts w:eastAsia="Arial" w:cs="Arial"/>
          <w:i/>
          <w:color w:val="FF0000"/>
        </w:rPr>
        <w:t>25</w:t>
      </w:r>
      <w:r w:rsidRPr="00B85D62">
        <w:rPr>
          <w:rFonts w:eastAsia="Arial" w:cs="Arial"/>
        </w:rPr>
        <w:t xml:space="preserve">). The reasons for lower methodological quality were primarily related to less clarity regarding consecutive inclusion </w:t>
      </w:r>
      <w:r w:rsidRPr="00B85D62">
        <w:rPr>
          <w:rFonts w:eastAsia="Arial" w:cs="Arial"/>
        </w:rPr>
        <w:lastRenderedPageBreak/>
        <w:t xml:space="preserve">of participants (Question 4) and incomplete inclusion of participants (Question 5). Furthermore, </w:t>
      </w:r>
      <w:r w:rsidR="009338AC" w:rsidRPr="00B85D62">
        <w:rPr>
          <w:rFonts w:eastAsia="Arial" w:cs="Arial"/>
        </w:rPr>
        <w:t>many</w:t>
      </w:r>
      <w:r w:rsidRPr="00B85D62">
        <w:rPr>
          <w:rFonts w:eastAsia="Arial" w:cs="Arial"/>
        </w:rPr>
        <w:t xml:space="preserve"> studies scored as </w:t>
      </w:r>
      <w:r w:rsidR="00B85D62" w:rsidRPr="00B85D62">
        <w:rPr>
          <w:rFonts w:eastAsia="Arial" w:cs="Arial"/>
        </w:rPr>
        <w:t>‘</w:t>
      </w:r>
      <w:r w:rsidRPr="00B85D62">
        <w:rPr>
          <w:rFonts w:eastAsia="Arial" w:cs="Arial"/>
        </w:rPr>
        <w:t>no</w:t>
      </w:r>
      <w:r w:rsidR="00B85D62" w:rsidRPr="00B85D62">
        <w:rPr>
          <w:rFonts w:eastAsia="Arial" w:cs="Arial"/>
        </w:rPr>
        <w:t>’</w:t>
      </w:r>
      <w:r w:rsidRPr="00B85D62">
        <w:rPr>
          <w:rFonts w:eastAsia="Arial" w:cs="Arial"/>
        </w:rPr>
        <w:t xml:space="preserve"> on clear reporting of the demographics and clinical information of the participants (Question 6: 10 studies; Question 7: 10 studies, respectively).</w:t>
      </w:r>
    </w:p>
    <w:p w14:paraId="2A3ACCE1" w14:textId="61EAD606" w:rsidR="002E2FFB" w:rsidRPr="00B85D62" w:rsidRDefault="3C5E4553" w:rsidP="006C7E71">
      <w:pPr>
        <w:pStyle w:val="Heading4"/>
        <w:numPr>
          <w:ilvl w:val="0"/>
          <w:numId w:val="0"/>
        </w:numPr>
      </w:pPr>
      <w:r w:rsidRPr="00B85D62">
        <w:t>Primary outcome measure</w:t>
      </w:r>
    </w:p>
    <w:p w14:paraId="6B2595C4" w14:textId="77777777" w:rsidR="00B85D62" w:rsidRPr="00B85D62" w:rsidRDefault="3C5E4553" w:rsidP="0066232B">
      <w:pPr>
        <w:keepNext/>
        <w:keepLines/>
        <w:spacing w:before="40"/>
        <w:outlineLvl w:val="3"/>
        <w:rPr>
          <w:rFonts w:eastAsia="Arial" w:cs="Arial"/>
          <w:b/>
          <w:bCs/>
          <w:i/>
          <w:iCs/>
          <w:color w:val="0D0D0D" w:themeColor="text1" w:themeTint="F2"/>
        </w:rPr>
      </w:pPr>
      <w:r w:rsidRPr="00B85D62">
        <w:rPr>
          <w:rFonts w:eastAsia="Arial" w:cs="Arial"/>
          <w:b/>
          <w:bCs/>
          <w:i/>
          <w:iCs/>
          <w:color w:val="0D0D0D" w:themeColor="text1" w:themeTint="F2"/>
        </w:rPr>
        <w:t>Proportion of relatives of index cases tested for FH out of those contacted</w:t>
      </w:r>
    </w:p>
    <w:p w14:paraId="7EB0B05F" w14:textId="7DC9A61C" w:rsidR="00B85D62" w:rsidRPr="00B85D62" w:rsidRDefault="54F9349D" w:rsidP="009E34A2">
      <w:pPr>
        <w:rPr>
          <w:rFonts w:eastAsia="Arial" w:cs="Arial"/>
        </w:rPr>
      </w:pPr>
      <w:r w:rsidRPr="00B85D62">
        <w:rPr>
          <w:rFonts w:eastAsia="Arial" w:cs="Arial"/>
        </w:rPr>
        <w:t xml:space="preserve">Four studies </w:t>
      </w:r>
      <w:r w:rsidR="00F80015" w:rsidRPr="00B85D62">
        <w:rPr>
          <w:rFonts w:eastAsia="Calibri" w:cs="Arial"/>
          <w:noProof/>
          <w:vertAlign w:val="superscript"/>
        </w:rPr>
        <w:t>33, 42, 45, 46</w:t>
      </w:r>
      <w:r w:rsidRPr="00B85D62">
        <w:rPr>
          <w:rFonts w:eastAsia="Arial" w:cs="Arial"/>
        </w:rPr>
        <w:t xml:space="preserve"> provided </w:t>
      </w:r>
      <w:r w:rsidRPr="00B85D62">
        <w:rPr>
          <w:rFonts w:eastAsia="Arial" w:cs="Arial"/>
          <w:highlight w:val="magenta"/>
        </w:rPr>
        <w:t>data</w:t>
      </w:r>
      <w:r w:rsidRPr="00B85D62">
        <w:rPr>
          <w:rFonts w:eastAsia="Arial" w:cs="Arial"/>
        </w:rPr>
        <w:t xml:space="preserve"> to estimate the primary outcome. On average 39% of relatives were tested for FH out of those contacted (95% CI 31% to 47%, 4 studies); however, the estimates varied significantly by the cascade approach used (</w:t>
      </w:r>
      <w:r w:rsidRPr="00B85D62">
        <w:rPr>
          <w:rFonts w:eastAsia="Arial" w:cs="Arial"/>
          <w:i/>
          <w:color w:val="00B0F0"/>
        </w:rPr>
        <w:t>p</w:t>
      </w:r>
      <w:r w:rsidRPr="00B85D62">
        <w:rPr>
          <w:rFonts w:eastAsia="Arial" w:cs="Arial"/>
        </w:rPr>
        <w:t xml:space="preserve"> value for subgroup differences, </w:t>
      </w:r>
      <w:r w:rsidRPr="00B85D62">
        <w:rPr>
          <w:rFonts w:eastAsia="Arial" w:cs="Arial"/>
          <w:i/>
          <w:color w:val="00B0F0"/>
        </w:rPr>
        <w:t>p</w:t>
      </w:r>
      <w:r w:rsidRPr="00B85D62">
        <w:rPr>
          <w:rFonts w:eastAsia="Arial" w:cs="Arial"/>
        </w:rPr>
        <w:t xml:space="preserve">=0.01; </w:t>
      </w:r>
      <w:r w:rsidR="00B85D62" w:rsidRPr="00B85D62">
        <w:rPr>
          <w:rFonts w:eastAsia="Arial" w:cs="Arial"/>
          <w:i/>
          <w:color w:val="FF0000"/>
        </w:rPr>
        <w:t>F</w:t>
      </w:r>
      <w:r w:rsidR="00B85D62" w:rsidRPr="00B85D62">
        <w:rPr>
          <w:rFonts w:eastAsia="Arial" w:cs="Arial"/>
          <w:i/>
          <w:color w:val="FF0000"/>
        </w:rPr>
        <w:t>igure</w:t>
      </w:r>
      <w:r w:rsidR="00B85D62" w:rsidRPr="00B85D62">
        <w:rPr>
          <w:rFonts w:eastAsia="Arial" w:cs="Arial"/>
          <w:i/>
          <w:color w:val="FF0000"/>
        </w:rPr>
        <w:t xml:space="preserve"> </w:t>
      </w:r>
      <w:bookmarkStart w:id="39" w:name="_Hlk79766991"/>
      <w:r w:rsidR="00B85D62" w:rsidRPr="00B85D62">
        <w:rPr>
          <w:rFonts w:eastAsia="Arial" w:cs="Arial"/>
          <w:i/>
          <w:color w:val="FF0000"/>
        </w:rPr>
        <w:t>2</w:t>
      </w:r>
      <w:r w:rsidR="009E34A2" w:rsidRPr="00B85D62">
        <w:rPr>
          <w:rFonts w:eastAsia="Arial" w:cs="Arial"/>
        </w:rPr>
        <w:t xml:space="preserve">). The largest yield was seen in the study conducted in England which used a combination </w:t>
      </w:r>
      <w:r w:rsidR="70A82346" w:rsidRPr="00B85D62">
        <w:rPr>
          <w:rFonts w:eastAsia="Arial" w:cs="Arial"/>
        </w:rPr>
        <w:t>approach</w:t>
      </w:r>
      <w:r w:rsidR="009E34A2" w:rsidRPr="00B85D62">
        <w:rPr>
          <w:rFonts w:eastAsia="Arial" w:cs="Arial"/>
        </w:rPr>
        <w:t xml:space="preserve"> (40%, 95% CI 37% to 42%, 1 study); however, similar but slightly lower yields were seen for the direct and indirect strategies (direct 33%, 95% CI 28% to 39% [1 study conducted </w:t>
      </w:r>
      <w:bookmarkEnd w:id="39"/>
      <w:r w:rsidRPr="00B85D62">
        <w:rPr>
          <w:rFonts w:eastAsia="Arial" w:cs="Arial"/>
        </w:rPr>
        <w:t xml:space="preserve">in England]; indirect 34%, 95% CI 30% to 37% [2 studies, conducted in England and Estonia]); although the results from the </w:t>
      </w:r>
      <w:r w:rsidRPr="00B85D62">
        <w:rPr>
          <w:rFonts w:eastAsia="Arial" w:cs="Arial"/>
          <w:highlight w:val="magenta"/>
        </w:rPr>
        <w:t>latter</w:t>
      </w:r>
      <w:r w:rsidRPr="00B85D62">
        <w:rPr>
          <w:rFonts w:eastAsia="Arial" w:cs="Arial"/>
        </w:rPr>
        <w:t xml:space="preserve"> two studies varied considerably (57% </w:t>
      </w:r>
      <w:r w:rsidR="00F80015" w:rsidRPr="00B85D62">
        <w:rPr>
          <w:rFonts w:eastAsia="Calibri" w:cs="Arial"/>
          <w:noProof/>
          <w:vertAlign w:val="superscript"/>
        </w:rPr>
        <w:t>33</w:t>
      </w:r>
      <w:r w:rsidRPr="00B85D62">
        <w:rPr>
          <w:rFonts w:eastAsia="Arial" w:cs="Arial"/>
        </w:rPr>
        <w:t xml:space="preserve"> and 20% </w:t>
      </w:r>
      <w:r w:rsidR="00F80015" w:rsidRPr="00B85D62">
        <w:rPr>
          <w:rFonts w:eastAsia="Calibri" w:cs="Arial"/>
          <w:noProof/>
          <w:vertAlign w:val="superscript"/>
        </w:rPr>
        <w:t>45</w:t>
      </w:r>
      <w:r w:rsidRPr="00B85D62">
        <w:rPr>
          <w:rFonts w:eastAsia="Arial" w:cs="Arial"/>
        </w:rPr>
        <w:t>).</w:t>
      </w:r>
    </w:p>
    <w:p w14:paraId="38BC245F" w14:textId="03E03917" w:rsidR="00B85D62" w:rsidRPr="00B85D62" w:rsidRDefault="00B85D62" w:rsidP="00D40F0F">
      <w:pPr>
        <w:pStyle w:val="Caption"/>
        <w:keepNext/>
        <w:jc w:val="both"/>
      </w:pPr>
      <w:bookmarkStart w:id="40" w:name="_Toc79740221"/>
      <w:bookmarkStart w:id="41" w:name="_Toc107157384"/>
      <w:r w:rsidRPr="00B85D62">
        <w:rPr>
          <w:i/>
          <w:color w:val="FF0000"/>
        </w:rPr>
        <w:t>F</w:t>
      </w:r>
      <w:r w:rsidRPr="00B85D62">
        <w:rPr>
          <w:i/>
          <w:color w:val="FF0000"/>
        </w:rPr>
        <w:t>igure</w:t>
      </w:r>
      <w:r w:rsidRPr="00B85D62">
        <w:rPr>
          <w:i/>
          <w:color w:val="FF0000"/>
        </w:rPr>
        <w:t xml:space="preserve"> </w:t>
      </w:r>
      <w:r w:rsidRPr="00B85D62">
        <w:rPr>
          <w:i/>
          <w:noProof/>
          <w:color w:val="FF0000"/>
        </w:rPr>
        <w:t>2</w:t>
      </w:r>
      <w:commentRangeStart w:id="42"/>
      <w:r w:rsidR="00D0663E" w:rsidRPr="00B85D62">
        <w:t xml:space="preserve"> Proportion of relatives tested out of those contacted for FH cascade testing by</w:t>
      </w:r>
      <w:bookmarkEnd w:id="40"/>
      <w:bookmarkEnd w:id="41"/>
      <w:r w:rsidR="00D40F0F" w:rsidRPr="00B85D62">
        <w:t xml:space="preserve"> </w:t>
      </w:r>
      <w:r w:rsidR="00D0663E" w:rsidRPr="00B85D62">
        <w:t xml:space="preserve">cascade </w:t>
      </w:r>
      <w:r w:rsidR="4B03FC0B" w:rsidRPr="00B85D62">
        <w:t>approach</w:t>
      </w:r>
      <w:r w:rsidR="00D40F0F" w:rsidRPr="00B85D62">
        <w:t xml:space="preserve"> </w:t>
      </w:r>
      <w:r w:rsidR="00B06DB8" w:rsidRPr="00B85D62">
        <w:rPr>
          <w:sz w:val="18"/>
        </w:rPr>
        <w:t xml:space="preserve">ES=Effect Size; </w:t>
      </w:r>
      <w:r w:rsidR="0005609B" w:rsidRPr="00B85D62">
        <w:rPr>
          <w:sz w:val="18"/>
        </w:rPr>
        <w:t xml:space="preserve">Reference for </w:t>
      </w:r>
      <w:r w:rsidRPr="00B85D62">
        <w:rPr>
          <w:i/>
          <w:color w:val="FF0000"/>
          <w:sz w:val="18"/>
        </w:rPr>
        <w:t>F</w:t>
      </w:r>
      <w:r w:rsidRPr="00B85D62">
        <w:rPr>
          <w:i/>
          <w:color w:val="FF0000"/>
          <w:sz w:val="18"/>
        </w:rPr>
        <w:t>igure</w:t>
      </w:r>
      <w:r w:rsidRPr="00B85D62">
        <w:rPr>
          <w:i/>
          <w:color w:val="FF0000"/>
          <w:sz w:val="18"/>
        </w:rPr>
        <w:t xml:space="preserve"> </w:t>
      </w:r>
      <w:r w:rsidRPr="00B85D62">
        <w:rPr>
          <w:i/>
          <w:color w:val="FF0000"/>
          <w:sz w:val="18"/>
        </w:rPr>
        <w:t>2</w:t>
      </w:r>
      <w:r w:rsidR="0005609B" w:rsidRPr="00B85D62">
        <w:rPr>
          <w:sz w:val="18"/>
        </w:rPr>
        <w:t>: Marteau 2004, Marks 2006 and Hadfield 2009</w:t>
      </w:r>
      <w:r w:rsidR="00B06DB8" w:rsidRPr="00B85D62">
        <w:rPr>
          <w:sz w:val="18"/>
        </w:rPr>
        <w:t xml:space="preserve"> </w:t>
      </w:r>
      <w:r w:rsidR="004372AB" w:rsidRPr="00B85D62">
        <w:rPr>
          <w:noProof/>
          <w:vertAlign w:val="superscript"/>
        </w:rPr>
        <w:t>42, 45, 46</w:t>
      </w:r>
      <w:commentRangeEnd w:id="42"/>
      <w:r w:rsidR="00040D85" w:rsidRPr="00B85D62">
        <w:rPr>
          <w:rStyle w:val="CommentReference"/>
          <w:b w:val="0"/>
          <w:iCs w:val="0"/>
        </w:rPr>
        <w:commentReference w:id="42"/>
      </w:r>
    </w:p>
    <w:p w14:paraId="4DD60282" w14:textId="5B6B26CB" w:rsidR="002E2FFB" w:rsidRPr="00B85D62" w:rsidRDefault="1A6CE038" w:rsidP="006C7E71">
      <w:pPr>
        <w:pStyle w:val="Heading4"/>
        <w:numPr>
          <w:ilvl w:val="0"/>
          <w:numId w:val="0"/>
        </w:numPr>
        <w:rPr>
          <w:rFonts w:eastAsia="Yu Gothic Light"/>
          <w:bCs/>
        </w:rPr>
      </w:pPr>
      <w:r w:rsidRPr="00B85D62">
        <w:t>Secondary outcome measures</w:t>
      </w:r>
    </w:p>
    <w:p w14:paraId="262B09F9" w14:textId="77777777" w:rsidR="002E2FFB" w:rsidRPr="00B85D62" w:rsidRDefault="3D582D89" w:rsidP="0066232B">
      <w:pPr>
        <w:keepNext/>
        <w:keepLines/>
        <w:spacing w:before="120" w:after="120"/>
        <w:outlineLvl w:val="3"/>
        <w:rPr>
          <w:rFonts w:eastAsia="Calibri" w:cs="Arial"/>
          <w:b/>
          <w:bCs/>
          <w:i/>
          <w:iCs/>
          <w:color w:val="0D0D0D"/>
        </w:rPr>
      </w:pPr>
      <w:r w:rsidRPr="00B85D62">
        <w:rPr>
          <w:rFonts w:eastAsia="SimSun" w:cs="Arial"/>
          <w:b/>
          <w:bCs/>
          <w:i/>
          <w:iCs/>
          <w:color w:val="0D0D0D" w:themeColor="text1" w:themeTint="F2"/>
        </w:rPr>
        <w:t>The proportion of relatives contacted for FH testing out of those eligible</w:t>
      </w:r>
    </w:p>
    <w:p w14:paraId="6AB94BFB" w14:textId="73F4376C" w:rsidR="00B85D62" w:rsidRPr="00B85D62" w:rsidRDefault="002E2FFB" w:rsidP="0066232B">
      <w:pPr>
        <w:autoSpaceDE w:val="0"/>
        <w:autoSpaceDN w:val="0"/>
        <w:adjustRightInd w:val="0"/>
        <w:jc w:val="both"/>
        <w:rPr>
          <w:rFonts w:eastAsia="Calibri" w:cs="Arial"/>
        </w:rPr>
      </w:pPr>
      <w:r w:rsidRPr="00B85D62">
        <w:rPr>
          <w:rFonts w:eastAsia="Calibri" w:cs="Arial"/>
          <w:bCs/>
        </w:rPr>
        <w:t xml:space="preserve">Only three studies reported </w:t>
      </w:r>
      <w:r w:rsidRPr="00B85D62">
        <w:rPr>
          <w:rFonts w:eastAsia="Calibri" w:cs="Arial"/>
          <w:bCs/>
          <w:highlight w:val="magenta"/>
        </w:rPr>
        <w:t>data</w:t>
      </w:r>
      <w:r w:rsidRPr="00B85D62">
        <w:rPr>
          <w:rFonts w:eastAsia="Calibri" w:cs="Arial"/>
          <w:bCs/>
        </w:rPr>
        <w:t xml:space="preserve"> to estimate the proportion of relatives contacted for FH testing out of those eligible </w:t>
      </w:r>
      <w:r w:rsidR="00F80015" w:rsidRPr="00B85D62">
        <w:rPr>
          <w:rFonts w:eastAsia="Calibri" w:cs="Arial"/>
          <w:bCs/>
          <w:noProof/>
          <w:vertAlign w:val="superscript"/>
        </w:rPr>
        <w:t>42, 45, 46</w:t>
      </w:r>
      <w:r w:rsidRPr="00B85D62">
        <w:rPr>
          <w:rFonts w:eastAsia="Calibri" w:cs="Arial"/>
          <w:bCs/>
        </w:rPr>
        <w:t xml:space="preserve">. For the studies that reported this outcome, on average, 95% relatives were contacted out of those eligible (95% CI 59% to 100%, 3 studies). Using either a direct or an indirect </w:t>
      </w:r>
      <w:r w:rsidR="5BD4D62D" w:rsidRPr="00B85D62">
        <w:rPr>
          <w:rFonts w:eastAsia="Calibri" w:cs="Arial"/>
        </w:rPr>
        <w:t xml:space="preserve">approach </w:t>
      </w:r>
      <w:r w:rsidRPr="00B85D62">
        <w:rPr>
          <w:rFonts w:eastAsia="Calibri" w:cs="Arial"/>
          <w:bCs/>
        </w:rPr>
        <w:t xml:space="preserve">resulted in </w:t>
      </w:r>
      <w:r w:rsidR="5BD4D62D" w:rsidRPr="00B85D62">
        <w:rPr>
          <w:rFonts w:eastAsia="Calibri" w:cs="Arial"/>
        </w:rPr>
        <w:t>all</w:t>
      </w:r>
      <w:r w:rsidRPr="00B85D62">
        <w:rPr>
          <w:rFonts w:eastAsia="Calibri" w:cs="Arial"/>
          <w:bCs/>
        </w:rPr>
        <w:t xml:space="preserve"> the relatives who were eligible for testing being contacted (Direct: 100%, 95% CI 99% to 100%, 1 study; Indirect: 100%, 95% CI 99% to 100%; 1 study;</w:t>
      </w:r>
      <w:r w:rsidR="00A15DEB" w:rsidRPr="00B85D62">
        <w:rPr>
          <w:rFonts w:eastAsia="Calibri" w:cs="Arial"/>
          <w:bCs/>
        </w:rPr>
        <w:t xml:space="preserve"> </w:t>
      </w:r>
      <w:r w:rsidR="00B85D62" w:rsidRPr="00B85D62">
        <w:rPr>
          <w:i/>
          <w:color w:val="FF0000"/>
        </w:rPr>
        <w:t>F</w:t>
      </w:r>
      <w:r w:rsidR="00B85D62" w:rsidRPr="00B85D62">
        <w:rPr>
          <w:i/>
          <w:color w:val="FF0000"/>
        </w:rPr>
        <w:t>igure</w:t>
      </w:r>
      <w:r w:rsidR="00B85D62" w:rsidRPr="00B85D62">
        <w:rPr>
          <w:i/>
          <w:color w:val="FF0000"/>
        </w:rPr>
        <w:t xml:space="preserve"> </w:t>
      </w:r>
      <w:r w:rsidR="00B85D62" w:rsidRPr="00B85D62">
        <w:rPr>
          <w:i/>
          <w:noProof/>
          <w:color w:val="FF0000"/>
        </w:rPr>
        <w:t>3</w:t>
      </w:r>
      <w:r w:rsidRPr="00B85D62">
        <w:rPr>
          <w:rFonts w:eastAsia="Calibri" w:cs="Arial"/>
          <w:bCs/>
        </w:rPr>
        <w:t xml:space="preserve">). However, in the single study that use a combination of direct and indirect methods a significantly lower proportion of relatives were contacted out of those eligible (65%, 95% CI 63% to 67%; </w:t>
      </w:r>
      <w:r w:rsidRPr="00B85D62">
        <w:rPr>
          <w:rFonts w:eastAsia="Calibri" w:cs="Arial"/>
          <w:bCs/>
          <w:i/>
          <w:color w:val="00B0F0"/>
        </w:rPr>
        <w:t>p</w:t>
      </w:r>
      <w:r w:rsidRPr="00B85D62">
        <w:rPr>
          <w:rFonts w:eastAsia="Calibri" w:cs="Arial"/>
          <w:bCs/>
        </w:rPr>
        <w:t xml:space="preserve"> value for subgroup differences, </w:t>
      </w:r>
      <w:r w:rsidRPr="00B85D62">
        <w:rPr>
          <w:rFonts w:eastAsia="Calibri" w:cs="Arial"/>
          <w:bCs/>
          <w:i/>
          <w:color w:val="00B0F0"/>
        </w:rPr>
        <w:t>p</w:t>
      </w:r>
      <w:r w:rsidR="00B85D62" w:rsidRPr="00B85D62">
        <w:rPr>
          <w:rFonts w:eastAsia="Calibri" w:cs="Arial"/>
          <w:bCs/>
          <w:color w:val="00B0F0"/>
        </w:rPr>
        <w:t>&lt;</w:t>
      </w:r>
      <w:r w:rsidR="00B85D62" w:rsidRPr="00B85D62">
        <w:rPr>
          <w:rFonts w:eastAsia="Calibri" w:cs="Arial"/>
          <w:bCs/>
          <w:color w:val="00B0F0"/>
        </w:rPr>
        <w:t> </w:t>
      </w:r>
      <w:r w:rsidR="00B85D62" w:rsidRPr="00B85D62">
        <w:rPr>
          <w:rFonts w:eastAsia="Calibri" w:cs="Arial"/>
          <w:bCs/>
          <w:color w:val="00B0F0"/>
        </w:rPr>
        <w:t>0</w:t>
      </w:r>
      <w:r w:rsidRPr="00B85D62">
        <w:rPr>
          <w:rFonts w:eastAsia="Calibri" w:cs="Arial"/>
          <w:bCs/>
        </w:rPr>
        <w:t xml:space="preserve">.001). However, in this </w:t>
      </w:r>
      <w:r w:rsidRPr="00B85D62">
        <w:rPr>
          <w:rFonts w:eastAsia="Calibri" w:cs="Arial"/>
          <w:bCs/>
          <w:highlight w:val="magenta"/>
        </w:rPr>
        <w:t>latter</w:t>
      </w:r>
      <w:r w:rsidRPr="00B85D62">
        <w:rPr>
          <w:rFonts w:eastAsia="Calibri" w:cs="Arial"/>
          <w:bCs/>
        </w:rPr>
        <w:t xml:space="preserve"> study, only 26% of the index cases had a diagnosis of definite FH, with the remaining having a possible diagnosis of FH </w:t>
      </w:r>
      <w:r w:rsidR="00F80015" w:rsidRPr="00B85D62">
        <w:rPr>
          <w:rFonts w:eastAsia="Calibri" w:cs="Arial"/>
          <w:bCs/>
          <w:noProof/>
          <w:vertAlign w:val="superscript"/>
        </w:rPr>
        <w:t>42</w:t>
      </w:r>
      <w:r w:rsidRPr="00B85D62">
        <w:rPr>
          <w:rFonts w:eastAsia="Calibri" w:cs="Arial"/>
          <w:bCs/>
        </w:rPr>
        <w:t>.</w:t>
      </w:r>
    </w:p>
    <w:p w14:paraId="447C5328" w14:textId="105DE73E" w:rsidR="00B85D62" w:rsidRPr="00B85D62" w:rsidRDefault="00B85D62" w:rsidP="00A15DEB">
      <w:pPr>
        <w:pStyle w:val="Caption"/>
        <w:keepNext/>
        <w:jc w:val="both"/>
        <w:rPr>
          <w:rFonts w:eastAsia="Calibri" w:cs="Arial"/>
        </w:rPr>
      </w:pPr>
      <w:bookmarkStart w:id="43" w:name="_Toc107157385"/>
      <w:bookmarkStart w:id="44" w:name="_Toc79740222"/>
      <w:r w:rsidRPr="00B85D62">
        <w:rPr>
          <w:i/>
          <w:color w:val="FF0000"/>
        </w:rPr>
        <w:t>F</w:t>
      </w:r>
      <w:r w:rsidRPr="00B85D62">
        <w:rPr>
          <w:i/>
          <w:color w:val="FF0000"/>
        </w:rPr>
        <w:t>igure</w:t>
      </w:r>
      <w:r w:rsidRPr="00B85D62">
        <w:rPr>
          <w:i/>
          <w:color w:val="FF0000"/>
        </w:rPr>
        <w:t xml:space="preserve"> </w:t>
      </w:r>
      <w:r w:rsidRPr="00B85D62">
        <w:rPr>
          <w:i/>
          <w:noProof/>
          <w:color w:val="FF0000"/>
        </w:rPr>
        <w:t>3</w:t>
      </w:r>
      <w:r w:rsidR="00A15DEB" w:rsidRPr="00B85D62">
        <w:rPr>
          <w:rFonts w:eastAsia="Calibri" w:cs="Arial"/>
          <w:bCs/>
        </w:rPr>
        <w:t xml:space="preserve"> Proportion of relatives contacted out of those eligible for FH cascade testing by cascade </w:t>
      </w:r>
      <w:r w:rsidR="1FA4DAB0" w:rsidRPr="00B85D62">
        <w:rPr>
          <w:rFonts w:eastAsia="Calibri" w:cs="Arial"/>
        </w:rPr>
        <w:t>approach</w:t>
      </w:r>
      <w:bookmarkEnd w:id="43"/>
      <w:bookmarkEnd w:id="44"/>
    </w:p>
    <w:p w14:paraId="5DE98E1E" w14:textId="12661B9C" w:rsidR="00EA4AB0" w:rsidRPr="00B85D62" w:rsidRDefault="00B06DB8" w:rsidP="004F3182">
      <w:r w:rsidRPr="00B85D62">
        <w:rPr>
          <w:sz w:val="18"/>
          <w:szCs w:val="18"/>
        </w:rPr>
        <w:t xml:space="preserve">ES=Effect Size; </w:t>
      </w:r>
      <w:r w:rsidR="00EA4AB0" w:rsidRPr="00B85D62">
        <w:rPr>
          <w:sz w:val="18"/>
          <w:szCs w:val="18"/>
        </w:rPr>
        <w:t xml:space="preserve">References for </w:t>
      </w:r>
      <w:r w:rsidR="00B85D62" w:rsidRPr="00B85D62">
        <w:rPr>
          <w:i/>
          <w:color w:val="FF0000"/>
          <w:sz w:val="18"/>
          <w:szCs w:val="18"/>
        </w:rPr>
        <w:t>F</w:t>
      </w:r>
      <w:r w:rsidR="00B85D62" w:rsidRPr="00B85D62">
        <w:rPr>
          <w:i/>
          <w:color w:val="FF0000"/>
          <w:sz w:val="18"/>
          <w:szCs w:val="18"/>
        </w:rPr>
        <w:t>igure</w:t>
      </w:r>
      <w:r w:rsidR="00B85D62" w:rsidRPr="00B85D62">
        <w:rPr>
          <w:i/>
          <w:color w:val="FF0000"/>
          <w:sz w:val="18"/>
          <w:szCs w:val="18"/>
        </w:rPr>
        <w:t xml:space="preserve"> </w:t>
      </w:r>
      <w:r w:rsidR="00B85D62" w:rsidRPr="00B85D62">
        <w:rPr>
          <w:i/>
          <w:color w:val="FF0000"/>
          <w:sz w:val="18"/>
          <w:szCs w:val="18"/>
        </w:rPr>
        <w:t>3</w:t>
      </w:r>
      <w:r w:rsidR="00EA4AB0" w:rsidRPr="00B85D62">
        <w:rPr>
          <w:sz w:val="18"/>
          <w:szCs w:val="18"/>
        </w:rPr>
        <w:t>: Marteau 2004, Marks 2006 and Hadfield 2009</w:t>
      </w:r>
      <w:r w:rsidRPr="00B85D62">
        <w:t xml:space="preserve"> </w:t>
      </w:r>
      <w:r w:rsidR="004372AB" w:rsidRPr="00B85D62">
        <w:rPr>
          <w:noProof/>
          <w:vertAlign w:val="superscript"/>
        </w:rPr>
        <w:t>42, 45, 46</w:t>
      </w:r>
    </w:p>
    <w:p w14:paraId="10974668" w14:textId="1121EF64" w:rsidR="002E2FFB" w:rsidRPr="00B85D62" w:rsidRDefault="3D582D89" w:rsidP="0066232B">
      <w:pPr>
        <w:keepNext/>
        <w:keepLines/>
        <w:spacing w:before="40"/>
        <w:outlineLvl w:val="3"/>
        <w:rPr>
          <w:rFonts w:eastAsia="SimSun" w:cs="Arial"/>
          <w:b/>
          <w:bCs/>
          <w:i/>
          <w:iCs/>
          <w:color w:val="0D0D0D"/>
        </w:rPr>
      </w:pPr>
      <w:r w:rsidRPr="00B85D62">
        <w:rPr>
          <w:rFonts w:eastAsia="SimSun" w:cs="Arial"/>
          <w:b/>
          <w:bCs/>
          <w:i/>
          <w:iCs/>
          <w:color w:val="0D0D0D" w:themeColor="text1" w:themeTint="F2"/>
        </w:rPr>
        <w:t>The proportion of relatives who responded out of those contacted for FH testing</w:t>
      </w:r>
    </w:p>
    <w:p w14:paraId="34AF7F13" w14:textId="77777777" w:rsidR="00B85D62" w:rsidRPr="00B85D62" w:rsidRDefault="002E2FFB" w:rsidP="0066232B">
      <w:pPr>
        <w:jc w:val="both"/>
        <w:rPr>
          <w:rFonts w:cs="Arial"/>
          <w:lang w:eastAsia="ja-JP"/>
        </w:rPr>
      </w:pPr>
      <w:r w:rsidRPr="00B85D62">
        <w:rPr>
          <w:rFonts w:cs="Arial"/>
          <w:lang w:eastAsia="ja-JP"/>
        </w:rPr>
        <w:t xml:space="preserve">Three studies reported </w:t>
      </w:r>
      <w:r w:rsidRPr="00B85D62">
        <w:rPr>
          <w:rFonts w:cs="Arial"/>
          <w:highlight w:val="magenta"/>
          <w:lang w:eastAsia="ja-JP"/>
        </w:rPr>
        <w:t>data</w:t>
      </w:r>
      <w:r w:rsidRPr="00B85D62">
        <w:rPr>
          <w:rFonts w:cs="Arial"/>
          <w:lang w:eastAsia="ja-JP"/>
        </w:rPr>
        <w:t xml:space="preserve"> on the proportion of relatives who responded to cascade screening out of those contacted </w:t>
      </w:r>
      <w:r w:rsidR="00F80015" w:rsidRPr="00B85D62">
        <w:rPr>
          <w:rFonts w:cs="Arial"/>
          <w:noProof/>
          <w:vertAlign w:val="superscript"/>
          <w:lang w:eastAsia="ja-JP"/>
        </w:rPr>
        <w:t>42, 45, 46</w:t>
      </w:r>
      <w:r w:rsidRPr="00B85D62">
        <w:rPr>
          <w:rFonts w:cs="Arial"/>
          <w:lang w:eastAsia="ja-JP"/>
        </w:rPr>
        <w:t>, which found on average 43% of relatives responded out of those contacted (95% CI 28% to 58%; 3 studies)</w:t>
      </w:r>
    </w:p>
    <w:p w14:paraId="739A4E69" w14:textId="6F298327" w:rsidR="00B85D62" w:rsidRPr="00B85D62" w:rsidRDefault="002E2FFB" w:rsidP="0066232B">
      <w:pPr>
        <w:jc w:val="both"/>
        <w:rPr>
          <w:rFonts w:cs="Arial"/>
          <w:color w:val="000000" w:themeColor="text1"/>
          <w:lang w:eastAsia="ja-JP"/>
        </w:rPr>
      </w:pPr>
      <w:r w:rsidRPr="00B85D62">
        <w:rPr>
          <w:rFonts w:cs="Arial"/>
          <w:color w:val="000000" w:themeColor="text1"/>
          <w:lang w:eastAsia="ja-JP"/>
        </w:rPr>
        <w:t xml:space="preserve">Using a combination of direct or indirect </w:t>
      </w:r>
      <w:r w:rsidR="5BD4D62D" w:rsidRPr="00B85D62">
        <w:rPr>
          <w:rFonts w:cs="Arial"/>
          <w:color w:val="000000" w:themeColor="text1"/>
          <w:lang w:eastAsia="ja-JP"/>
        </w:rPr>
        <w:t xml:space="preserve">approach </w:t>
      </w:r>
      <w:r w:rsidRPr="00B85D62">
        <w:rPr>
          <w:rFonts w:cs="Arial"/>
          <w:color w:val="000000" w:themeColor="text1"/>
          <w:lang w:eastAsia="ja-JP"/>
        </w:rPr>
        <w:t xml:space="preserve">yielded a significantly greater proportion of relatives responding out of those contacted (54%, 95% CI 51% to 56%, 1 study) </w:t>
      </w:r>
      <w:r w:rsidRPr="00B85D62">
        <w:rPr>
          <w:rFonts w:cs="Arial"/>
          <w:color w:val="000000" w:themeColor="text1"/>
          <w:highlight w:val="magenta"/>
          <w:lang w:eastAsia="ja-JP"/>
        </w:rPr>
        <w:t>compared to</w:t>
      </w:r>
      <w:r w:rsidRPr="00B85D62">
        <w:rPr>
          <w:rFonts w:cs="Arial"/>
          <w:color w:val="000000" w:themeColor="text1"/>
          <w:lang w:eastAsia="ja-JP"/>
        </w:rPr>
        <w:t xml:space="preserve"> using either an indirect </w:t>
      </w:r>
      <w:r w:rsidR="5BD4D62D" w:rsidRPr="00B85D62">
        <w:rPr>
          <w:rFonts w:cs="Arial"/>
          <w:color w:val="000000" w:themeColor="text1"/>
          <w:lang w:eastAsia="ja-JP"/>
        </w:rPr>
        <w:t xml:space="preserve">approach </w:t>
      </w:r>
      <w:r w:rsidRPr="00B85D62">
        <w:rPr>
          <w:rFonts w:cs="Arial"/>
          <w:color w:val="000000" w:themeColor="text1"/>
          <w:lang w:eastAsia="ja-JP"/>
        </w:rPr>
        <w:t xml:space="preserve">(31%, 95% CI 27% to 35%, 1 study) or using a direct </w:t>
      </w:r>
      <w:r w:rsidR="5BD4D62D" w:rsidRPr="00B85D62">
        <w:rPr>
          <w:rFonts w:cs="Arial"/>
          <w:color w:val="000000" w:themeColor="text1"/>
          <w:lang w:eastAsia="ja-JP"/>
        </w:rPr>
        <w:t xml:space="preserve">approach </w:t>
      </w:r>
      <w:r w:rsidRPr="00B85D62">
        <w:rPr>
          <w:rFonts w:cs="Arial"/>
          <w:color w:val="000000" w:themeColor="text1"/>
          <w:lang w:eastAsia="ja-JP"/>
        </w:rPr>
        <w:t>(45%, 95% CI 39% to 51%, 1 study) (</w:t>
      </w:r>
      <w:r w:rsidRPr="00B85D62">
        <w:rPr>
          <w:rFonts w:cs="Arial"/>
          <w:i/>
          <w:color w:val="00B0F0"/>
          <w:lang w:eastAsia="ja-JP"/>
        </w:rPr>
        <w:t>p</w:t>
      </w:r>
      <w:r w:rsidRPr="00B85D62">
        <w:rPr>
          <w:rFonts w:cs="Arial"/>
          <w:color w:val="000000" w:themeColor="text1"/>
          <w:lang w:eastAsia="ja-JP"/>
        </w:rPr>
        <w:t xml:space="preserve"> value for subgroup difference, </w:t>
      </w:r>
      <w:r w:rsidRPr="00B85D62">
        <w:rPr>
          <w:rFonts w:cs="Arial"/>
          <w:i/>
          <w:color w:val="00B0F0"/>
          <w:lang w:eastAsia="ja-JP"/>
        </w:rPr>
        <w:t>p</w:t>
      </w:r>
      <w:r w:rsidR="00B85D62" w:rsidRPr="00B85D62">
        <w:rPr>
          <w:rFonts w:cs="Arial"/>
          <w:color w:val="00B0F0"/>
          <w:lang w:eastAsia="ja-JP"/>
        </w:rPr>
        <w:t>&lt;</w:t>
      </w:r>
      <w:r w:rsidR="00B85D62" w:rsidRPr="00B85D62">
        <w:rPr>
          <w:rFonts w:cs="Arial"/>
          <w:color w:val="00B0F0"/>
          <w:lang w:eastAsia="ja-JP"/>
        </w:rPr>
        <w:t> </w:t>
      </w:r>
      <w:r w:rsidR="00B85D62" w:rsidRPr="00B85D62">
        <w:rPr>
          <w:rFonts w:cs="Arial"/>
          <w:color w:val="00B0F0"/>
          <w:lang w:eastAsia="ja-JP"/>
        </w:rPr>
        <w:t>0</w:t>
      </w:r>
      <w:r w:rsidRPr="00B85D62">
        <w:rPr>
          <w:rFonts w:cs="Arial"/>
          <w:color w:val="000000" w:themeColor="text1"/>
          <w:lang w:eastAsia="ja-JP"/>
        </w:rPr>
        <w:t>.001).</w:t>
      </w:r>
    </w:p>
    <w:p w14:paraId="15D7440E" w14:textId="77777777" w:rsidR="00B85D62" w:rsidRPr="00B85D62" w:rsidRDefault="3D582D89" w:rsidP="0066232B">
      <w:pPr>
        <w:keepNext/>
        <w:keepLines/>
        <w:spacing w:before="40"/>
        <w:outlineLvl w:val="3"/>
        <w:rPr>
          <w:rFonts w:eastAsia="SimSun" w:cs="Arial"/>
          <w:b/>
          <w:bCs/>
          <w:i/>
          <w:iCs/>
          <w:color w:val="0D0D0D" w:themeColor="text1" w:themeTint="F2"/>
        </w:rPr>
      </w:pPr>
      <w:r w:rsidRPr="00B85D62">
        <w:rPr>
          <w:rFonts w:eastAsia="SimSun" w:cs="Arial"/>
          <w:b/>
          <w:bCs/>
          <w:i/>
          <w:iCs/>
          <w:color w:val="0D0D0D" w:themeColor="text1" w:themeTint="F2"/>
        </w:rPr>
        <w:t>The proportion of relatives with confirmed FH of those tested</w:t>
      </w:r>
    </w:p>
    <w:p w14:paraId="743BF7DE" w14:textId="209B815F" w:rsidR="00B85D62" w:rsidRPr="00B85D62" w:rsidRDefault="54F9349D" w:rsidP="0066232B">
      <w:pPr>
        <w:spacing w:before="100" w:beforeAutospacing="1" w:after="100" w:afterAutospacing="1"/>
        <w:jc w:val="both"/>
        <w:rPr>
          <w:rFonts w:cs="Arial"/>
          <w:color w:val="000000" w:themeColor="text1"/>
          <w:lang w:eastAsia="ja-JP"/>
        </w:rPr>
      </w:pPr>
      <w:r w:rsidRPr="00B85D62">
        <w:rPr>
          <w:rFonts w:cs="Arial"/>
          <w:color w:val="000000" w:themeColor="text1"/>
          <w:lang w:eastAsia="ja-JP"/>
        </w:rPr>
        <w:t xml:space="preserve">Twenty-one of the included studies reported </w:t>
      </w:r>
      <w:r w:rsidRPr="00B85D62">
        <w:rPr>
          <w:rFonts w:cs="Arial"/>
          <w:color w:val="000000" w:themeColor="text1"/>
          <w:highlight w:val="magenta"/>
          <w:lang w:eastAsia="ja-JP"/>
        </w:rPr>
        <w:t>data</w:t>
      </w:r>
      <w:r w:rsidRPr="00B85D62">
        <w:rPr>
          <w:rFonts w:cs="Arial"/>
          <w:color w:val="000000" w:themeColor="text1"/>
          <w:lang w:eastAsia="ja-JP"/>
        </w:rPr>
        <w:t xml:space="preserve"> on the proportion of relatives confirmed as FH out of the number of relatives tested (</w:t>
      </w:r>
      <w:r w:rsidR="00B85D62" w:rsidRPr="00B85D62">
        <w:rPr>
          <w:i/>
          <w:color w:val="FF0000"/>
        </w:rPr>
        <w:t>F</w:t>
      </w:r>
      <w:r w:rsidR="00B85D62" w:rsidRPr="00B85D62">
        <w:rPr>
          <w:i/>
          <w:color w:val="FF0000"/>
        </w:rPr>
        <w:t>igure</w:t>
      </w:r>
      <w:r w:rsidR="00B85D62" w:rsidRPr="00B85D62">
        <w:rPr>
          <w:i/>
          <w:color w:val="FF0000"/>
        </w:rPr>
        <w:t xml:space="preserve"> </w:t>
      </w:r>
      <w:r w:rsidR="00B85D62" w:rsidRPr="00B85D62">
        <w:rPr>
          <w:i/>
          <w:noProof/>
          <w:color w:val="FF0000"/>
        </w:rPr>
        <w:t>4</w:t>
      </w:r>
      <w:r w:rsidRPr="00B85D62">
        <w:rPr>
          <w:rFonts w:cs="Arial"/>
          <w:color w:val="000000" w:themeColor="text1"/>
          <w:lang w:eastAsia="ja-JP"/>
        </w:rPr>
        <w:t>). On average 47% of relatives were confirmed to have FH out of those tested (95% CI 42% to 52%; 21 studies). Contact strategies were found to produce similar pooled results (Direct: 50%, 95% CI 41% to 58%, I</w:t>
      </w:r>
      <w:r w:rsidRPr="00B85D62">
        <w:rPr>
          <w:rFonts w:cs="Arial"/>
          <w:color w:val="000000" w:themeColor="text1"/>
          <w:vertAlign w:val="superscript"/>
          <w:lang w:eastAsia="ja-JP"/>
        </w:rPr>
        <w:t>2</w:t>
      </w:r>
      <w:r w:rsidRPr="00B85D62">
        <w:rPr>
          <w:rFonts w:cs="Arial"/>
          <w:color w:val="000000" w:themeColor="text1"/>
          <w:lang w:eastAsia="ja-JP"/>
        </w:rPr>
        <w:t>=97%,</w:t>
      </w:r>
      <w:r w:rsidRPr="00B85D62">
        <w:rPr>
          <w:rFonts w:cs="Arial"/>
          <w:color w:val="000000" w:themeColor="text1"/>
          <w:vertAlign w:val="superscript"/>
          <w:lang w:eastAsia="ja-JP"/>
        </w:rPr>
        <w:t xml:space="preserve"> </w:t>
      </w:r>
      <w:r w:rsidRPr="00B85D62">
        <w:rPr>
          <w:rFonts w:cs="Arial"/>
          <w:color w:val="000000" w:themeColor="text1"/>
          <w:lang w:eastAsia="ja-JP"/>
        </w:rPr>
        <w:t>10 studies; Indirect: 45%, 95% CI 38% to 53%, I</w:t>
      </w:r>
      <w:r w:rsidRPr="00B85D62">
        <w:rPr>
          <w:rFonts w:cs="Arial"/>
          <w:color w:val="000000" w:themeColor="text1"/>
          <w:vertAlign w:val="superscript"/>
          <w:lang w:eastAsia="ja-JP"/>
        </w:rPr>
        <w:t>2</w:t>
      </w:r>
      <w:r w:rsidRPr="00B85D62">
        <w:rPr>
          <w:rFonts w:cs="Arial"/>
          <w:color w:val="000000" w:themeColor="text1"/>
          <w:lang w:eastAsia="ja-JP"/>
        </w:rPr>
        <w:t>=82%,</w:t>
      </w:r>
      <w:r w:rsidRPr="00B85D62">
        <w:rPr>
          <w:rFonts w:cs="Arial"/>
          <w:color w:val="000000" w:themeColor="text1"/>
          <w:vertAlign w:val="superscript"/>
          <w:lang w:eastAsia="ja-JP"/>
        </w:rPr>
        <w:t xml:space="preserve"> </w:t>
      </w:r>
      <w:r w:rsidRPr="00B85D62">
        <w:rPr>
          <w:rFonts w:cs="Arial"/>
          <w:color w:val="000000" w:themeColor="text1"/>
          <w:lang w:eastAsia="ja-JP"/>
        </w:rPr>
        <w:t>7 studies; Combination: 43%, 95% CI 29% to 58%, I</w:t>
      </w:r>
      <w:r w:rsidRPr="00B85D62">
        <w:rPr>
          <w:rFonts w:cs="Arial"/>
          <w:color w:val="000000" w:themeColor="text1"/>
          <w:vertAlign w:val="superscript"/>
          <w:lang w:eastAsia="ja-JP"/>
        </w:rPr>
        <w:t>2</w:t>
      </w:r>
      <w:r w:rsidRPr="00B85D62">
        <w:rPr>
          <w:rFonts w:cs="Arial"/>
          <w:color w:val="000000" w:themeColor="text1"/>
          <w:lang w:eastAsia="ja-JP"/>
        </w:rPr>
        <w:t>=98,</w:t>
      </w:r>
      <w:r w:rsidRPr="00B85D62">
        <w:rPr>
          <w:rFonts w:cs="Arial"/>
          <w:color w:val="000000" w:themeColor="text1"/>
          <w:vertAlign w:val="superscript"/>
          <w:lang w:eastAsia="ja-JP"/>
        </w:rPr>
        <w:t xml:space="preserve"> </w:t>
      </w:r>
      <w:r w:rsidRPr="00B85D62">
        <w:rPr>
          <w:rFonts w:cs="Arial"/>
          <w:color w:val="000000" w:themeColor="text1"/>
          <w:lang w:eastAsia="ja-JP"/>
        </w:rPr>
        <w:t xml:space="preserve">4 studies; </w:t>
      </w:r>
      <w:r w:rsidRPr="00B85D62">
        <w:rPr>
          <w:rFonts w:cs="Arial"/>
          <w:i/>
          <w:color w:val="00B0F0"/>
          <w:lang w:eastAsia="ja-JP"/>
        </w:rPr>
        <w:t>p</w:t>
      </w:r>
      <w:r w:rsidRPr="00B85D62">
        <w:rPr>
          <w:rFonts w:cs="Arial"/>
          <w:color w:val="000000" w:themeColor="text1"/>
          <w:lang w:eastAsia="ja-JP"/>
        </w:rPr>
        <w:t xml:space="preserve"> value for subgroup differences, </w:t>
      </w:r>
      <w:r w:rsidRPr="00B85D62">
        <w:rPr>
          <w:rFonts w:cs="Arial"/>
          <w:i/>
          <w:color w:val="00B0F0"/>
          <w:lang w:eastAsia="ja-JP"/>
        </w:rPr>
        <w:t>p</w:t>
      </w:r>
      <w:r w:rsidRPr="00B85D62">
        <w:rPr>
          <w:rFonts w:cs="Arial"/>
          <w:color w:val="000000" w:themeColor="text1"/>
          <w:lang w:eastAsia="ja-JP"/>
        </w:rPr>
        <w:t>=0.67).</w:t>
      </w:r>
    </w:p>
    <w:p w14:paraId="383E18D1" w14:textId="3BC7FB05" w:rsidR="00B85D62" w:rsidRPr="00B85D62" w:rsidRDefault="00B85D62" w:rsidP="00A15DEB">
      <w:pPr>
        <w:pStyle w:val="Caption"/>
        <w:keepNext/>
        <w:jc w:val="both"/>
      </w:pPr>
      <w:bookmarkStart w:id="45" w:name="_Toc107157386"/>
      <w:bookmarkStart w:id="46" w:name="_Toc79740223"/>
      <w:r w:rsidRPr="00B85D62">
        <w:rPr>
          <w:i/>
          <w:color w:val="FF0000"/>
        </w:rPr>
        <w:t>F</w:t>
      </w:r>
      <w:r w:rsidRPr="00B85D62">
        <w:rPr>
          <w:i/>
          <w:color w:val="FF0000"/>
        </w:rPr>
        <w:t>igure</w:t>
      </w:r>
      <w:r w:rsidRPr="00B85D62">
        <w:rPr>
          <w:i/>
          <w:color w:val="FF0000"/>
        </w:rPr>
        <w:t xml:space="preserve"> </w:t>
      </w:r>
      <w:r w:rsidRPr="00B85D62">
        <w:rPr>
          <w:i/>
          <w:noProof/>
          <w:color w:val="FF0000"/>
        </w:rPr>
        <w:t>4</w:t>
      </w:r>
      <w:r w:rsidR="00A15DEB" w:rsidRPr="00B85D62">
        <w:t xml:space="preserve"> Proportion of relatives confirmed with FH out of those tested by cascade </w:t>
      </w:r>
      <w:r w:rsidR="1FA4DAB0" w:rsidRPr="00B85D62">
        <w:t>approach</w:t>
      </w:r>
      <w:bookmarkEnd w:id="45"/>
      <w:bookmarkEnd w:id="46"/>
    </w:p>
    <w:p w14:paraId="5F48BE43" w14:textId="642F264C" w:rsidR="00EA4AB0" w:rsidRPr="00B85D62" w:rsidRDefault="00B06DB8" w:rsidP="004F3182">
      <w:r w:rsidRPr="00B85D62">
        <w:rPr>
          <w:sz w:val="18"/>
          <w:szCs w:val="18"/>
        </w:rPr>
        <w:t xml:space="preserve">ES=Effect Size; </w:t>
      </w:r>
      <w:r w:rsidR="00EA4AB0" w:rsidRPr="00B85D62">
        <w:rPr>
          <w:sz w:val="18"/>
          <w:szCs w:val="18"/>
        </w:rPr>
        <w:t xml:space="preserve">References for </w:t>
      </w:r>
      <w:r w:rsidR="00B85D62" w:rsidRPr="00B85D62">
        <w:rPr>
          <w:i/>
          <w:color w:val="FF0000"/>
          <w:sz w:val="18"/>
          <w:szCs w:val="18"/>
        </w:rPr>
        <w:t>F</w:t>
      </w:r>
      <w:r w:rsidR="00B85D62" w:rsidRPr="00B85D62">
        <w:rPr>
          <w:i/>
          <w:color w:val="FF0000"/>
          <w:sz w:val="18"/>
          <w:szCs w:val="18"/>
        </w:rPr>
        <w:t>igure</w:t>
      </w:r>
      <w:r w:rsidR="00B85D62" w:rsidRPr="00B85D62">
        <w:rPr>
          <w:i/>
          <w:color w:val="FF0000"/>
          <w:sz w:val="18"/>
          <w:szCs w:val="18"/>
        </w:rPr>
        <w:t xml:space="preserve"> </w:t>
      </w:r>
      <w:r w:rsidR="00B85D62" w:rsidRPr="00B85D62">
        <w:rPr>
          <w:i/>
          <w:color w:val="FF0000"/>
          <w:sz w:val="18"/>
          <w:szCs w:val="18"/>
        </w:rPr>
        <w:t>4</w:t>
      </w:r>
      <w:r w:rsidR="00EA4AB0" w:rsidRPr="00B85D62">
        <w:rPr>
          <w:sz w:val="18"/>
          <w:szCs w:val="18"/>
        </w:rPr>
        <w:t>: Andersen 1997, Bhatnagar 2000, Davis 2016, Descamps 2020, Elis 2019, Marteau 2004, Muir 2010, Raal 2020, Setia 2018, Umans-Eckenhausen 2001, Alver 2019, Breen 2011, Chan 201</w:t>
      </w:r>
      <w:r w:rsidR="00BF1672" w:rsidRPr="00B85D62">
        <w:rPr>
          <w:sz w:val="18"/>
          <w:szCs w:val="18"/>
        </w:rPr>
        <w:t>9</w:t>
      </w:r>
      <w:r w:rsidR="00EA4AB0" w:rsidRPr="00B85D62">
        <w:rPr>
          <w:sz w:val="18"/>
          <w:szCs w:val="18"/>
        </w:rPr>
        <w:t>, Latkovskis 2018, Leren 2008, Marks 2006, Neuner 2019, Bell 2015, Edwards 2013, Hadfield 2009, Webster 2019</w:t>
      </w:r>
      <w:r w:rsidR="00EA4AB0" w:rsidRPr="00B85D62">
        <w:t xml:space="preserve"> </w:t>
      </w:r>
      <w:r w:rsidR="004372AB" w:rsidRPr="00B85D62">
        <w:rPr>
          <w:noProof/>
          <w:vertAlign w:val="superscript"/>
        </w:rPr>
        <w:t>33</w:t>
      </w:r>
      <w:r w:rsidR="00B85D62" w:rsidRPr="00B85D62">
        <w:rPr>
          <w:noProof/>
          <w:color w:val="00B0F0"/>
          <w:vertAlign w:val="superscript"/>
        </w:rPr>
        <w:t>–</w:t>
      </w:r>
      <w:r w:rsidR="00B85D62" w:rsidRPr="00B85D62">
        <w:rPr>
          <w:noProof/>
          <w:color w:val="00B0F0"/>
          <w:vertAlign w:val="superscript"/>
        </w:rPr>
        <w:t>3</w:t>
      </w:r>
      <w:r w:rsidR="004372AB" w:rsidRPr="00B85D62">
        <w:rPr>
          <w:noProof/>
          <w:vertAlign w:val="superscript"/>
        </w:rPr>
        <w:t>8, 40</w:t>
      </w:r>
      <w:r w:rsidR="00B85D62" w:rsidRPr="00B85D62">
        <w:rPr>
          <w:noProof/>
          <w:color w:val="00B0F0"/>
          <w:vertAlign w:val="superscript"/>
        </w:rPr>
        <w:t>–</w:t>
      </w:r>
      <w:r w:rsidR="00B85D62" w:rsidRPr="00B85D62">
        <w:rPr>
          <w:noProof/>
          <w:color w:val="00B0F0"/>
          <w:vertAlign w:val="superscript"/>
        </w:rPr>
        <w:t>4</w:t>
      </w:r>
      <w:r w:rsidR="004372AB" w:rsidRPr="00B85D62">
        <w:rPr>
          <w:noProof/>
          <w:vertAlign w:val="superscript"/>
        </w:rPr>
        <w:t>2, 44</w:t>
      </w:r>
      <w:r w:rsidR="00B85D62" w:rsidRPr="00B85D62">
        <w:rPr>
          <w:noProof/>
          <w:color w:val="00B0F0"/>
          <w:vertAlign w:val="superscript"/>
        </w:rPr>
        <w:t>–</w:t>
      </w:r>
      <w:r w:rsidR="00B85D62" w:rsidRPr="00B85D62">
        <w:rPr>
          <w:noProof/>
          <w:color w:val="00B0F0"/>
          <w:vertAlign w:val="superscript"/>
        </w:rPr>
        <w:t>4</w:t>
      </w:r>
      <w:r w:rsidR="004372AB" w:rsidRPr="00B85D62">
        <w:rPr>
          <w:noProof/>
          <w:vertAlign w:val="superscript"/>
        </w:rPr>
        <w:t>7, 49, 51, 52, 55, 59</w:t>
      </w:r>
      <w:r w:rsidR="00B85D62" w:rsidRPr="00B85D62">
        <w:rPr>
          <w:noProof/>
          <w:color w:val="00B0F0"/>
          <w:vertAlign w:val="superscript"/>
        </w:rPr>
        <w:t>–</w:t>
      </w:r>
      <w:r w:rsidR="00B85D62" w:rsidRPr="00B85D62">
        <w:rPr>
          <w:noProof/>
          <w:color w:val="00B0F0"/>
          <w:vertAlign w:val="superscript"/>
        </w:rPr>
        <w:t>6</w:t>
      </w:r>
      <w:r w:rsidR="004372AB" w:rsidRPr="00B85D62">
        <w:rPr>
          <w:noProof/>
          <w:vertAlign w:val="superscript"/>
        </w:rPr>
        <w:t>2</w:t>
      </w:r>
    </w:p>
    <w:p w14:paraId="2222390F" w14:textId="77777777" w:rsidR="00B85D62" w:rsidRPr="00B85D62" w:rsidRDefault="002E2FFB" w:rsidP="0066232B">
      <w:pPr>
        <w:jc w:val="both"/>
        <w:rPr>
          <w:rFonts w:eastAsia="Calibri" w:cs="Arial"/>
          <w:b/>
          <w:bCs/>
          <w:i/>
        </w:rPr>
      </w:pPr>
      <w:r w:rsidRPr="00B85D62">
        <w:rPr>
          <w:rFonts w:eastAsia="Calibri" w:cs="Arial"/>
          <w:b/>
          <w:i/>
        </w:rPr>
        <w:t>The proportion of index cases who participated in cascade testing out of those confirmed with FH</w:t>
      </w:r>
    </w:p>
    <w:p w14:paraId="3F6FA16B" w14:textId="49326680" w:rsidR="00B85D62" w:rsidRPr="00B85D62" w:rsidRDefault="002E2FFB" w:rsidP="0066232B">
      <w:pPr>
        <w:jc w:val="both"/>
        <w:rPr>
          <w:rFonts w:eastAsia="Calibri" w:cs="Arial"/>
          <w:color w:val="000000" w:themeColor="text1"/>
        </w:rPr>
      </w:pPr>
      <w:r w:rsidRPr="00B85D62">
        <w:rPr>
          <w:rFonts w:eastAsia="Calibri" w:cs="Arial"/>
          <w:color w:val="000000" w:themeColor="text1"/>
        </w:rPr>
        <w:t xml:space="preserve">Seventeen studies reported </w:t>
      </w:r>
      <w:r w:rsidRPr="00B85D62">
        <w:rPr>
          <w:rFonts w:eastAsia="Calibri" w:cs="Arial"/>
          <w:color w:val="000000" w:themeColor="text1"/>
          <w:highlight w:val="magenta"/>
        </w:rPr>
        <w:t>data</w:t>
      </w:r>
      <w:r w:rsidRPr="00B85D62">
        <w:rPr>
          <w:rFonts w:eastAsia="Calibri" w:cs="Arial"/>
          <w:color w:val="000000" w:themeColor="text1"/>
        </w:rPr>
        <w:t xml:space="preserve"> on the proportion of index cases who participated in FH cascade testing out of those confirmed with FH</w:t>
      </w:r>
      <w:r w:rsidR="00C46AFD" w:rsidRPr="00B85D62">
        <w:rPr>
          <w:rFonts w:eastAsia="Calibri" w:cs="Arial"/>
          <w:color w:val="000000" w:themeColor="text1"/>
        </w:rPr>
        <w:t xml:space="preserve">. </w:t>
      </w:r>
      <w:r w:rsidRPr="00B85D62">
        <w:rPr>
          <w:rFonts w:eastAsia="Calibri" w:cs="Arial"/>
          <w:color w:val="000000" w:themeColor="text1"/>
        </w:rPr>
        <w:t xml:space="preserve">On average, 89% of index cases participated in cascade testing out of those confirmed with a diagnosis of FH (95% CI 73% to 99%, 17 studies); however, the estimates varied significantly by the cascade </w:t>
      </w:r>
      <w:r w:rsidR="5BD4D62D" w:rsidRPr="00B85D62">
        <w:rPr>
          <w:rFonts w:eastAsia="Calibri" w:cs="Arial"/>
          <w:color w:val="000000" w:themeColor="text1"/>
        </w:rPr>
        <w:t xml:space="preserve">approach </w:t>
      </w:r>
      <w:r w:rsidRPr="00B85D62">
        <w:rPr>
          <w:rFonts w:eastAsia="Calibri" w:cs="Arial"/>
          <w:color w:val="000000" w:themeColor="text1"/>
        </w:rPr>
        <w:t>used (</w:t>
      </w:r>
      <w:r w:rsidRPr="00B85D62">
        <w:rPr>
          <w:rFonts w:eastAsia="Calibri" w:cs="Arial"/>
          <w:i/>
          <w:color w:val="00B0F0"/>
        </w:rPr>
        <w:t>p</w:t>
      </w:r>
      <w:r w:rsidRPr="00B85D62">
        <w:rPr>
          <w:rFonts w:eastAsia="Calibri" w:cs="Arial"/>
          <w:color w:val="000000" w:themeColor="text1"/>
        </w:rPr>
        <w:t xml:space="preserve"> value for subgroup differences, </w:t>
      </w:r>
      <w:r w:rsidRPr="00B85D62">
        <w:rPr>
          <w:rFonts w:eastAsia="Calibri" w:cs="Arial"/>
          <w:i/>
          <w:color w:val="00B0F0"/>
        </w:rPr>
        <w:t>p</w:t>
      </w:r>
      <w:r w:rsidR="00B85D62" w:rsidRPr="00B85D62">
        <w:rPr>
          <w:rFonts w:eastAsia="Calibri" w:cs="Arial"/>
          <w:color w:val="00B0F0"/>
        </w:rPr>
        <w:t>&lt;</w:t>
      </w:r>
      <w:r w:rsidR="00B85D62" w:rsidRPr="00B85D62">
        <w:rPr>
          <w:rFonts w:eastAsia="Calibri" w:cs="Arial"/>
          <w:color w:val="00B0F0"/>
        </w:rPr>
        <w:t> </w:t>
      </w:r>
      <w:r w:rsidR="00B85D62" w:rsidRPr="00B85D62">
        <w:rPr>
          <w:rFonts w:eastAsia="Calibri" w:cs="Arial"/>
          <w:color w:val="00B0F0"/>
        </w:rPr>
        <w:t>0</w:t>
      </w:r>
      <w:r w:rsidRPr="00B85D62">
        <w:rPr>
          <w:rFonts w:eastAsia="Calibri" w:cs="Arial"/>
          <w:color w:val="000000" w:themeColor="text1"/>
        </w:rPr>
        <w:t xml:space="preserve">.001). The yield was highest using a direct </w:t>
      </w:r>
      <w:r w:rsidR="5BD4D62D" w:rsidRPr="00B85D62">
        <w:rPr>
          <w:rFonts w:eastAsia="Calibri" w:cs="Arial"/>
          <w:color w:val="000000" w:themeColor="text1"/>
        </w:rPr>
        <w:t xml:space="preserve">approach </w:t>
      </w:r>
      <w:r w:rsidRPr="00B85D62">
        <w:rPr>
          <w:rFonts w:eastAsia="Calibri" w:cs="Arial"/>
          <w:color w:val="000000" w:themeColor="text1"/>
        </w:rPr>
        <w:t>(95%, 95% CI 83% to 100%, I</w:t>
      </w:r>
      <w:r w:rsidRPr="00B85D62">
        <w:rPr>
          <w:rFonts w:eastAsia="Calibri" w:cs="Arial"/>
          <w:color w:val="000000" w:themeColor="text1"/>
          <w:vertAlign w:val="superscript"/>
        </w:rPr>
        <w:t>2</w:t>
      </w:r>
      <w:r w:rsidRPr="00B85D62">
        <w:rPr>
          <w:rFonts w:eastAsia="Calibri" w:cs="Arial"/>
          <w:color w:val="000000" w:themeColor="text1"/>
        </w:rPr>
        <w:t xml:space="preserve">=98%, 9 studies), a slightly lower yield was seen using an indirect </w:t>
      </w:r>
      <w:r w:rsidR="5BD4D62D" w:rsidRPr="00B85D62">
        <w:rPr>
          <w:rFonts w:eastAsia="Calibri" w:cs="Arial"/>
          <w:color w:val="000000" w:themeColor="text1"/>
        </w:rPr>
        <w:t xml:space="preserve">approach </w:t>
      </w:r>
      <w:r w:rsidRPr="00B85D62">
        <w:rPr>
          <w:rFonts w:eastAsia="Calibri" w:cs="Arial"/>
          <w:color w:val="000000" w:themeColor="text1"/>
        </w:rPr>
        <w:t xml:space="preserve">(78%, </w:t>
      </w:r>
      <w:r w:rsidRPr="00B85D62">
        <w:rPr>
          <w:rFonts w:eastAsia="Calibri" w:cs="Arial"/>
          <w:color w:val="000000" w:themeColor="text1"/>
        </w:rPr>
        <w:lastRenderedPageBreak/>
        <w:t>95% CI 46% to 99%, I</w:t>
      </w:r>
      <w:r w:rsidRPr="00B85D62">
        <w:rPr>
          <w:rFonts w:eastAsia="Calibri" w:cs="Arial"/>
          <w:color w:val="000000" w:themeColor="text1"/>
          <w:vertAlign w:val="superscript"/>
        </w:rPr>
        <w:t>2</w:t>
      </w:r>
      <w:r w:rsidRPr="00B85D62">
        <w:rPr>
          <w:rFonts w:eastAsia="Calibri" w:cs="Arial"/>
          <w:color w:val="000000" w:themeColor="text1"/>
        </w:rPr>
        <w:t xml:space="preserve">=99%, 6 studies), and the lowest yield was seen using a combination of direct and indirect </w:t>
      </w:r>
      <w:r w:rsidR="5BD4D62D" w:rsidRPr="00B85D62">
        <w:rPr>
          <w:rFonts w:eastAsia="Calibri" w:cs="Arial"/>
          <w:color w:val="000000" w:themeColor="text1"/>
        </w:rPr>
        <w:t xml:space="preserve">approaches </w:t>
      </w:r>
      <w:r w:rsidRPr="00B85D62">
        <w:rPr>
          <w:rFonts w:eastAsia="Calibri" w:cs="Arial"/>
          <w:color w:val="000000" w:themeColor="text1"/>
        </w:rPr>
        <w:t>(60%, 95% CI 56% to 63%, 2 studies).</w:t>
      </w:r>
    </w:p>
    <w:p w14:paraId="7E0FB837" w14:textId="15F3A78E" w:rsidR="002E2FFB" w:rsidRPr="00B85D62" w:rsidRDefault="1A6CE038" w:rsidP="006C7E71">
      <w:pPr>
        <w:pStyle w:val="Heading3"/>
        <w:rPr>
          <w:rFonts w:eastAsia="Yu Gothic Light"/>
          <w:bCs/>
        </w:rPr>
      </w:pPr>
      <w:bookmarkStart w:id="47" w:name="_Toc107157442"/>
      <w:r w:rsidRPr="00B85D62">
        <w:t>Conclusion</w:t>
      </w:r>
      <w:bookmarkEnd w:id="47"/>
    </w:p>
    <w:p w14:paraId="6D33D45C" w14:textId="0416C9F7" w:rsidR="00B85D62" w:rsidRPr="00B85D62" w:rsidRDefault="002E2FFB" w:rsidP="0066232B">
      <w:pPr>
        <w:jc w:val="both"/>
        <w:rPr>
          <w:rFonts w:eastAsia="Calibri" w:cs="Arial"/>
        </w:rPr>
      </w:pPr>
      <w:r w:rsidRPr="00B85D62">
        <w:rPr>
          <w:rFonts w:eastAsia="Calibri" w:cs="Arial"/>
        </w:rPr>
        <w:t xml:space="preserve">The review provides tentative support for the combination approach to cascade testing where the index case determines which method is used to contact relatives. However, further evidence to support the combination approach requires experimental studies to compare the cascade approaches </w:t>
      </w:r>
      <w:r w:rsidR="00D33027" w:rsidRPr="00B85D62">
        <w:rPr>
          <w:rFonts w:eastAsia="Calibri" w:cs="Arial"/>
        </w:rPr>
        <w:t>and/</w:t>
      </w:r>
      <w:r w:rsidRPr="00B85D62">
        <w:rPr>
          <w:rFonts w:eastAsia="Calibri" w:cs="Arial"/>
        </w:rPr>
        <w:t xml:space="preserve">or interrogation of routine </w:t>
      </w:r>
      <w:r w:rsidR="00B85D62" w:rsidRPr="00B85D62">
        <w:rPr>
          <w:rFonts w:eastAsia="Calibri" w:cs="Arial"/>
          <w:color w:val="00B0F0"/>
          <w:highlight w:val="magenta"/>
        </w:rPr>
        <w:t>data</w:t>
      </w:r>
      <w:r w:rsidR="00B85D62" w:rsidRPr="00B85D62">
        <w:rPr>
          <w:rFonts w:eastAsia="Calibri" w:cs="Arial"/>
          <w:color w:val="00B0F0"/>
        </w:rPr>
        <w:t xml:space="preserve"> set</w:t>
      </w:r>
      <w:r w:rsidRPr="00B85D62">
        <w:rPr>
          <w:rFonts w:eastAsia="Calibri" w:cs="Arial"/>
        </w:rPr>
        <w:t>s and FH registers held on the cascade testing and the modality of contact with relatives.</w:t>
      </w:r>
    </w:p>
    <w:p w14:paraId="2BA7B2AA" w14:textId="77777777" w:rsidR="00B85D62" w:rsidRPr="00B85D62" w:rsidRDefault="3D582D89" w:rsidP="006C7E71">
      <w:pPr>
        <w:pStyle w:val="Heading2"/>
        <w:rPr>
          <w:rFonts w:eastAsia="Yu Gothic Light"/>
          <w:bCs/>
        </w:rPr>
      </w:pPr>
      <w:bookmarkStart w:id="48" w:name="_Toc76461031"/>
      <w:bookmarkStart w:id="49" w:name="_Toc107157443"/>
      <w:r w:rsidRPr="00B85D62">
        <w:t>Review 2: Effectiveness of cholesterol-lowering therapies on LDL levels and cardiovascular disease in adults</w:t>
      </w:r>
      <w:bookmarkEnd w:id="48"/>
      <w:bookmarkEnd w:id="49"/>
    </w:p>
    <w:p w14:paraId="089F68FA" w14:textId="05874F5F" w:rsidR="00B85D62" w:rsidRPr="00B85D62" w:rsidRDefault="54F9349D" w:rsidP="0066232B">
      <w:pPr>
        <w:rPr>
          <w:rFonts w:eastAsia="Calibri" w:cs="Arial"/>
        </w:rPr>
      </w:pPr>
      <w:r w:rsidRPr="00B85D62">
        <w:rPr>
          <w:rFonts w:eastAsia="Calibri" w:cs="Arial"/>
        </w:rPr>
        <w:t>An overview of reviews was conducted to assess the benefits of cholesterol-lowering therapies on LDL</w:t>
      </w:r>
      <w:r w:rsidR="4F92FE44" w:rsidRPr="00B85D62">
        <w:rPr>
          <w:rFonts w:eastAsia="Calibri" w:cs="Arial"/>
        </w:rPr>
        <w:t>-C</w:t>
      </w:r>
      <w:r w:rsidRPr="00B85D62">
        <w:rPr>
          <w:rFonts w:eastAsia="Calibri" w:cs="Arial"/>
        </w:rPr>
        <w:t xml:space="preserve"> and CVD events in the general adult population and in adults with confirmed FH</w:t>
      </w:r>
      <w:r w:rsidR="00B85D62" w:rsidRPr="00B85D62">
        <w:rPr>
          <w:rFonts w:eastAsia="Calibri" w:cs="Arial"/>
          <w:color w:val="00B0F0"/>
        </w:rPr>
        <w:t xml:space="preserve">. </w:t>
      </w:r>
      <w:r w:rsidR="00B85D62" w:rsidRPr="00B85D62">
        <w:rPr>
          <w:rFonts w:eastAsia="Calibri" w:cs="Arial"/>
          <w:color w:val="00B0F0"/>
        </w:rPr>
        <w:t>Owing to</w:t>
      </w:r>
      <w:r w:rsidRPr="00B85D62">
        <w:rPr>
          <w:rFonts w:eastAsia="Calibri" w:cs="Arial"/>
        </w:rPr>
        <w:t xml:space="preserve"> the established evidence of the effectiveness of lipid-lowering therapies in people with FH (reference), this review was limited to studies assessing the comparative effectiveness of active therapies with each other, thus placebo and other non-active interventions were excluded. </w:t>
      </w:r>
      <w:r w:rsidR="00C35B5E" w:rsidRPr="00B85D62">
        <w:rPr>
          <w:rFonts w:cs="Arial"/>
          <w:noProof/>
          <w:shd w:val="clear" w:color="auto" w:fill="E6E6E6"/>
          <w:vertAlign w:val="superscript"/>
          <w:lang w:eastAsia="ja-JP"/>
        </w:rPr>
        <w:t>28</w:t>
      </w:r>
    </w:p>
    <w:p w14:paraId="26DC0E57" w14:textId="5B7DEAA3" w:rsidR="002E2FFB" w:rsidRPr="00B85D62" w:rsidRDefault="3D582D89" w:rsidP="006C7E71">
      <w:pPr>
        <w:pStyle w:val="Heading3"/>
        <w:rPr>
          <w:rFonts w:eastAsia="Times New Roman"/>
          <w:color w:val="auto"/>
          <w:lang w:eastAsia="ja-JP"/>
        </w:rPr>
      </w:pPr>
      <w:bookmarkStart w:id="50" w:name="_Toc76461032"/>
      <w:bookmarkStart w:id="51" w:name="_Toc107157444"/>
      <w:r w:rsidRPr="00B85D62">
        <w:rPr>
          <w:lang w:eastAsia="ja-JP"/>
        </w:rPr>
        <w:t>Materials and Methods</w:t>
      </w:r>
      <w:bookmarkEnd w:id="50"/>
      <w:bookmarkEnd w:id="51"/>
    </w:p>
    <w:p w14:paraId="6A3ADF34" w14:textId="0861FEDD" w:rsidR="00B85D62" w:rsidRPr="00B85D62" w:rsidRDefault="54F9349D" w:rsidP="213CEFC4">
      <w:pPr>
        <w:spacing w:before="100" w:beforeAutospacing="1" w:after="100" w:afterAutospacing="1"/>
        <w:jc w:val="both"/>
        <w:rPr>
          <w:rFonts w:cs="Arial"/>
          <w:lang w:eastAsia="ja-JP"/>
        </w:rPr>
      </w:pPr>
      <w:r w:rsidRPr="00B85D62">
        <w:rPr>
          <w:rFonts w:cs="Arial"/>
          <w:lang w:eastAsia="ja-JP"/>
        </w:rPr>
        <w:t xml:space="preserve">The protocol for the systematic review adhered to the </w:t>
      </w:r>
      <w:r w:rsidRPr="00B85D62">
        <w:rPr>
          <w:rFonts w:cs="Arial"/>
          <w:color w:val="333333"/>
          <w:shd w:val="clear" w:color="auto" w:fill="FFFFFF"/>
          <w:lang w:eastAsia="ja-JP"/>
        </w:rPr>
        <w:t xml:space="preserve">PRISMA </w:t>
      </w:r>
      <w:r w:rsidRPr="00B85D62">
        <w:rPr>
          <w:rFonts w:cs="Arial"/>
          <w:lang w:eastAsia="ja-JP"/>
        </w:rPr>
        <w:t xml:space="preserve">guidelines </w:t>
      </w:r>
      <w:r w:rsidR="00F80015" w:rsidRPr="00B85D62">
        <w:rPr>
          <w:rFonts w:cs="Arial"/>
          <w:noProof/>
          <w:vertAlign w:val="superscript"/>
          <w:lang w:eastAsia="ja-JP"/>
        </w:rPr>
        <w:t>28</w:t>
      </w:r>
      <w:r w:rsidRPr="00B85D62">
        <w:rPr>
          <w:rFonts w:cs="Arial"/>
          <w:lang w:eastAsia="ja-JP"/>
        </w:rPr>
        <w:t xml:space="preserve"> throughout, both for the conduct and reporting of the review.</w:t>
      </w:r>
      <w:r w:rsidR="00895586" w:rsidRPr="00B85D62">
        <w:rPr>
          <w:rFonts w:cs="Arial"/>
          <w:lang w:eastAsia="ja-JP"/>
        </w:rPr>
        <w:t xml:space="preserve"> </w:t>
      </w:r>
      <w:r w:rsidRPr="00B85D62">
        <w:rPr>
          <w:rFonts w:cs="Arial"/>
          <w:lang w:eastAsia="ja-JP"/>
        </w:rPr>
        <w:t>Eligible participants were adults from the general population and adults with confirmed FH, determined using either a clinical diagnosis (e.g. Simon</w:t>
      </w:r>
      <w:r w:rsidR="7940F659" w:rsidRPr="00B85D62">
        <w:rPr>
          <w:rFonts w:cs="Arial"/>
          <w:lang w:eastAsia="ja-JP"/>
        </w:rPr>
        <w:t>-</w:t>
      </w:r>
      <w:r w:rsidRPr="00B85D62">
        <w:rPr>
          <w:rFonts w:cs="Arial"/>
          <w:lang w:eastAsia="ja-JP"/>
        </w:rPr>
        <w:t>Broome</w:t>
      </w:r>
      <w:r w:rsidR="00F80015" w:rsidRPr="00B85D62">
        <w:rPr>
          <w:rFonts w:cs="Arial"/>
          <w:noProof/>
          <w:vertAlign w:val="superscript"/>
          <w:lang w:eastAsia="ja-JP"/>
        </w:rPr>
        <w:t>5</w:t>
      </w:r>
      <w:r w:rsidRPr="00B85D62">
        <w:rPr>
          <w:rFonts w:cs="Arial"/>
          <w:lang w:eastAsia="ja-JP"/>
        </w:rPr>
        <w:t>, Dutch Lipid Clinical Network (DCLN)</w:t>
      </w:r>
      <w:r w:rsidR="00F80015" w:rsidRPr="00B85D62">
        <w:rPr>
          <w:rFonts w:cs="Arial"/>
          <w:noProof/>
          <w:vertAlign w:val="superscript"/>
          <w:lang w:eastAsia="ja-JP"/>
        </w:rPr>
        <w:t>3</w:t>
      </w:r>
      <w:r w:rsidRPr="00B85D62">
        <w:rPr>
          <w:rFonts w:cs="Arial"/>
          <w:lang w:eastAsia="ja-JP"/>
        </w:rPr>
        <w:t xml:space="preserve">, MEDPED </w:t>
      </w:r>
      <w:r w:rsidR="00F80015" w:rsidRPr="00B85D62">
        <w:rPr>
          <w:rFonts w:cs="Arial"/>
          <w:noProof/>
          <w:vertAlign w:val="superscript"/>
          <w:lang w:eastAsia="ja-JP"/>
        </w:rPr>
        <w:t>29</w:t>
      </w:r>
      <w:r w:rsidRPr="00B85D62">
        <w:rPr>
          <w:rFonts w:cs="Arial"/>
          <w:lang w:eastAsia="ja-JP"/>
        </w:rPr>
        <w:t xml:space="preserve"> or another criterion appropriate to the population which is being studied); </w:t>
      </w:r>
      <w:r w:rsidR="78090B08" w:rsidRPr="00B85D62">
        <w:rPr>
          <w:rFonts w:cs="Arial"/>
          <w:lang w:eastAsia="ja-JP"/>
        </w:rPr>
        <w:t>LDL-C</w:t>
      </w:r>
      <w:r w:rsidRPr="00B85D62">
        <w:rPr>
          <w:rFonts w:cs="Arial"/>
          <w:lang w:eastAsia="ja-JP"/>
        </w:rPr>
        <w:t xml:space="preserve"> levels using age specific cut offs; or genetic diagnosis of mutation positive cases. The eligible interventions and comparators were any </w:t>
      </w:r>
      <w:r w:rsidR="00B85D62" w:rsidRPr="00B85D62">
        <w:rPr>
          <w:rFonts w:cs="Arial"/>
          <w:color w:val="00B0F0"/>
          <w:lang w:eastAsia="ja-JP"/>
        </w:rPr>
        <w:t>licenced</w:t>
      </w:r>
      <w:r w:rsidRPr="00B85D62">
        <w:rPr>
          <w:rFonts w:cs="Arial"/>
          <w:lang w:eastAsia="ja-JP"/>
        </w:rPr>
        <w:t xml:space="preserve"> lipid-lowering therapies, including statins, ezetimibe, statins with ezetimibe, PCSK9 inhibitors, PCSK9 inhibitors with statins, PCSK9 inhibitors with statins and ezetimibe, or comparisons of different doses of the same treatment. Therefore, placebo or other non-active interventions were not eligible for inclusion as the comparator. The primary outcome measure was LDL</w:t>
      </w:r>
      <w:r w:rsidR="6D8F8C5E" w:rsidRPr="00B85D62">
        <w:rPr>
          <w:rFonts w:cs="Arial"/>
          <w:lang w:eastAsia="ja-JP"/>
        </w:rPr>
        <w:t>-C</w:t>
      </w:r>
      <w:r w:rsidRPr="00B85D62">
        <w:rPr>
          <w:rFonts w:cs="Arial"/>
          <w:lang w:eastAsia="ja-JP"/>
        </w:rPr>
        <w:t xml:space="preserve"> cholesterol levels, which could be reported as mean changes from baseline, mean percentage changes, or absolute level at follow-up. The study designs included in this overview of reviews was systematic reviews of randomised controlled trials; however, we also included systematic reviews of observational cohort studies where there was a dearth of literature in adults with confirmed FH. We excluded studies which focused solely on index cases with homozygous FH.</w:t>
      </w:r>
    </w:p>
    <w:p w14:paraId="36347D4B" w14:textId="2822A077" w:rsidR="00B85D62" w:rsidRPr="00B85D62" w:rsidRDefault="7920A156" w:rsidP="5F11C9DD">
      <w:pPr>
        <w:spacing w:before="100" w:beforeAutospacing="1" w:after="100" w:afterAutospacing="1"/>
        <w:jc w:val="both"/>
        <w:rPr>
          <w:rFonts w:cs="Arial"/>
          <w:lang w:eastAsia="ja-JP"/>
        </w:rPr>
      </w:pPr>
      <w:r w:rsidRPr="00B85D62">
        <w:rPr>
          <w:rFonts w:cs="Arial"/>
          <w:lang w:eastAsia="ja-JP"/>
        </w:rPr>
        <w:t>Comprehensive literature searches of four databases (</w:t>
      </w:r>
      <w:r w:rsidR="00B85D62" w:rsidRPr="00B85D62">
        <w:rPr>
          <w:rFonts w:cs="Arial"/>
          <w:color w:val="00B0F0"/>
          <w:lang w:eastAsia="ja-JP"/>
        </w:rPr>
        <w:t>MEDLINE</w:t>
      </w:r>
      <w:r w:rsidRPr="00B85D62">
        <w:rPr>
          <w:rFonts w:cs="Arial"/>
          <w:lang w:eastAsia="ja-JP"/>
        </w:rPr>
        <w:t>, from 1994 to June 2018; EMBASE, from 1994 to June 2018; CINAHL, from 1994 to June 2018), and Cochrane CENTRAL, from 1994 to June 2018) were performed using a highly sensitive search strategy based on keywords and MeSH terms relating to the intervention of interest, outcome measures, and study design (</w:t>
      </w:r>
      <w:r w:rsidR="61AF3850" w:rsidRPr="00B85D62">
        <w:rPr>
          <w:rFonts w:cs="Arial"/>
          <w:lang w:eastAsia="ja-JP"/>
        </w:rPr>
        <w:t xml:space="preserve">see </w:t>
      </w:r>
      <w:r w:rsidR="01E7958C" w:rsidRPr="00B85D62">
        <w:rPr>
          <w:rFonts w:cs="Arial"/>
          <w:lang w:eastAsia="ja-JP"/>
        </w:rPr>
        <w:t xml:space="preserve">Appendix </w:t>
      </w:r>
      <w:r w:rsidR="6584C0AE" w:rsidRPr="00B85D62">
        <w:rPr>
          <w:rFonts w:cs="Arial"/>
          <w:lang w:eastAsia="ja-JP"/>
        </w:rPr>
        <w:t xml:space="preserve">1 </w:t>
      </w:r>
      <w:r w:rsidR="00B85D62" w:rsidRPr="00B85D62">
        <w:rPr>
          <w:rFonts w:cs="Arial"/>
          <w:i/>
          <w:color w:val="FF0000"/>
          <w:lang w:eastAsia="ja-JP"/>
        </w:rPr>
        <w:t>T</w:t>
      </w:r>
      <w:r w:rsidR="00B85D62" w:rsidRPr="00B85D62">
        <w:rPr>
          <w:rFonts w:cs="Arial"/>
          <w:i/>
          <w:color w:val="FF0000"/>
          <w:lang w:eastAsia="ja-JP"/>
        </w:rPr>
        <w:t>able</w:t>
      </w:r>
      <w:r w:rsidR="00B85D62" w:rsidRPr="00B85D62">
        <w:rPr>
          <w:rFonts w:cs="Arial"/>
          <w:i/>
          <w:color w:val="FF0000"/>
          <w:lang w:eastAsia="ja-JP"/>
        </w:rPr>
        <w:t xml:space="preserve"> </w:t>
      </w:r>
      <w:r w:rsidR="00B85D62" w:rsidRPr="00B85D62">
        <w:rPr>
          <w:rFonts w:cs="Arial"/>
          <w:i/>
          <w:color w:val="FF0000"/>
          <w:lang w:eastAsia="ja-JP"/>
        </w:rPr>
        <w:t>26</w:t>
      </w:r>
      <w:r w:rsidR="5FBAB5B9" w:rsidRPr="00B85D62">
        <w:rPr>
          <w:rFonts w:cs="Arial"/>
          <w:lang w:eastAsia="ja-JP"/>
        </w:rPr>
        <w:t xml:space="preserve"> for </w:t>
      </w:r>
      <w:r w:rsidR="00B85D62" w:rsidRPr="00B85D62">
        <w:rPr>
          <w:rFonts w:cs="Arial"/>
          <w:color w:val="00B0F0"/>
          <w:lang w:eastAsia="ja-JP"/>
        </w:rPr>
        <w:t>MEDLINE</w:t>
      </w:r>
      <w:r w:rsidRPr="00B85D62">
        <w:rPr>
          <w:rFonts w:cs="Arial"/>
          <w:lang w:eastAsia="ja-JP"/>
        </w:rPr>
        <w:t xml:space="preserve"> search strategy).</w:t>
      </w:r>
    </w:p>
    <w:p w14:paraId="52B3546D" w14:textId="6A7218F6" w:rsidR="002E2FFB" w:rsidRPr="00B85D62" w:rsidRDefault="3D582D89" w:rsidP="006C7E71">
      <w:pPr>
        <w:pStyle w:val="Heading4"/>
        <w:numPr>
          <w:ilvl w:val="0"/>
          <w:numId w:val="0"/>
        </w:numPr>
      </w:pPr>
      <w:r w:rsidRPr="00B85D62">
        <w:t>Screening and study selection</w:t>
      </w:r>
    </w:p>
    <w:p w14:paraId="185AC1EF" w14:textId="77777777" w:rsidR="00B85D62" w:rsidRPr="00B85D62" w:rsidRDefault="7920A156" w:rsidP="26FF77CA">
      <w:pPr>
        <w:spacing w:before="100" w:beforeAutospacing="1" w:after="100" w:afterAutospacing="1"/>
        <w:jc w:val="both"/>
        <w:rPr>
          <w:rFonts w:cs="Arial"/>
          <w:color w:val="000000" w:themeColor="text1"/>
          <w:lang w:eastAsia="ja-JP"/>
        </w:rPr>
      </w:pPr>
      <w:r w:rsidRPr="00B85D62">
        <w:rPr>
          <w:rFonts w:cs="Arial"/>
          <w:color w:val="000000" w:themeColor="text1"/>
          <w:lang w:eastAsia="ja-JP"/>
        </w:rPr>
        <w:t>Following the removal of duplicates, titles and abstracts, and full texts of potentially eligible studies were screened independently by two authors (JLB &amp; JMM). Disagreements regarding eligibility of a study was resolved through discussion with a third author (NQ). Reasons for exclusion at the full text stage were documented.</w:t>
      </w:r>
    </w:p>
    <w:p w14:paraId="49C1DE84" w14:textId="16B77D9E" w:rsidR="002E2FFB" w:rsidRPr="00B85D62" w:rsidRDefault="3C5E4553" w:rsidP="006C7E71">
      <w:pPr>
        <w:pStyle w:val="Heading4"/>
        <w:numPr>
          <w:ilvl w:val="0"/>
          <w:numId w:val="0"/>
        </w:numPr>
        <w:rPr>
          <w:rFonts w:eastAsia="Yu Gothic Light"/>
          <w:bCs/>
          <w:lang w:eastAsia="ja-JP"/>
        </w:rPr>
      </w:pPr>
      <w:r w:rsidRPr="00B85D62">
        <w:rPr>
          <w:highlight w:val="magenta"/>
        </w:rPr>
        <w:t>Data</w:t>
      </w:r>
      <w:r w:rsidRPr="00B85D62">
        <w:t xml:space="preserve"> extraction and quality assessment</w:t>
      </w:r>
    </w:p>
    <w:p w14:paraId="2D823968" w14:textId="4299421A" w:rsidR="002E2FFB" w:rsidRPr="00B85D62" w:rsidRDefault="002E2FFB" w:rsidP="0066232B">
      <w:pPr>
        <w:jc w:val="both"/>
        <w:rPr>
          <w:rFonts w:eastAsia="Calibri" w:cs="Arial"/>
          <w:highlight w:val="cyan"/>
        </w:rPr>
      </w:pPr>
      <w:r w:rsidRPr="00B85D62">
        <w:rPr>
          <w:rFonts w:eastAsia="Calibri" w:cs="Arial"/>
        </w:rPr>
        <w:t>The AMSTAR critical appraisal tool</w:t>
      </w:r>
      <w:r w:rsidR="00545737" w:rsidRPr="00B85D62">
        <w:rPr>
          <w:rFonts w:eastAsia="Calibri" w:cs="Arial"/>
        </w:rPr>
        <w:t xml:space="preserve"> </w:t>
      </w:r>
      <w:r w:rsidR="004372AB" w:rsidRPr="00B85D62">
        <w:rPr>
          <w:rFonts w:eastAsia="Calibri" w:cs="Arial"/>
          <w:noProof/>
          <w:color w:val="2B579A"/>
          <w:shd w:val="clear" w:color="auto" w:fill="E6E6E6"/>
          <w:vertAlign w:val="superscript"/>
        </w:rPr>
        <w:t>63</w:t>
      </w:r>
      <w:r w:rsidRPr="00B85D62">
        <w:rPr>
          <w:rFonts w:eastAsia="Calibri" w:cs="Arial"/>
        </w:rPr>
        <w:t xml:space="preserve"> </w:t>
      </w:r>
      <w:r w:rsidR="008F5280" w:rsidRPr="00B85D62">
        <w:rPr>
          <w:rFonts w:eastAsia="Calibri" w:cs="Arial"/>
        </w:rPr>
        <w:t>w</w:t>
      </w:r>
      <w:r w:rsidRPr="00B85D62">
        <w:rPr>
          <w:rFonts w:eastAsia="Calibri" w:cs="Arial"/>
        </w:rPr>
        <w:t>as used by two reviewers (JLB &amp; JMM) independently to assess the methodological quality of the included studies (for example, the extent to which the systematic review had minimised the possibility of bias and reporting errors in its conduct).</w:t>
      </w:r>
      <w:r w:rsidR="004B3345" w:rsidRPr="00B85D62">
        <w:rPr>
          <w:rFonts w:eastAsia="Calibri" w:cs="Arial"/>
        </w:rPr>
        <w:t xml:space="preserve"> </w:t>
      </w:r>
      <w:r w:rsidR="00AC0F80" w:rsidRPr="00B85D62">
        <w:rPr>
          <w:rFonts w:eastAsia="Calibri" w:cs="Arial"/>
        </w:rPr>
        <w:t>(S</w:t>
      </w:r>
      <w:r w:rsidR="004B3345" w:rsidRPr="00B85D62">
        <w:rPr>
          <w:rFonts w:eastAsia="Calibri" w:cs="Arial"/>
        </w:rPr>
        <w:t>ee</w:t>
      </w:r>
      <w:r w:rsidRPr="00B85D62">
        <w:rPr>
          <w:rFonts w:eastAsia="Calibri" w:cs="Arial"/>
        </w:rPr>
        <w:t xml:space="preserve"> </w:t>
      </w:r>
      <w:r w:rsidR="00416EB2" w:rsidRPr="00B85D62">
        <w:rPr>
          <w:rFonts w:eastAsia="Calibri" w:cs="Arial"/>
          <w:i/>
        </w:rPr>
        <w:t>Online S</w:t>
      </w:r>
      <w:r w:rsidR="00AD106D" w:rsidRPr="00B85D62">
        <w:rPr>
          <w:rFonts w:eastAsia="Calibri" w:cs="Arial"/>
          <w:i/>
        </w:rPr>
        <w:t xml:space="preserve">upplementary file </w:t>
      </w:r>
      <w:r w:rsidR="006E1EE8" w:rsidRPr="00B85D62">
        <w:rPr>
          <w:rFonts w:eastAsia="Calibri" w:cs="Arial"/>
          <w:i/>
        </w:rPr>
        <w:t>1</w:t>
      </w:r>
      <w:r w:rsidR="00AD106D" w:rsidRPr="00B85D62">
        <w:rPr>
          <w:rFonts w:eastAsia="Calibri" w:cs="Arial"/>
          <w:i/>
        </w:rPr>
        <w:t>_AMSTAR2 scores for Sys Review 2</w:t>
      </w:r>
      <w:r w:rsidR="00AD106D" w:rsidRPr="00B85D62">
        <w:rPr>
          <w:rFonts w:eastAsia="Calibri" w:cs="Arial"/>
        </w:rPr>
        <w:t xml:space="preserve"> for </w:t>
      </w:r>
      <w:r w:rsidR="004B3345" w:rsidRPr="00B85D62">
        <w:rPr>
          <w:rFonts w:eastAsia="Calibri" w:cs="Arial"/>
        </w:rPr>
        <w:t>scores on th</w:t>
      </w:r>
      <w:r w:rsidR="008F53E8" w:rsidRPr="00B85D62">
        <w:rPr>
          <w:rFonts w:eastAsia="Calibri" w:cs="Arial"/>
        </w:rPr>
        <w:t>is</w:t>
      </w:r>
      <w:r w:rsidR="004B3345" w:rsidRPr="00B85D62">
        <w:rPr>
          <w:rFonts w:eastAsia="Calibri" w:cs="Arial"/>
        </w:rPr>
        <w:t xml:space="preserve"> critical appraisal tool.</w:t>
      </w:r>
      <w:r w:rsidR="00AC0F80" w:rsidRPr="00B85D62">
        <w:rPr>
          <w:rFonts w:eastAsia="Calibri" w:cs="Arial"/>
        </w:rPr>
        <w:t>)</w:t>
      </w:r>
    </w:p>
    <w:p w14:paraId="511F9556" w14:textId="77777777" w:rsidR="00B85D62" w:rsidRPr="00B85D62" w:rsidRDefault="1A6CE038" w:rsidP="0066232B">
      <w:pPr>
        <w:jc w:val="both"/>
        <w:rPr>
          <w:rFonts w:eastAsia="Calibri" w:cs="Arial"/>
        </w:rPr>
      </w:pPr>
      <w:r w:rsidRPr="00B85D62">
        <w:rPr>
          <w:rFonts w:eastAsia="Calibri" w:cs="Arial"/>
        </w:rPr>
        <w:t xml:space="preserve">Systematic reviews which gained scores of at least 12 on the AMSTAR critical appraisal tool were deemed to be of sufficient methodological quality to be included in the overview. Systematic reviews meeting the methodological quality threshold </w:t>
      </w:r>
      <w:r w:rsidR="002C4CC7" w:rsidRPr="00B85D62">
        <w:rPr>
          <w:rFonts w:eastAsia="Calibri" w:cs="Arial"/>
        </w:rPr>
        <w:t xml:space="preserve">would </w:t>
      </w:r>
      <w:r w:rsidRPr="00B85D62">
        <w:rPr>
          <w:rFonts w:eastAsia="Calibri" w:cs="Arial"/>
        </w:rPr>
        <w:t>ha</w:t>
      </w:r>
      <w:r w:rsidR="002C4CC7" w:rsidRPr="00B85D62">
        <w:rPr>
          <w:rFonts w:eastAsia="Calibri" w:cs="Arial"/>
        </w:rPr>
        <w:t>ve had</w:t>
      </w:r>
      <w:r w:rsidRPr="00B85D62">
        <w:rPr>
          <w:rFonts w:eastAsia="Calibri" w:cs="Arial"/>
        </w:rPr>
        <w:t xml:space="preserve"> their </w:t>
      </w:r>
      <w:r w:rsidRPr="00B85D62">
        <w:rPr>
          <w:rFonts w:eastAsia="Calibri" w:cs="Arial"/>
          <w:highlight w:val="magenta"/>
        </w:rPr>
        <w:t>data</w:t>
      </w:r>
      <w:r w:rsidRPr="00B85D62">
        <w:rPr>
          <w:rFonts w:eastAsia="Calibri" w:cs="Arial"/>
        </w:rPr>
        <w:t xml:space="preserve"> extracted independently by two reviewers (JLB &amp; JMM) using a standardised </w:t>
      </w:r>
      <w:r w:rsidRPr="00B85D62">
        <w:rPr>
          <w:rFonts w:eastAsia="Calibri" w:cs="Arial"/>
          <w:highlight w:val="magenta"/>
        </w:rPr>
        <w:t>data</w:t>
      </w:r>
      <w:r w:rsidRPr="00B85D62">
        <w:rPr>
          <w:rFonts w:eastAsia="Calibri" w:cs="Arial"/>
        </w:rPr>
        <w:t xml:space="preserve"> extraction form.</w:t>
      </w:r>
    </w:p>
    <w:p w14:paraId="12C55F42" w14:textId="6CCEB5C1" w:rsidR="002E2FFB" w:rsidRPr="00B85D62" w:rsidRDefault="3C5E4553" w:rsidP="006C7E71">
      <w:pPr>
        <w:pStyle w:val="Heading4"/>
        <w:numPr>
          <w:ilvl w:val="0"/>
          <w:numId w:val="0"/>
        </w:numPr>
        <w:rPr>
          <w:rFonts w:eastAsia="Yu Gothic Light"/>
          <w:bCs/>
        </w:rPr>
      </w:pPr>
      <w:r w:rsidRPr="00B85D62">
        <w:rPr>
          <w:highlight w:val="magenta"/>
        </w:rPr>
        <w:t>Data</w:t>
      </w:r>
      <w:r w:rsidRPr="00B85D62">
        <w:t xml:space="preserve"> synthesis and investigations of heterogeneity</w:t>
      </w:r>
    </w:p>
    <w:p w14:paraId="7715F154" w14:textId="77777777" w:rsidR="00B85D62" w:rsidRPr="00B85D62" w:rsidRDefault="1A6CE038" w:rsidP="0066232B">
      <w:pPr>
        <w:jc w:val="both"/>
        <w:rPr>
          <w:rFonts w:eastAsia="Calibri" w:cs="Arial"/>
        </w:rPr>
      </w:pPr>
      <w:r w:rsidRPr="00B85D62">
        <w:rPr>
          <w:rFonts w:eastAsia="Calibri" w:cs="Arial"/>
        </w:rPr>
        <w:t xml:space="preserve">A narrative synthesis of the included systematic reviews would have been conducted, where the findings from each systematic review would have been grouped based on interventions assessed. The findings would have also been tabulated to identify patterns and reported together with the number of studies that informed the outcome, the number of participants (from the included studies), and the heterogeneity of the results of included studies. </w:t>
      </w:r>
      <w:r w:rsidRPr="00B85D62">
        <w:rPr>
          <w:rFonts w:eastAsia="Calibri" w:cs="Arial"/>
        </w:rPr>
        <w:lastRenderedPageBreak/>
        <w:t>Where possible, the findings would have been translated using thematic or content analysis to identify areas of commonality between the results of the systematic reviews.</w:t>
      </w:r>
    </w:p>
    <w:p w14:paraId="20D4F174" w14:textId="43B0F78F" w:rsidR="002E2FFB" w:rsidRPr="00B85D62" w:rsidRDefault="3D582D89" w:rsidP="006C7E71">
      <w:pPr>
        <w:pStyle w:val="Heading3"/>
        <w:rPr>
          <w:rFonts w:eastAsia="Yu Gothic Light"/>
          <w:bCs/>
        </w:rPr>
      </w:pPr>
      <w:bookmarkStart w:id="52" w:name="_Toc76461033"/>
      <w:bookmarkStart w:id="53" w:name="_Toc107157445"/>
      <w:r w:rsidRPr="00B85D62">
        <w:t>Results</w:t>
      </w:r>
      <w:bookmarkEnd w:id="52"/>
      <w:bookmarkEnd w:id="53"/>
    </w:p>
    <w:p w14:paraId="43609126" w14:textId="02EDA1B7" w:rsidR="00B85D62" w:rsidRPr="00B85D62" w:rsidRDefault="54F9349D" w:rsidP="0066232B">
      <w:pPr>
        <w:rPr>
          <w:rFonts w:eastAsia="Calibri" w:cs="Arial"/>
        </w:rPr>
      </w:pPr>
      <w:r w:rsidRPr="00B85D62">
        <w:rPr>
          <w:rFonts w:eastAsia="Calibri" w:cs="Arial"/>
        </w:rPr>
        <w:t xml:space="preserve">The searches identified 2747 hits from </w:t>
      </w:r>
      <w:r w:rsidR="00B85D62" w:rsidRPr="00B85D62">
        <w:rPr>
          <w:rFonts w:eastAsia="Calibri" w:cs="Arial"/>
          <w:color w:val="00B0F0"/>
        </w:rPr>
        <w:t>MEDLINE</w:t>
      </w:r>
      <w:r w:rsidRPr="00B85D62">
        <w:rPr>
          <w:rFonts w:eastAsia="Calibri" w:cs="Arial"/>
        </w:rPr>
        <w:t>, 1736 hits from EMBASE, 991 hits from CINAHL and 260 hits from the Cochrane Database of Systematic Reviews, totalling 5734 hits. Following de-duplication, 4829 hits were screened by titles and abstracts. Of the 214 papers identified for full text screening, 14 papers</w:t>
      </w:r>
      <w:r w:rsidR="004372AB" w:rsidRPr="00B85D62">
        <w:rPr>
          <w:rFonts w:eastAsia="Calibri" w:cs="Arial"/>
          <w:noProof/>
          <w:color w:val="2B579A"/>
          <w:shd w:val="clear" w:color="auto" w:fill="E6E6E6"/>
          <w:vertAlign w:val="superscript"/>
        </w:rPr>
        <w:t>64</w:t>
      </w:r>
      <w:r w:rsidR="00B85D62" w:rsidRPr="00B85D62">
        <w:rPr>
          <w:rFonts w:eastAsia="Calibri" w:cs="Arial"/>
          <w:noProof/>
          <w:color w:val="00B0F0"/>
          <w:shd w:val="clear" w:color="auto" w:fill="E6E6E6"/>
          <w:vertAlign w:val="superscript"/>
        </w:rPr>
        <w:t>–</w:t>
      </w:r>
      <w:r w:rsidR="00B85D62" w:rsidRPr="00B85D62">
        <w:rPr>
          <w:rFonts w:eastAsia="Calibri" w:cs="Arial"/>
          <w:noProof/>
          <w:color w:val="00B0F0"/>
          <w:shd w:val="clear" w:color="auto" w:fill="E6E6E6"/>
          <w:vertAlign w:val="superscript"/>
        </w:rPr>
        <w:t>7</w:t>
      </w:r>
      <w:r w:rsidR="004372AB" w:rsidRPr="00B85D62">
        <w:rPr>
          <w:rFonts w:eastAsia="Calibri" w:cs="Arial"/>
          <w:noProof/>
          <w:color w:val="2B579A"/>
          <w:shd w:val="clear" w:color="auto" w:fill="E6E6E6"/>
          <w:vertAlign w:val="superscript"/>
        </w:rPr>
        <w:t>7</w:t>
      </w:r>
      <w:r w:rsidRPr="00B85D62">
        <w:rPr>
          <w:rFonts w:eastAsia="Calibri" w:cs="Arial"/>
        </w:rPr>
        <w:t xml:space="preserve"> were assessed for methodological quality </w:t>
      </w:r>
      <w:r w:rsidR="3C4829D6" w:rsidRPr="00B85D62">
        <w:rPr>
          <w:rFonts w:eastAsia="Calibri" w:cs="Arial"/>
        </w:rPr>
        <w:t>(</w:t>
      </w:r>
      <w:r w:rsidR="00B85D62" w:rsidRPr="00B85D62">
        <w:rPr>
          <w:rFonts w:eastAsia="Calibri" w:cs="Arial"/>
          <w:i/>
          <w:iCs/>
          <w:color w:val="FF0000"/>
        </w:rPr>
        <w:t>F</w:t>
      </w:r>
      <w:r w:rsidR="00B85D62" w:rsidRPr="00B85D62">
        <w:rPr>
          <w:rFonts w:eastAsia="Calibri" w:cs="Arial"/>
          <w:i/>
          <w:iCs/>
          <w:color w:val="FF0000"/>
        </w:rPr>
        <w:t>igure</w:t>
      </w:r>
      <w:r w:rsidR="00B85D62" w:rsidRPr="00B85D62">
        <w:rPr>
          <w:rFonts w:eastAsia="Calibri" w:cs="Arial"/>
          <w:i/>
          <w:iCs/>
          <w:color w:val="FF0000"/>
        </w:rPr>
        <w:t xml:space="preserve"> </w:t>
      </w:r>
      <w:r w:rsidR="00B85D62" w:rsidRPr="00B85D62">
        <w:rPr>
          <w:rFonts w:eastAsia="Calibri" w:cs="Arial"/>
          <w:i/>
          <w:iCs/>
          <w:color w:val="FF0000"/>
        </w:rPr>
        <w:t>5</w:t>
      </w:r>
      <w:r w:rsidR="3C4829D6" w:rsidRPr="00B85D62">
        <w:rPr>
          <w:rFonts w:eastAsia="Calibri" w:cs="Arial"/>
        </w:rPr>
        <w:t>)</w:t>
      </w:r>
      <w:r w:rsidR="00DD7130" w:rsidRPr="00B85D62">
        <w:rPr>
          <w:rFonts w:eastAsia="Calibri" w:cs="Arial"/>
        </w:rPr>
        <w:t>.</w:t>
      </w:r>
      <w:r w:rsidR="3C4829D6" w:rsidRPr="00B85D62">
        <w:rPr>
          <w:rFonts w:eastAsia="Calibri" w:cs="Arial"/>
        </w:rPr>
        <w:t xml:space="preserve"> </w:t>
      </w:r>
      <w:r w:rsidRPr="00B85D62">
        <w:rPr>
          <w:rFonts w:eastAsia="Calibri" w:cs="Arial"/>
        </w:rPr>
        <w:t>The methodological quality of the 14 papers ranged from 1</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1; thus, as none of the papers met the threshold of a score of at least 12, no papers were included in the overview of reviews.</w:t>
      </w:r>
    </w:p>
    <w:p w14:paraId="3C142D9E" w14:textId="6F91B1D8" w:rsidR="002E2FFB" w:rsidRPr="00B85D62" w:rsidRDefault="3D582D89" w:rsidP="006C7E71">
      <w:pPr>
        <w:pStyle w:val="Heading3"/>
        <w:rPr>
          <w:rFonts w:eastAsia="Yu Gothic Light"/>
          <w:bCs/>
        </w:rPr>
      </w:pPr>
      <w:bookmarkStart w:id="54" w:name="_Toc76461034"/>
      <w:bookmarkStart w:id="55" w:name="_Toc107157446"/>
      <w:r w:rsidRPr="00B85D62">
        <w:t>Conclusion</w:t>
      </w:r>
      <w:bookmarkEnd w:id="54"/>
      <w:bookmarkEnd w:id="55"/>
    </w:p>
    <w:p w14:paraId="473FF7E4" w14:textId="77777777" w:rsidR="00B85D62" w:rsidRPr="00B85D62" w:rsidRDefault="002E2FFB" w:rsidP="0066232B">
      <w:pPr>
        <w:rPr>
          <w:rFonts w:eastAsia="Calibri" w:cs="Arial"/>
        </w:rPr>
      </w:pPr>
      <w:r w:rsidRPr="00B85D62">
        <w:rPr>
          <w:rFonts w:eastAsia="Calibri" w:cs="Arial"/>
        </w:rPr>
        <w:t>The search did not identify any high scoring systematic reviews assessing the effectiveness of head-to-head comparisons of cholesterol-lowering therapies for LDL and CVD events in the general adult population or in adults with confirmed FH</w:t>
      </w:r>
    </w:p>
    <w:p w14:paraId="244126A2" w14:textId="35DFAEF9" w:rsidR="00B85D62" w:rsidRPr="00B85D62" w:rsidRDefault="00B85D62" w:rsidP="0066232B">
      <w:pPr>
        <w:rPr>
          <w:rFonts w:eastAsia="Calibri" w:cs="Arial"/>
          <w:bCs/>
        </w:rPr>
      </w:pPr>
      <w:bookmarkStart w:id="56" w:name="_Toc79740224"/>
      <w:bookmarkStart w:id="57" w:name="_Toc107157387"/>
      <w:r w:rsidRPr="00B85D62">
        <w:rPr>
          <w:rFonts w:eastAsia="Calibri" w:cs="Arial"/>
          <w:bCs/>
          <w:i/>
          <w:iCs/>
          <w:color w:val="FF0000"/>
        </w:rPr>
        <w:t>F</w:t>
      </w:r>
      <w:r w:rsidRPr="00B85D62">
        <w:rPr>
          <w:rFonts w:eastAsia="Calibri" w:cs="Arial"/>
          <w:bCs/>
          <w:i/>
          <w:iCs/>
          <w:color w:val="FF0000"/>
        </w:rPr>
        <w:t>igure</w:t>
      </w:r>
      <w:r w:rsidRPr="00B85D62">
        <w:rPr>
          <w:rFonts w:eastAsia="Calibri" w:cs="Arial"/>
          <w:bCs/>
          <w:i/>
          <w:iCs/>
          <w:color w:val="FF0000"/>
        </w:rPr>
        <w:t xml:space="preserve"> </w:t>
      </w:r>
      <w:r w:rsidRPr="00B85D62">
        <w:rPr>
          <w:rFonts w:eastAsia="Calibri" w:cs="Arial"/>
          <w:bCs/>
          <w:i/>
          <w:iCs/>
          <w:noProof/>
          <w:color w:val="FF0000"/>
        </w:rPr>
        <w:t>5</w:t>
      </w:r>
      <w:r w:rsidR="00A15DEB" w:rsidRPr="00B85D62">
        <w:rPr>
          <w:rFonts w:eastAsia="Calibri" w:cs="Arial"/>
          <w:bCs/>
        </w:rPr>
        <w:t xml:space="preserve"> PRISMA Flow Chart for the review of the effectiveness of cholesterol lowering therapies</w:t>
      </w:r>
      <w:bookmarkEnd w:id="56"/>
      <w:bookmarkEnd w:id="57"/>
    </w:p>
    <w:p w14:paraId="75684AE3" w14:textId="235DA19E" w:rsidR="00B85D62" w:rsidRPr="00B85D62" w:rsidRDefault="00B85D62" w:rsidP="00B85D62">
      <w:pPr>
        <w:pStyle w:val="Caption"/>
        <w:rPr>
          <w:rFonts w:eastAsia="Calibri" w:cs="Arial"/>
          <w:noProof/>
        </w:rPr>
      </w:pPr>
      <w:r w:rsidRPr="00B85D62">
        <w:rPr>
          <w:rFonts w:eastAsia="Calibri" w:cs="Arial"/>
          <w:noProof/>
          <w:color w:val="FF0000"/>
        </w:rPr>
        <w:t>&lt;--- Start of text-containing shape ---&gt;</w:t>
      </w:r>
    </w:p>
    <w:p w14:paraId="3D0DDAD4" w14:textId="77777777" w:rsidR="00B85D62" w:rsidRPr="00B85D62" w:rsidRDefault="00B85D62" w:rsidP="00B85D62">
      <w:pPr>
        <w:pStyle w:val="Caption"/>
        <w:rPr>
          <w:rFonts w:eastAsia="Calibri" w:cs="Arial"/>
          <w:noProof/>
        </w:rPr>
      </w:pPr>
    </w:p>
    <w:p w14:paraId="5790D44D" w14:textId="77777777" w:rsidR="00B85D62" w:rsidRPr="00B85D62" w:rsidRDefault="00B85D62" w:rsidP="00B85D62">
      <w:pPr>
        <w:pStyle w:val="Caption"/>
        <w:rPr>
          <w:rFonts w:eastAsia="Calibri" w:cs="Arial"/>
          <w:noProof/>
        </w:rPr>
      </w:pPr>
    </w:p>
    <w:p w14:paraId="6A2D6D47" w14:textId="77777777" w:rsidR="00B85D62" w:rsidRPr="00B85D62" w:rsidRDefault="00B85D62" w:rsidP="00B85D62">
      <w:pPr>
        <w:pStyle w:val="Caption"/>
        <w:rPr>
          <w:rFonts w:eastAsia="Calibri" w:cs="Arial"/>
          <w:noProof/>
        </w:rPr>
      </w:pPr>
    </w:p>
    <w:p w14:paraId="6BC63ECB" w14:textId="77777777" w:rsidR="00B85D62" w:rsidRPr="00B85D62" w:rsidRDefault="00B85D62" w:rsidP="00B85D62">
      <w:pPr>
        <w:pStyle w:val="Caption"/>
        <w:rPr>
          <w:rFonts w:eastAsia="Calibri" w:cs="Arial"/>
          <w:noProof/>
        </w:rPr>
      </w:pPr>
      <w:r w:rsidRPr="00B85D62">
        <w:rPr>
          <w:rFonts w:eastAsia="Calibri" w:cs="Arial"/>
          <w:noProof/>
          <w:color w:val="FF0000"/>
        </w:rPr>
        <w:t>&lt;--- End of text-containing shape ---&gt;</w:t>
      </w:r>
    </w:p>
    <w:p w14:paraId="6273D22C" w14:textId="2F63D135" w:rsidR="00B85D62" w:rsidRPr="00B85D62" w:rsidRDefault="00B85D62" w:rsidP="0066232B">
      <w:pPr>
        <w:rPr>
          <w:rFonts w:eastAsia="Calibri" w:cs="Arial"/>
        </w:rPr>
      </w:pPr>
    </w:p>
    <w:p w14:paraId="211BB7BA" w14:textId="77777777" w:rsidR="00B85D62" w:rsidRPr="00B85D62" w:rsidRDefault="3D582D89" w:rsidP="006C7E71">
      <w:pPr>
        <w:pStyle w:val="Heading2"/>
        <w:rPr>
          <w:rFonts w:eastAsia="Yu Gothic Light"/>
          <w:bCs/>
        </w:rPr>
      </w:pPr>
      <w:bookmarkStart w:id="58" w:name="_Toc76461035"/>
      <w:bookmarkStart w:id="59" w:name="_Toc107157447"/>
      <w:r w:rsidRPr="00B85D62">
        <w:t>Review 3: Effectiveness of lipid-lowering therapies on LDL levels, and the impact of LDL levels on LDL levels and cardiovascular disease and mortality in children with FH</w:t>
      </w:r>
      <w:bookmarkEnd w:id="58"/>
      <w:bookmarkEnd w:id="59"/>
    </w:p>
    <w:p w14:paraId="04B7AEE3" w14:textId="72181648" w:rsidR="00B85D62" w:rsidRPr="00B85D62" w:rsidRDefault="54F9349D">
      <w:pPr>
        <w:rPr>
          <w:rFonts w:eastAsia="Calibri" w:cs="Arial"/>
        </w:rPr>
      </w:pPr>
      <w:r w:rsidRPr="00B85D62">
        <w:rPr>
          <w:rFonts w:eastAsia="Calibri" w:cs="Arial"/>
        </w:rPr>
        <w:t>We aimed to assess the effectiveness of lipid-lowering therapies on LDL levels and association between LDL levels and cardiovascular events and mortality in children with FH, using two systematic reviews. However, two recent reviews found good quality evidence that lipid-lowering therapy reduced LDL-C in children and young people.</w:t>
      </w:r>
      <w:r w:rsidR="00F80015" w:rsidRPr="00B85D62">
        <w:rPr>
          <w:rFonts w:eastAsia="Calibri" w:cs="Arial"/>
          <w:noProof/>
          <w:vertAlign w:val="superscript"/>
        </w:rPr>
        <w:t>20</w:t>
      </w:r>
      <w:r w:rsidR="00B85D62" w:rsidRPr="00B85D62">
        <w:rPr>
          <w:rFonts w:eastAsia="Calibri" w:cs="Arial"/>
          <w:color w:val="00B0F0"/>
        </w:rPr>
        <w:t>.</w:t>
      </w:r>
      <w:r w:rsidRPr="00B85D62">
        <w:rPr>
          <w:rFonts w:eastAsia="Calibri" w:cs="Arial"/>
        </w:rPr>
        <w:t xml:space="preserve"> However, no randomised controlled evidence was found on either on the direct effects of lipid-lowering therapy in children on </w:t>
      </w:r>
      <w:r w:rsidR="007A1A1C" w:rsidRPr="00B85D62">
        <w:rPr>
          <w:rFonts w:eastAsia="Calibri" w:cs="Arial"/>
        </w:rPr>
        <w:t xml:space="preserve">cardiovascular </w:t>
      </w:r>
      <w:r w:rsidRPr="00B85D62">
        <w:rPr>
          <w:rFonts w:eastAsia="Calibri" w:cs="Arial"/>
        </w:rPr>
        <w:t xml:space="preserve">events in adulthood or on the association between intermediate outcomes in childhood (e.g. atherosclerosis) and </w:t>
      </w:r>
      <w:r w:rsidR="007A1A1C" w:rsidRPr="00B85D62">
        <w:rPr>
          <w:rFonts w:eastAsia="Calibri" w:cs="Arial"/>
        </w:rPr>
        <w:t xml:space="preserve">cardiovascular </w:t>
      </w:r>
      <w:r w:rsidRPr="00B85D62">
        <w:rPr>
          <w:rFonts w:eastAsia="Calibri" w:cs="Arial"/>
        </w:rPr>
        <w:t xml:space="preserve">events in adulthood. Given the difficulties of conducting these types of studies we do not anticipate that additional studies will emerge in the next couple of years. </w:t>
      </w:r>
      <w:r w:rsidR="009E34A2" w:rsidRPr="00B85D62">
        <w:rPr>
          <w:rFonts w:eastAsia="Calibri" w:cs="Arial"/>
        </w:rPr>
        <w:t xml:space="preserve">Therefore, in the cost-effectiveness modelling, we linked LDL-C reductions to reductions in </w:t>
      </w:r>
      <w:r w:rsidR="007A1A1C" w:rsidRPr="00B85D62">
        <w:rPr>
          <w:rFonts w:eastAsia="Calibri" w:cs="Arial"/>
        </w:rPr>
        <w:t>cardiovascular</w:t>
      </w:r>
      <w:r w:rsidR="007A1A1C" w:rsidRPr="00B85D62" w:rsidDel="007A1A1C">
        <w:rPr>
          <w:rFonts w:eastAsia="Calibri" w:cs="Arial"/>
        </w:rPr>
        <w:t xml:space="preserve"> </w:t>
      </w:r>
      <w:r w:rsidR="009E34A2" w:rsidRPr="00B85D62">
        <w:rPr>
          <w:rFonts w:eastAsia="Calibri" w:cs="Arial"/>
        </w:rPr>
        <w:t>risk later in life from the published literature based on adult data</w:t>
      </w:r>
      <w:r w:rsidR="00F80015" w:rsidRPr="00B85D62">
        <w:rPr>
          <w:rFonts w:eastAsia="Calibri" w:cs="Arial"/>
          <w:noProof/>
          <w:vertAlign w:val="superscript"/>
        </w:rPr>
        <w:t>17</w:t>
      </w:r>
      <w:r w:rsidR="009E34A2" w:rsidRPr="00B85D62">
        <w:rPr>
          <w:rFonts w:eastAsia="Calibri" w:cs="Arial"/>
        </w:rPr>
        <w:t xml:space="preserve"> and we assumed that children and adolescents who are treated with LLT achieve the same LDL-C reductions as adults (see Chapter 8.4).</w:t>
      </w:r>
    </w:p>
    <w:p w14:paraId="7F27D540" w14:textId="77777777" w:rsidR="00B85D62" w:rsidRPr="00B85D62" w:rsidRDefault="54F9349D" w:rsidP="0066232B">
      <w:pPr>
        <w:jc w:val="both"/>
        <w:rPr>
          <w:rFonts w:eastAsia="Calibri" w:cs="Arial"/>
        </w:rPr>
      </w:pPr>
      <w:r w:rsidRPr="00B85D62">
        <w:rPr>
          <w:rFonts w:eastAsia="Calibri" w:cs="Arial"/>
        </w:rPr>
        <w:t xml:space="preserve">For these reasons we do not </w:t>
      </w:r>
      <w:r w:rsidR="007A1A1C" w:rsidRPr="00B85D62">
        <w:rPr>
          <w:rFonts w:eastAsia="Calibri" w:cs="Arial"/>
        </w:rPr>
        <w:t xml:space="preserve">consider a further </w:t>
      </w:r>
      <w:r w:rsidRPr="00B85D62">
        <w:rPr>
          <w:rFonts w:eastAsia="Calibri" w:cs="Arial"/>
        </w:rPr>
        <w:t xml:space="preserve">review in paediatric cases </w:t>
      </w:r>
      <w:r w:rsidR="007A1A1C" w:rsidRPr="00B85D62">
        <w:rPr>
          <w:rFonts w:eastAsia="Calibri" w:cs="Arial"/>
        </w:rPr>
        <w:t xml:space="preserve">is </w:t>
      </w:r>
      <w:r w:rsidRPr="00B85D62">
        <w:rPr>
          <w:rFonts w:eastAsia="Calibri" w:cs="Arial"/>
        </w:rPr>
        <w:t xml:space="preserve">a high priority and </w:t>
      </w:r>
      <w:r w:rsidR="007A1A1C" w:rsidRPr="00B85D62">
        <w:rPr>
          <w:rFonts w:eastAsia="Calibri" w:cs="Arial"/>
        </w:rPr>
        <w:t>redirected resources to the newly proposed Review 4</w:t>
      </w:r>
      <w:r w:rsidRPr="00B85D62">
        <w:rPr>
          <w:rFonts w:eastAsia="Calibri" w:cs="Arial"/>
        </w:rPr>
        <w:t>.</w:t>
      </w:r>
    </w:p>
    <w:p w14:paraId="3885B872" w14:textId="77777777" w:rsidR="00B85D62" w:rsidRPr="00B85D62" w:rsidRDefault="3D582D89" w:rsidP="006C7E71">
      <w:pPr>
        <w:pStyle w:val="Heading2"/>
      </w:pPr>
      <w:bookmarkStart w:id="60" w:name="_Toc107157448"/>
      <w:r w:rsidRPr="00B85D62">
        <w:t>Review 4: The diagnostic accuracy of clinical and biochemical criteria and scoring systems for the diagnosis of familial hypercholesterolemia in relatives</w:t>
      </w:r>
      <w:bookmarkStart w:id="61" w:name="_Toc76461036"/>
      <w:bookmarkEnd w:id="60"/>
      <w:bookmarkEnd w:id="61"/>
    </w:p>
    <w:p w14:paraId="5E22AFC0" w14:textId="035A413F" w:rsidR="002E2FFB" w:rsidRPr="00B85D62" w:rsidRDefault="1A6CE038" w:rsidP="006C7E71">
      <w:pPr>
        <w:pStyle w:val="Heading3"/>
      </w:pPr>
      <w:bookmarkStart w:id="62" w:name="_Toc107157449"/>
      <w:r w:rsidRPr="00B85D62">
        <w:t>Background</w:t>
      </w:r>
      <w:bookmarkEnd w:id="62"/>
    </w:p>
    <w:p w14:paraId="3FA0561E" w14:textId="167452B6" w:rsidR="002E2FFB" w:rsidRPr="00B85D62" w:rsidRDefault="5F0F8880" w:rsidP="0066232B">
      <w:pPr>
        <w:jc w:val="both"/>
        <w:rPr>
          <w:rFonts w:eastAsia="Calibri" w:cs="Arial"/>
          <w:shd w:val="clear" w:color="auto" w:fill="FFFFFF"/>
        </w:rPr>
      </w:pPr>
      <w:r w:rsidRPr="00B85D62">
        <w:rPr>
          <w:rFonts w:eastAsia="Calibri" w:cs="Arial"/>
          <w:shd w:val="clear" w:color="auto" w:fill="FFFFFF"/>
        </w:rPr>
        <w:t>C</w:t>
      </w:r>
      <w:r w:rsidR="53597F66" w:rsidRPr="00B85D62">
        <w:rPr>
          <w:rFonts w:eastAsia="Calibri" w:cs="Arial"/>
          <w:shd w:val="clear" w:color="auto" w:fill="FFFFFF"/>
        </w:rPr>
        <w:t>ascade testing consists of systematically testing individuals who are at risk for a hereditary disease.</w:t>
      </w:r>
      <w:r w:rsidR="004372AB" w:rsidRPr="00B85D62">
        <w:rPr>
          <w:rFonts w:eastAsia="Calibri" w:cs="Arial"/>
          <w:noProof/>
          <w:color w:val="2B579A"/>
          <w:shd w:val="clear" w:color="auto" w:fill="FFFFFF"/>
          <w:vertAlign w:val="superscript"/>
        </w:rPr>
        <w:t>78</w:t>
      </w:r>
      <w:r w:rsidR="53597F66" w:rsidRPr="00B85D62">
        <w:rPr>
          <w:rFonts w:eastAsia="Calibri" w:cs="Arial"/>
          <w:shd w:val="clear" w:color="auto" w:fill="FFFFFF"/>
        </w:rPr>
        <w:t xml:space="preserve"> Cascade testing has long been proposed to diagnose relatives of patients genetically or clinically confirmed to have FH (initial patient known as the </w:t>
      </w:r>
      <w:r w:rsidR="00491BA4" w:rsidRPr="00B85D62">
        <w:rPr>
          <w:rFonts w:eastAsia="Calibri" w:cs="Arial"/>
          <w:shd w:val="clear" w:color="auto" w:fill="FFFFFF"/>
        </w:rPr>
        <w:t>index case</w:t>
      </w:r>
      <w:r w:rsidR="53597F66" w:rsidRPr="00B85D62">
        <w:rPr>
          <w:rFonts w:eastAsia="Calibri" w:cs="Arial"/>
          <w:shd w:val="clear" w:color="auto" w:fill="FFFFFF"/>
        </w:rPr>
        <w:t xml:space="preserve">) because, as the </w:t>
      </w:r>
      <w:r w:rsidR="00491BA4" w:rsidRPr="00B85D62">
        <w:rPr>
          <w:rFonts w:eastAsia="Calibri" w:cs="Arial"/>
          <w:shd w:val="clear" w:color="auto" w:fill="FFFFFF"/>
        </w:rPr>
        <w:t xml:space="preserve">inheritance </w:t>
      </w:r>
      <w:r w:rsidR="53597F66" w:rsidRPr="00B85D62">
        <w:rPr>
          <w:rFonts w:eastAsia="Calibri" w:cs="Arial"/>
          <w:shd w:val="clear" w:color="auto" w:fill="FFFFFF"/>
        </w:rPr>
        <w:t>of He</w:t>
      </w:r>
      <w:r w:rsidR="3BACCF44" w:rsidRPr="00B85D62">
        <w:rPr>
          <w:rFonts w:eastAsia="Calibri" w:cs="Arial"/>
          <w:shd w:val="clear" w:color="auto" w:fill="FFFFFF"/>
        </w:rPr>
        <w:t xml:space="preserve">terozygote </w:t>
      </w:r>
      <w:r w:rsidR="53597F66" w:rsidRPr="00B85D62">
        <w:rPr>
          <w:rFonts w:eastAsia="Calibri" w:cs="Arial"/>
          <w:shd w:val="clear" w:color="auto" w:fill="FFFFFF"/>
        </w:rPr>
        <w:t xml:space="preserve">FH is autosomal dominant, the </w:t>
      </w:r>
      <w:r w:rsidR="53597F66" w:rsidRPr="00B85D62">
        <w:rPr>
          <w:rFonts w:eastAsia="Calibri" w:cs="Arial"/>
        </w:rPr>
        <w:t xml:space="preserve">probability of a first-degree relative having </w:t>
      </w:r>
      <w:r w:rsidR="5C54483A" w:rsidRPr="00B85D62">
        <w:rPr>
          <w:rFonts w:eastAsia="Calibri" w:cs="Arial"/>
        </w:rPr>
        <w:t>Heterozygote FH</w:t>
      </w:r>
      <w:r w:rsidR="00895586" w:rsidRPr="00B85D62">
        <w:rPr>
          <w:rFonts w:eastAsia="Calibri" w:cs="Arial"/>
        </w:rPr>
        <w:t xml:space="preserve"> </w:t>
      </w:r>
      <w:r w:rsidR="53597F66" w:rsidRPr="00B85D62">
        <w:rPr>
          <w:rFonts w:eastAsia="Calibri" w:cs="Arial"/>
        </w:rPr>
        <w:t>is 50%, with 25% in second-degree relatives</w:t>
      </w:r>
      <w:r w:rsidR="004372AB" w:rsidRPr="00B85D62">
        <w:rPr>
          <w:rFonts w:eastAsia="Calibri" w:cs="Arial"/>
          <w:noProof/>
          <w:color w:val="2B579A"/>
          <w:shd w:val="clear" w:color="auto" w:fill="E6E6E6"/>
          <w:vertAlign w:val="superscript"/>
        </w:rPr>
        <w:t>79</w:t>
      </w:r>
      <w:r w:rsidR="00B85D62" w:rsidRPr="00B85D62">
        <w:rPr>
          <w:rFonts w:eastAsia="Calibri" w:cs="Arial"/>
          <w:noProof/>
          <w:color w:val="00B0F0"/>
          <w:shd w:val="clear" w:color="auto" w:fill="E6E6E6"/>
          <w:vertAlign w:val="superscript"/>
        </w:rPr>
        <w:t>–</w:t>
      </w:r>
      <w:r w:rsidR="00B85D62" w:rsidRPr="00B85D62">
        <w:rPr>
          <w:rFonts w:eastAsia="Calibri" w:cs="Arial"/>
          <w:noProof/>
          <w:color w:val="00B0F0"/>
          <w:shd w:val="clear" w:color="auto" w:fill="E6E6E6"/>
          <w:vertAlign w:val="superscript"/>
        </w:rPr>
        <w:t>8</w:t>
      </w:r>
      <w:r w:rsidR="004372AB" w:rsidRPr="00B85D62">
        <w:rPr>
          <w:rFonts w:eastAsia="Calibri" w:cs="Arial"/>
          <w:noProof/>
          <w:color w:val="2B579A"/>
          <w:shd w:val="clear" w:color="auto" w:fill="E6E6E6"/>
          <w:vertAlign w:val="superscript"/>
        </w:rPr>
        <w:t>1</w:t>
      </w:r>
      <w:r w:rsidR="006A0CC2" w:rsidRPr="00B85D62">
        <w:rPr>
          <w:rFonts w:eastAsia="Calibri" w:cs="Arial"/>
        </w:rPr>
        <w:t>.</w:t>
      </w:r>
      <w:r w:rsidR="53597F66" w:rsidRPr="00B85D62">
        <w:rPr>
          <w:rFonts w:eastAsia="Calibri" w:cs="Arial"/>
        </w:rPr>
        <w:t xml:space="preserve"> </w:t>
      </w:r>
      <w:r w:rsidR="53597F66" w:rsidRPr="00B85D62">
        <w:rPr>
          <w:rFonts w:eastAsia="Calibri" w:cs="Arial"/>
          <w:shd w:val="clear" w:color="auto" w:fill="FFFFFF"/>
        </w:rPr>
        <w:t>Cascade testing can be conducted with a genetic test for FH mutation or based on the relative</w:t>
      </w:r>
      <w:r w:rsidR="00B85D62" w:rsidRPr="00B85D62">
        <w:rPr>
          <w:rFonts w:eastAsia="Calibri" w:cs="Arial"/>
          <w:shd w:val="clear" w:color="auto" w:fill="FFFFFF"/>
        </w:rPr>
        <w:t>’</w:t>
      </w:r>
      <w:r w:rsidR="53597F66" w:rsidRPr="00B85D62">
        <w:rPr>
          <w:rFonts w:eastAsia="Calibri" w:cs="Arial"/>
          <w:shd w:val="clear" w:color="auto" w:fill="FFFFFF"/>
        </w:rPr>
        <w:t xml:space="preserve">s clinical and biochemical characteristics (e.g. LDL-C given their age and sex), or a combination of the two (e.g. using LDL-C to triage relatives before the genetic test). An example of a biochemical criteria using LDL-C cut-offs specific to age and sex </w:t>
      </w:r>
      <w:r w:rsidR="23F7B68A" w:rsidRPr="00B85D62">
        <w:rPr>
          <w:rFonts w:eastAsia="Calibri" w:cs="Arial"/>
          <w:shd w:val="clear" w:color="auto" w:fill="FFFFFF"/>
        </w:rPr>
        <w:t xml:space="preserve">is </w:t>
      </w:r>
      <w:r w:rsidR="53597F66" w:rsidRPr="00B85D62">
        <w:rPr>
          <w:rFonts w:eastAsia="Calibri" w:cs="Arial"/>
          <w:shd w:val="clear" w:color="auto" w:fill="FFFFFF"/>
        </w:rPr>
        <w:t>recommended by Starr and colleagues.</w:t>
      </w:r>
      <w:r w:rsidR="004372AB" w:rsidRPr="00B85D62">
        <w:rPr>
          <w:rFonts w:eastAsia="Calibri" w:cs="Arial"/>
          <w:noProof/>
          <w:color w:val="2B579A"/>
          <w:shd w:val="clear" w:color="auto" w:fill="FFFFFF"/>
          <w:vertAlign w:val="superscript"/>
        </w:rPr>
        <w:t>82</w:t>
      </w:r>
      <w:r w:rsidR="53597F66" w:rsidRPr="00B85D62">
        <w:rPr>
          <w:rFonts w:eastAsia="Calibri" w:cs="Arial"/>
          <w:shd w:val="clear" w:color="auto" w:fill="FFFFFF"/>
        </w:rPr>
        <w:t xml:space="preserve"> </w:t>
      </w:r>
      <w:r w:rsidR="007329FE" w:rsidRPr="00B85D62">
        <w:rPr>
          <w:rFonts w:eastAsia="Calibri" w:cs="Arial"/>
          <w:shd w:val="clear" w:color="auto" w:fill="FFFFFF"/>
        </w:rPr>
        <w:t>Similarly</w:t>
      </w:r>
      <w:r w:rsidR="53597F66" w:rsidRPr="00B85D62">
        <w:rPr>
          <w:rFonts w:eastAsia="Calibri" w:cs="Arial"/>
          <w:shd w:val="clear" w:color="auto" w:fill="FFFFFF"/>
        </w:rPr>
        <w:t xml:space="preserve">, the </w:t>
      </w:r>
      <w:r w:rsidR="00B85D62" w:rsidRPr="00B85D62">
        <w:rPr>
          <w:rFonts w:eastAsia="Calibri" w:cs="Arial"/>
          <w:shd w:val="clear" w:color="auto" w:fill="FFFFFF"/>
        </w:rPr>
        <w:t>“</w:t>
      </w:r>
      <w:r w:rsidR="53597F66" w:rsidRPr="00B85D62">
        <w:rPr>
          <w:rFonts w:eastAsia="Calibri" w:cs="Arial"/>
          <w:shd w:val="clear" w:color="auto" w:fill="FFFFFF"/>
        </w:rPr>
        <w:t>Make early diagnosis to prevent disease</w:t>
      </w:r>
      <w:r w:rsidR="00B85D62" w:rsidRPr="00B85D62">
        <w:rPr>
          <w:rFonts w:eastAsia="Calibri" w:cs="Arial"/>
          <w:shd w:val="clear" w:color="auto" w:fill="FFFFFF"/>
        </w:rPr>
        <w:t>”</w:t>
      </w:r>
      <w:r w:rsidR="53597F66" w:rsidRPr="00B85D62">
        <w:rPr>
          <w:rFonts w:eastAsia="Calibri" w:cs="Arial"/>
          <w:shd w:val="clear" w:color="auto" w:fill="FFFFFF"/>
        </w:rPr>
        <w:t xml:space="preserve"> (MEDPED) </w:t>
      </w:r>
      <w:r w:rsidR="007329FE" w:rsidRPr="00B85D62">
        <w:rPr>
          <w:rFonts w:eastAsia="Calibri" w:cs="Arial"/>
          <w:shd w:val="clear" w:color="auto" w:fill="FFFFFF"/>
        </w:rPr>
        <w:t xml:space="preserve">use </w:t>
      </w:r>
      <w:r w:rsidR="53597F66" w:rsidRPr="00B85D62">
        <w:rPr>
          <w:rFonts w:eastAsia="Calibri" w:cs="Arial"/>
          <w:shd w:val="clear" w:color="auto" w:fill="FFFFFF"/>
        </w:rPr>
        <w:t>cut-</w:t>
      </w:r>
      <w:r w:rsidR="24EA036A" w:rsidRPr="00B85D62">
        <w:rPr>
          <w:rFonts w:eastAsia="Calibri" w:cs="Arial"/>
          <w:shd w:val="clear" w:color="auto" w:fill="FFFFFF"/>
        </w:rPr>
        <w:t>offs which</w:t>
      </w:r>
      <w:r w:rsidR="53597F66" w:rsidRPr="00B85D62">
        <w:rPr>
          <w:rFonts w:eastAsia="Calibri" w:cs="Arial"/>
          <w:shd w:val="clear" w:color="auto" w:fill="FFFFFF"/>
        </w:rPr>
        <w:t xml:space="preserve"> are age specific for both total cholesterol (TC) and LDL-C.</w:t>
      </w:r>
      <w:r w:rsidR="00F80015" w:rsidRPr="00B85D62">
        <w:rPr>
          <w:rFonts w:eastAsia="Calibri" w:cs="Arial"/>
          <w:noProof/>
          <w:shd w:val="clear" w:color="auto" w:fill="FFFFFF"/>
          <w:vertAlign w:val="superscript"/>
        </w:rPr>
        <w:t>29</w:t>
      </w:r>
    </w:p>
    <w:p w14:paraId="02661CA5" w14:textId="420762F7" w:rsidR="002E2FFB" w:rsidRPr="00B85D62" w:rsidRDefault="54F9349D" w:rsidP="0066232B">
      <w:pPr>
        <w:autoSpaceDE w:val="0"/>
        <w:autoSpaceDN w:val="0"/>
        <w:adjustRightInd w:val="0"/>
        <w:jc w:val="both"/>
        <w:rPr>
          <w:rFonts w:eastAsia="Calibri" w:cs="Arial"/>
        </w:rPr>
      </w:pPr>
      <w:r w:rsidRPr="00B85D62">
        <w:rPr>
          <w:rFonts w:eastAsia="Calibri" w:cs="Arial"/>
        </w:rPr>
        <w:t xml:space="preserve">The 2008 NICE clinical guidelines recommended cascade testing with a genetic test for relatives of </w:t>
      </w:r>
      <w:r w:rsidR="007329FE" w:rsidRPr="00B85D62">
        <w:rPr>
          <w:rFonts w:eastAsia="Calibri" w:cs="Arial"/>
        </w:rPr>
        <w:t xml:space="preserve">index cases </w:t>
      </w:r>
      <w:r w:rsidRPr="00B85D62">
        <w:rPr>
          <w:rFonts w:eastAsia="Calibri" w:cs="Arial"/>
        </w:rPr>
        <w:t xml:space="preserve">with </w:t>
      </w:r>
      <w:r w:rsidR="307C2EA6" w:rsidRPr="00B85D62">
        <w:rPr>
          <w:rFonts w:eastAsia="Calibri" w:cs="Arial"/>
        </w:rPr>
        <w:t>FH</w:t>
      </w:r>
      <w:r w:rsidRPr="00B85D62">
        <w:rPr>
          <w:rFonts w:eastAsia="Calibri" w:cs="Arial"/>
        </w:rPr>
        <w:t xml:space="preserve"> who had an identified mutation and age- and gender-specific LDL-C criteria to diagnose relatives of probands with </w:t>
      </w:r>
      <w:r w:rsidR="71200C4C" w:rsidRPr="00B85D62">
        <w:rPr>
          <w:rFonts w:eastAsia="Calibri" w:cs="Arial"/>
        </w:rPr>
        <w:t>FH</w:t>
      </w:r>
      <w:r w:rsidR="004372AB" w:rsidRPr="00B85D62">
        <w:rPr>
          <w:rFonts w:eastAsia="Calibri" w:cs="Arial"/>
          <w:noProof/>
          <w:color w:val="2B579A"/>
          <w:shd w:val="clear" w:color="auto" w:fill="E6E6E6"/>
          <w:vertAlign w:val="superscript"/>
        </w:rPr>
        <w:t>83</w:t>
      </w:r>
      <w:r w:rsidRPr="00B85D62">
        <w:rPr>
          <w:rFonts w:eastAsia="Calibri" w:cs="Arial"/>
        </w:rPr>
        <w:t xml:space="preserve">. The 2017 update, however, recommends using only the genetic test to conduct cascade testing. </w:t>
      </w:r>
      <w:r w:rsidR="1B8AB4B9" w:rsidRPr="00B85D62">
        <w:rPr>
          <w:rFonts w:eastAsia="Calibri" w:cs="Arial"/>
        </w:rPr>
        <w:t>T</w:t>
      </w:r>
      <w:r w:rsidRPr="00B85D62">
        <w:rPr>
          <w:rFonts w:eastAsia="Calibri" w:cs="Arial"/>
          <w:shd w:val="clear" w:color="auto" w:fill="FFFFFF"/>
        </w:rPr>
        <w:t xml:space="preserve">his systematic review aimed to assess the diagnostic accuracy of clinical and biochemical characteristics, </w:t>
      </w:r>
      <w:r w:rsidRPr="00B85D62">
        <w:rPr>
          <w:rFonts w:eastAsia="Calibri" w:cs="Arial"/>
          <w:shd w:val="clear" w:color="auto" w:fill="FFFFFF"/>
        </w:rPr>
        <w:lastRenderedPageBreak/>
        <w:t xml:space="preserve">including LDL-cholesterol (LDL-C) and total cholesterol (TC), and clinical signs, for the diagnosis of FH in relatives of </w:t>
      </w:r>
      <w:r w:rsidR="007329FE" w:rsidRPr="00B85D62">
        <w:rPr>
          <w:rFonts w:eastAsia="Calibri" w:cs="Arial"/>
          <w:shd w:val="clear" w:color="auto" w:fill="FFFFFF"/>
        </w:rPr>
        <w:t xml:space="preserve">index case </w:t>
      </w:r>
      <w:r w:rsidRPr="00B85D62">
        <w:rPr>
          <w:rFonts w:eastAsia="Calibri" w:cs="Arial"/>
          <w:shd w:val="clear" w:color="auto" w:fill="FFFFFF"/>
        </w:rPr>
        <w:t>with confirmed FH</w:t>
      </w:r>
      <w:r w:rsidR="007329FE" w:rsidRPr="00B85D62">
        <w:rPr>
          <w:rFonts w:eastAsia="Calibri" w:cs="Arial"/>
          <w:shd w:val="clear" w:color="auto" w:fill="FFFFFF"/>
        </w:rPr>
        <w:t xml:space="preserve"> to inform the parameters for the economic model</w:t>
      </w:r>
      <w:r w:rsidRPr="00B85D62">
        <w:rPr>
          <w:rFonts w:eastAsia="Calibri" w:cs="Arial"/>
        </w:rPr>
        <w:t>.</w:t>
      </w:r>
    </w:p>
    <w:p w14:paraId="2265A376" w14:textId="55055736" w:rsidR="002E2FFB" w:rsidRPr="00B85D62" w:rsidRDefault="3D582D89" w:rsidP="006C7E71">
      <w:pPr>
        <w:pStyle w:val="Heading3"/>
        <w:rPr>
          <w:shd w:val="clear" w:color="auto" w:fill="FFFFFF"/>
        </w:rPr>
      </w:pPr>
      <w:bookmarkStart w:id="63" w:name="_Toc76461037"/>
      <w:bookmarkStart w:id="64" w:name="_Toc107157450"/>
      <w:r w:rsidRPr="00B85D62">
        <w:rPr>
          <w:shd w:val="clear" w:color="auto" w:fill="FFFFFF"/>
        </w:rPr>
        <w:t>Review Method</w:t>
      </w:r>
      <w:bookmarkEnd w:id="63"/>
      <w:bookmarkEnd w:id="64"/>
    </w:p>
    <w:p w14:paraId="303C9E38" w14:textId="0A80B280" w:rsidR="002E2FFB" w:rsidRPr="00B85D62" w:rsidRDefault="002E2FFB" w:rsidP="0066232B">
      <w:pPr>
        <w:autoSpaceDE w:val="0"/>
        <w:autoSpaceDN w:val="0"/>
        <w:adjustRightInd w:val="0"/>
        <w:jc w:val="both"/>
        <w:rPr>
          <w:rFonts w:eastAsia="Calibri" w:cs="Arial"/>
          <w:bCs/>
          <w:shd w:val="clear" w:color="auto" w:fill="FFFFFF"/>
        </w:rPr>
      </w:pPr>
      <w:r w:rsidRPr="00B85D62">
        <w:rPr>
          <w:rFonts w:eastAsia="Calibri" w:cs="Arial"/>
          <w:bCs/>
          <w:shd w:val="clear" w:color="auto" w:fill="FFFFFF"/>
        </w:rPr>
        <w:t xml:space="preserve">The systematic review was conducted and reported according to the </w:t>
      </w:r>
      <w:r w:rsidRPr="00B85D62">
        <w:rPr>
          <w:rFonts w:eastAsia="Calibri" w:cs="Arial"/>
          <w:shd w:val="clear" w:color="auto" w:fill="FFFFFF"/>
        </w:rPr>
        <w:t>Preferred Reporting Items for Systematic reviews and Meta-Analyses (PRISMA) guidelines.</w:t>
      </w:r>
      <w:r w:rsidR="004372AB" w:rsidRPr="00B85D62">
        <w:rPr>
          <w:rFonts w:eastAsia="Calibri" w:cs="Arial"/>
          <w:noProof/>
          <w:shd w:val="clear" w:color="auto" w:fill="FFFFFF"/>
          <w:vertAlign w:val="superscript"/>
        </w:rPr>
        <w:t>84</w:t>
      </w:r>
      <w:r w:rsidRPr="00B85D62">
        <w:rPr>
          <w:rFonts w:eastAsia="Calibri" w:cs="Arial"/>
          <w:shd w:val="clear" w:color="auto" w:fill="FFFFFF"/>
        </w:rPr>
        <w:t xml:space="preserve"> The study protocol was published on PROSPERO (CRD42018117445).</w:t>
      </w:r>
    </w:p>
    <w:p w14:paraId="208E853D" w14:textId="77777777" w:rsidR="002E2FFB" w:rsidRPr="00B85D62" w:rsidRDefault="002E2FFB" w:rsidP="0066232B">
      <w:pPr>
        <w:autoSpaceDE w:val="0"/>
        <w:autoSpaceDN w:val="0"/>
        <w:adjustRightInd w:val="0"/>
        <w:jc w:val="both"/>
        <w:rPr>
          <w:rFonts w:cs="Arial"/>
          <w:i/>
          <w:lang w:eastAsia="en-GB"/>
        </w:rPr>
      </w:pPr>
      <w:r w:rsidRPr="00B85D62">
        <w:rPr>
          <w:rFonts w:cs="Arial"/>
          <w:i/>
          <w:lang w:eastAsia="en-GB"/>
        </w:rPr>
        <w:t>Inclusion and Exclusion Criteria</w:t>
      </w:r>
    </w:p>
    <w:p w14:paraId="046EE541" w14:textId="77777777" w:rsidR="00B85D62" w:rsidRPr="00B85D62" w:rsidRDefault="002E2FFB" w:rsidP="0066232B">
      <w:pPr>
        <w:autoSpaceDE w:val="0"/>
        <w:autoSpaceDN w:val="0"/>
        <w:adjustRightInd w:val="0"/>
        <w:jc w:val="both"/>
        <w:rPr>
          <w:rFonts w:eastAsia="Calibri" w:cs="Arial"/>
          <w:shd w:val="clear" w:color="auto" w:fill="FFFFFF"/>
        </w:rPr>
      </w:pPr>
      <w:r w:rsidRPr="00B85D62">
        <w:rPr>
          <w:rFonts w:eastAsia="Calibri" w:cs="Arial"/>
          <w:shd w:val="clear" w:color="auto" w:fill="FFFFFF"/>
        </w:rPr>
        <w:t>We included all published and unpublished test-accuracy studies that reported the result of the index test with that of the reference standard, where the following criteria were met:</w:t>
      </w:r>
    </w:p>
    <w:p w14:paraId="378253EF" w14:textId="0125064A" w:rsidR="002E2FFB" w:rsidRPr="00B85D62" w:rsidRDefault="002E2FFB" w:rsidP="0066232B">
      <w:pPr>
        <w:autoSpaceDE w:val="0"/>
        <w:autoSpaceDN w:val="0"/>
        <w:adjustRightInd w:val="0"/>
        <w:jc w:val="both"/>
        <w:rPr>
          <w:rFonts w:eastAsia="Calibri" w:cs="Arial"/>
          <w:shd w:val="clear" w:color="auto" w:fill="FFFFFF"/>
        </w:rPr>
      </w:pPr>
      <w:r w:rsidRPr="00B85D62">
        <w:rPr>
          <w:rFonts w:eastAsia="Calibri" w:cs="Arial"/>
          <w:b/>
          <w:bCs/>
          <w:i/>
          <w:iCs/>
          <w:shd w:val="clear" w:color="auto" w:fill="FFFFFF"/>
        </w:rPr>
        <w:t>Population:</w:t>
      </w:r>
      <w:r w:rsidRPr="00B85D62">
        <w:rPr>
          <w:rFonts w:eastAsia="Calibri" w:cs="Arial"/>
          <w:shd w:val="clear" w:color="auto" w:fill="FFFFFF"/>
        </w:rPr>
        <w:t xml:space="preserve"> Relative of </w:t>
      </w:r>
      <w:r w:rsidR="007329FE" w:rsidRPr="00B85D62">
        <w:rPr>
          <w:rFonts w:eastAsia="Calibri" w:cs="Arial"/>
          <w:shd w:val="clear" w:color="auto" w:fill="FFFFFF"/>
        </w:rPr>
        <w:t xml:space="preserve">index case </w:t>
      </w:r>
      <w:r w:rsidRPr="00B85D62">
        <w:rPr>
          <w:rFonts w:eastAsia="Calibri" w:cs="Arial"/>
          <w:shd w:val="clear" w:color="auto" w:fill="FFFFFF"/>
        </w:rPr>
        <w:t>with genetically confirmed FH</w:t>
      </w:r>
    </w:p>
    <w:p w14:paraId="1DDAC4C7" w14:textId="77777777" w:rsidR="002E2FFB" w:rsidRPr="00B85D62" w:rsidRDefault="002E2FFB" w:rsidP="0066232B">
      <w:pPr>
        <w:autoSpaceDE w:val="0"/>
        <w:autoSpaceDN w:val="0"/>
        <w:adjustRightInd w:val="0"/>
        <w:jc w:val="both"/>
        <w:rPr>
          <w:rFonts w:eastAsia="Calibri" w:cs="Arial"/>
          <w:shd w:val="clear" w:color="auto" w:fill="FFFFFF"/>
        </w:rPr>
      </w:pPr>
      <w:r w:rsidRPr="00B85D62">
        <w:rPr>
          <w:rFonts w:eastAsia="Calibri" w:cs="Arial"/>
          <w:b/>
          <w:bCs/>
          <w:i/>
          <w:iCs/>
          <w:shd w:val="clear" w:color="auto" w:fill="FFFFFF"/>
        </w:rPr>
        <w:t>Index test:</w:t>
      </w:r>
      <w:r w:rsidRPr="00B85D62">
        <w:rPr>
          <w:rFonts w:eastAsia="Calibri" w:cs="Arial"/>
          <w:shd w:val="clear" w:color="auto" w:fill="FFFFFF"/>
        </w:rPr>
        <w:t xml:space="preserve"> Use of one or more clinical or biochemical characteristics or a clinical scoring system based on these characteristics (e.g. LDL-C, TC)</w:t>
      </w:r>
    </w:p>
    <w:p w14:paraId="6CBBCEAC" w14:textId="014596E0" w:rsidR="002E2FFB" w:rsidRPr="00B85D62" w:rsidRDefault="002E2FFB" w:rsidP="0066232B">
      <w:pPr>
        <w:autoSpaceDE w:val="0"/>
        <w:autoSpaceDN w:val="0"/>
        <w:adjustRightInd w:val="0"/>
        <w:jc w:val="both"/>
        <w:rPr>
          <w:rFonts w:eastAsia="Calibri" w:cs="Arial"/>
          <w:shd w:val="clear" w:color="auto" w:fill="FFFFFF"/>
        </w:rPr>
      </w:pPr>
      <w:r w:rsidRPr="00B85D62">
        <w:rPr>
          <w:rFonts w:eastAsia="Calibri" w:cs="Arial"/>
          <w:b/>
          <w:bCs/>
          <w:i/>
          <w:iCs/>
          <w:shd w:val="clear" w:color="auto" w:fill="FFFFFF"/>
        </w:rPr>
        <w:t xml:space="preserve">Reference standard: </w:t>
      </w:r>
      <w:r w:rsidRPr="00B85D62">
        <w:rPr>
          <w:rFonts w:eastAsia="Calibri" w:cs="Arial"/>
          <w:shd w:val="clear" w:color="auto" w:fill="FFFFFF"/>
        </w:rPr>
        <w:t>Genetic confirmation for any mutation in three FH-causing genes (LDLR, APOB, PCSK9)</w:t>
      </w:r>
    </w:p>
    <w:p w14:paraId="7BF48827" w14:textId="341B4E4D" w:rsidR="002E2FFB" w:rsidRPr="00B85D62" w:rsidRDefault="54F9349D" w:rsidP="0066232B">
      <w:pPr>
        <w:autoSpaceDE w:val="0"/>
        <w:autoSpaceDN w:val="0"/>
        <w:adjustRightInd w:val="0"/>
        <w:jc w:val="both"/>
        <w:rPr>
          <w:rFonts w:eastAsia="Calibri" w:cs="Arial"/>
          <w:shd w:val="clear" w:color="auto" w:fill="FFFFFF"/>
        </w:rPr>
      </w:pPr>
      <w:r w:rsidRPr="00B85D62">
        <w:rPr>
          <w:rFonts w:eastAsia="Calibri" w:cs="Arial"/>
          <w:b/>
          <w:bCs/>
          <w:i/>
          <w:iCs/>
          <w:shd w:val="clear" w:color="auto" w:fill="FFFFFF"/>
        </w:rPr>
        <w:t xml:space="preserve">Diagnosis of interest: </w:t>
      </w:r>
      <w:r w:rsidRPr="00B85D62">
        <w:rPr>
          <w:rFonts w:eastAsia="Calibri" w:cs="Arial"/>
          <w:shd w:val="clear" w:color="auto" w:fill="FFFFFF"/>
        </w:rPr>
        <w:t>He</w:t>
      </w:r>
      <w:r w:rsidR="6F50B805" w:rsidRPr="00B85D62">
        <w:rPr>
          <w:rFonts w:eastAsia="Calibri" w:cs="Arial"/>
          <w:shd w:val="clear" w:color="auto" w:fill="FFFFFF"/>
        </w:rPr>
        <w:t xml:space="preserve">terozygote </w:t>
      </w:r>
      <w:r w:rsidRPr="00B85D62">
        <w:rPr>
          <w:rFonts w:eastAsia="Calibri" w:cs="Arial"/>
          <w:shd w:val="clear" w:color="auto" w:fill="FFFFFF"/>
        </w:rPr>
        <w:t>FH</w:t>
      </w:r>
    </w:p>
    <w:p w14:paraId="6F18411E" w14:textId="77777777" w:rsidR="002E2FFB" w:rsidRPr="00B85D62" w:rsidRDefault="002E2FFB" w:rsidP="0066232B">
      <w:pPr>
        <w:autoSpaceDE w:val="0"/>
        <w:autoSpaceDN w:val="0"/>
        <w:adjustRightInd w:val="0"/>
        <w:jc w:val="both"/>
        <w:rPr>
          <w:rFonts w:eastAsia="Calibri" w:cs="Arial"/>
          <w:i/>
          <w:shd w:val="clear" w:color="auto" w:fill="FFFFFF"/>
        </w:rPr>
      </w:pPr>
      <w:r w:rsidRPr="00B85D62">
        <w:rPr>
          <w:rFonts w:eastAsia="Calibri" w:cs="Arial"/>
          <w:i/>
          <w:shd w:val="clear" w:color="auto" w:fill="FFFFFF"/>
        </w:rPr>
        <w:t>Search Strategy</w:t>
      </w:r>
    </w:p>
    <w:p w14:paraId="0F428BCA" w14:textId="785FFEAE" w:rsidR="00B85D62" w:rsidRPr="00B85D62" w:rsidRDefault="54F9349D" w:rsidP="0066232B">
      <w:pPr>
        <w:autoSpaceDE w:val="0"/>
        <w:autoSpaceDN w:val="0"/>
        <w:adjustRightInd w:val="0"/>
        <w:jc w:val="both"/>
        <w:rPr>
          <w:rFonts w:cs="Arial"/>
          <w:lang w:eastAsia="en-GB"/>
        </w:rPr>
      </w:pPr>
      <w:r w:rsidRPr="00B85D62">
        <w:rPr>
          <w:rFonts w:eastAsia="Calibri" w:cs="Arial"/>
          <w:shd w:val="clear" w:color="auto" w:fill="FFFFFF"/>
        </w:rPr>
        <w:t>A comprehensive search strategy was developed in MEDLINE by an experienced information specialist in collaboration with the project team</w:t>
      </w:r>
      <w:r w:rsidR="00B85D62" w:rsidRPr="00B85D62">
        <w:rPr>
          <w:rFonts w:eastAsia="Calibri" w:cs="Arial"/>
          <w:shd w:val="clear" w:color="auto" w:fill="FFFFFF"/>
        </w:rPr>
        <w:t xml:space="preserve"> </w:t>
      </w:r>
      <w:r w:rsidRPr="00B85D62">
        <w:rPr>
          <w:rFonts w:eastAsia="Calibri" w:cs="Arial"/>
          <w:bdr w:val="none" w:sz="0" w:space="0" w:color="auto" w:frame="1"/>
          <w:shd w:val="clear" w:color="auto" w:fill="FFFFFF"/>
        </w:rPr>
        <w:t>(</w:t>
      </w:r>
      <w:r w:rsidR="55F7EC70" w:rsidRPr="00B85D62">
        <w:rPr>
          <w:rFonts w:eastAsia="Calibri" w:cs="Arial"/>
          <w:bdr w:val="none" w:sz="0" w:space="0" w:color="auto" w:frame="1"/>
          <w:shd w:val="clear" w:color="auto" w:fill="FFFFFF"/>
        </w:rPr>
        <w:t xml:space="preserve">see </w:t>
      </w:r>
      <w:r w:rsidR="3633495D" w:rsidRPr="00B85D62">
        <w:rPr>
          <w:rFonts w:eastAsia="Calibri" w:cs="Arial"/>
          <w:bdr w:val="none" w:sz="0" w:space="0" w:color="auto" w:frame="1"/>
          <w:shd w:val="clear" w:color="auto" w:fill="FFFFFF"/>
        </w:rPr>
        <w:t xml:space="preserve">Appendix 1 </w:t>
      </w:r>
      <w:r w:rsidR="00B85D62" w:rsidRPr="00B85D62">
        <w:rPr>
          <w:rFonts w:eastAsia="Calibri" w:cs="Arial"/>
          <w:i/>
          <w:color w:val="FF0000"/>
          <w:bdr w:val="none" w:sz="0" w:space="0" w:color="auto" w:frame="1"/>
          <w:shd w:val="clear" w:color="auto" w:fill="FFFFFF"/>
        </w:rPr>
        <w:t>T</w:t>
      </w:r>
      <w:r w:rsidR="00B85D62" w:rsidRPr="00B85D62">
        <w:rPr>
          <w:rFonts w:eastAsia="Calibri" w:cs="Arial"/>
          <w:i/>
          <w:color w:val="FF0000"/>
          <w:bdr w:val="none" w:sz="0" w:space="0" w:color="auto" w:frame="1"/>
          <w:shd w:val="clear" w:color="auto" w:fill="FFFFFF"/>
        </w:rPr>
        <w:t>able</w:t>
      </w:r>
      <w:r w:rsidR="00B85D62" w:rsidRPr="00B85D62">
        <w:rPr>
          <w:rFonts w:eastAsia="Calibri" w:cs="Arial"/>
          <w:i/>
          <w:color w:val="FF0000"/>
          <w:bdr w:val="none" w:sz="0" w:space="0" w:color="auto" w:frame="1"/>
          <w:shd w:val="clear" w:color="auto" w:fill="FFFFFF"/>
        </w:rPr>
        <w:t xml:space="preserve"> </w:t>
      </w:r>
      <w:r w:rsidR="00B85D62" w:rsidRPr="00B85D62">
        <w:rPr>
          <w:rFonts w:eastAsia="Calibri" w:cs="Arial"/>
          <w:i/>
          <w:color w:val="FF0000"/>
          <w:bdr w:val="none" w:sz="0" w:space="0" w:color="auto" w:frame="1"/>
          <w:shd w:val="clear" w:color="auto" w:fill="FFFFFF"/>
        </w:rPr>
        <w:t>27</w:t>
      </w:r>
      <w:r w:rsidRPr="00B85D62">
        <w:rPr>
          <w:rFonts w:eastAsia="Calibri" w:cs="Arial"/>
          <w:bdr w:val="none" w:sz="0" w:space="0" w:color="auto" w:frame="1"/>
          <w:shd w:val="clear" w:color="auto" w:fill="FFFFFF"/>
        </w:rPr>
        <w:t xml:space="preserve">). We used a combination of thesaurus headings and terms from the title, abstract or keyword fields, and translated the searches to other databases as appropriate. The search was initially conducted in August 2018 and updated in February 2020. The searches were run from 1994 </w:t>
      </w:r>
      <w:r w:rsidRPr="00B85D62">
        <w:rPr>
          <w:rFonts w:eastAsia="Calibri" w:cs="Arial"/>
          <w:highlight w:val="magenta"/>
          <w:bdr w:val="none" w:sz="0" w:space="0" w:color="auto" w:frame="1"/>
          <w:shd w:val="clear" w:color="auto" w:fill="FFFFFF"/>
        </w:rPr>
        <w:t>due to</w:t>
      </w:r>
      <w:r w:rsidRPr="00B85D62">
        <w:rPr>
          <w:rFonts w:eastAsia="Calibri" w:cs="Arial"/>
          <w:bdr w:val="none" w:sz="0" w:space="0" w:color="auto" w:frame="1"/>
          <w:shd w:val="clear" w:color="auto" w:fill="FFFFFF"/>
        </w:rPr>
        <w:t xml:space="preserve"> the introduction of a government subsidised cascade testing scheme in the Netherlands.</w:t>
      </w:r>
      <w:r w:rsidR="004372AB" w:rsidRPr="00B85D62">
        <w:rPr>
          <w:rFonts w:eastAsia="Calibri" w:cs="Arial"/>
          <w:noProof/>
          <w:bdr w:val="none" w:sz="0" w:space="0" w:color="auto" w:frame="1"/>
          <w:shd w:val="clear" w:color="auto" w:fill="FFFFFF"/>
          <w:vertAlign w:val="superscript"/>
        </w:rPr>
        <w:t>85</w:t>
      </w:r>
      <w:r w:rsidR="00B85D62" w:rsidRPr="00B85D62">
        <w:rPr>
          <w:rFonts w:eastAsia="Calibri" w:cs="Arial"/>
          <w:bdr w:val="none" w:sz="0" w:space="0" w:color="auto" w:frame="1"/>
          <w:shd w:val="clear" w:color="auto" w:fill="FFFFFF"/>
        </w:rPr>
        <w:t xml:space="preserve"> </w:t>
      </w:r>
      <w:r w:rsidRPr="00B85D62">
        <w:rPr>
          <w:rFonts w:eastAsia="Calibri" w:cs="Arial"/>
          <w:bdr w:val="none" w:sz="0" w:space="0" w:color="auto" w:frame="1"/>
          <w:shd w:val="clear" w:color="auto" w:fill="FFFFFF"/>
        </w:rPr>
        <w:t xml:space="preserve">The following databases were searched: MEDLINE, </w:t>
      </w:r>
      <w:r w:rsidR="00B85D62" w:rsidRPr="00B85D62">
        <w:rPr>
          <w:rFonts w:eastAsia="Calibri" w:cs="Arial"/>
          <w:color w:val="00B0F0"/>
          <w:bdr w:val="none" w:sz="0" w:space="0" w:color="auto" w:frame="1"/>
          <w:shd w:val="clear" w:color="auto" w:fill="FFFFFF"/>
        </w:rPr>
        <w:t>EMBASE</w:t>
      </w:r>
      <w:r w:rsidRPr="00B85D62">
        <w:rPr>
          <w:rFonts w:eastAsia="Calibri" w:cs="Arial"/>
          <w:bdr w:val="none" w:sz="0" w:space="0" w:color="auto" w:frame="1"/>
          <w:shd w:val="clear" w:color="auto" w:fill="FFFFFF"/>
        </w:rPr>
        <w:t>, CINAHL, CENTRAL (Cochrane Central Register of Controlled Trials), CDSE (Cochrane Database of Systematic Reviews), and Science Citation Index (Web of Science)</w:t>
      </w:r>
      <w:r w:rsidRPr="00B85D62">
        <w:rPr>
          <w:rFonts w:cs="Arial"/>
          <w:lang w:eastAsia="en-GB"/>
        </w:rPr>
        <w:t>. Grey literature was searched via websites of relevant organisations (e.g. FH Foundation, NICE guidelines). We checked the references of included studies. There were no restrictions by language, and translations were sought where necessary.</w:t>
      </w:r>
    </w:p>
    <w:p w14:paraId="7ED20A7B" w14:textId="000D09ED" w:rsidR="00B85D62" w:rsidRPr="00B85D62" w:rsidRDefault="002E2FFB" w:rsidP="0066232B">
      <w:pPr>
        <w:autoSpaceDE w:val="0"/>
        <w:autoSpaceDN w:val="0"/>
        <w:adjustRightInd w:val="0"/>
        <w:jc w:val="both"/>
        <w:rPr>
          <w:rFonts w:eastAsia="Calibri" w:cs="Arial"/>
          <w:i/>
          <w:shd w:val="clear" w:color="auto" w:fill="FFFFFF"/>
        </w:rPr>
      </w:pPr>
      <w:r w:rsidRPr="00B85D62">
        <w:rPr>
          <w:rFonts w:eastAsia="Calibri" w:cs="Arial"/>
          <w:i/>
          <w:shd w:val="clear" w:color="auto" w:fill="FFFFFF"/>
        </w:rPr>
        <w:t>Study Selection</w:t>
      </w:r>
    </w:p>
    <w:p w14:paraId="3C771C73" w14:textId="77777777" w:rsidR="00B85D62" w:rsidRPr="00B85D62" w:rsidRDefault="7386D0CF" w:rsidP="26FF77CA">
      <w:pPr>
        <w:jc w:val="both"/>
        <w:rPr>
          <w:rFonts w:eastAsia="Calibri" w:cs="Arial"/>
        </w:rPr>
      </w:pPr>
      <w:r w:rsidRPr="00B85D62">
        <w:rPr>
          <w:rFonts w:eastAsia="Calibri" w:cs="Arial"/>
        </w:rPr>
        <w:t>Initially, titles and abstracts were screened independently by t</w:t>
      </w:r>
      <w:r w:rsidRPr="00B85D62">
        <w:rPr>
          <w:rFonts w:eastAsia="Calibri" w:cs="Arial"/>
          <w:shd w:val="clear" w:color="auto" w:fill="FFFFFF"/>
        </w:rPr>
        <w:t>wo reviewers (</w:t>
      </w:r>
      <w:r w:rsidR="26FF77CA" w:rsidRPr="00B85D62">
        <w:rPr>
          <w:rFonts w:eastAsia="Arial" w:cs="Arial"/>
          <w:color w:val="000000" w:themeColor="text1"/>
          <w:shd w:val="clear" w:color="auto" w:fill="E6E6E6"/>
        </w:rPr>
        <w:t>RPWK</w:t>
      </w:r>
      <w:r w:rsidR="26FF77CA" w:rsidRPr="00B85D62">
        <w:rPr>
          <w:rFonts w:eastAsia="Arial" w:cs="Arial"/>
          <w:color w:val="000000" w:themeColor="text1"/>
        </w:rPr>
        <w:t>/</w:t>
      </w:r>
      <w:r w:rsidR="26FF77CA" w:rsidRPr="00B85D62">
        <w:rPr>
          <w:rFonts w:eastAsia="Arial" w:cs="Arial"/>
          <w:color w:val="000000" w:themeColor="text1"/>
          <w:shd w:val="clear" w:color="auto" w:fill="E6E6E6"/>
        </w:rPr>
        <w:t>TS</w:t>
      </w:r>
      <w:r w:rsidR="26FF77CA" w:rsidRPr="00B85D62">
        <w:rPr>
          <w:rFonts w:eastAsia="Arial" w:cs="Arial"/>
          <w:color w:val="000000" w:themeColor="text1"/>
        </w:rPr>
        <w:t>/</w:t>
      </w:r>
      <w:r w:rsidR="26FF77CA" w:rsidRPr="00B85D62">
        <w:rPr>
          <w:rFonts w:eastAsia="Arial" w:cs="Arial"/>
          <w:color w:val="000000" w:themeColor="text1"/>
          <w:shd w:val="clear" w:color="auto" w:fill="E6E6E6"/>
        </w:rPr>
        <w:t>DO</w:t>
      </w:r>
      <w:r w:rsidR="26FF77CA" w:rsidRPr="00B85D62">
        <w:rPr>
          <w:rFonts w:eastAsia="Arial" w:cs="Arial"/>
          <w:color w:val="000000" w:themeColor="text1"/>
        </w:rPr>
        <w:t>/</w:t>
      </w:r>
      <w:r w:rsidR="26FF77CA" w:rsidRPr="00B85D62">
        <w:rPr>
          <w:rFonts w:eastAsia="Arial" w:cs="Arial"/>
          <w:color w:val="000000" w:themeColor="text1"/>
          <w:shd w:val="clear" w:color="auto" w:fill="E6E6E6"/>
        </w:rPr>
        <w:t>AM</w:t>
      </w:r>
      <w:r w:rsidR="26FF77CA" w:rsidRPr="00B85D62">
        <w:rPr>
          <w:rFonts w:eastAsia="Arial" w:cs="Arial"/>
          <w:color w:val="000000" w:themeColor="text1"/>
          <w:sz w:val="24"/>
          <w:szCs w:val="24"/>
          <w:shd w:val="clear" w:color="auto" w:fill="E6E6E6"/>
        </w:rPr>
        <w:t>)</w:t>
      </w:r>
      <w:r w:rsidR="26FF77CA" w:rsidRPr="00B85D62">
        <w:rPr>
          <w:rFonts w:eastAsia="Arial" w:cs="Arial"/>
          <w:shd w:val="clear" w:color="auto" w:fill="FFFFFF"/>
        </w:rPr>
        <w:t xml:space="preserve"> </w:t>
      </w:r>
      <w:r w:rsidRPr="00B85D62">
        <w:rPr>
          <w:rFonts w:eastAsia="Calibri" w:cs="Arial"/>
          <w:shd w:val="clear" w:color="auto" w:fill="FFFFFF"/>
        </w:rPr>
        <w:t xml:space="preserve">using a pilot study selection form based on the inclusion criteria for a random sample (10%) of the hits from the searches. The full texts of the potentially eligible studies were screened independently by two </w:t>
      </w:r>
      <w:r w:rsidR="68B71E52" w:rsidRPr="00B85D62">
        <w:rPr>
          <w:rFonts w:eastAsia="Calibri" w:cs="Arial"/>
          <w:shd w:val="clear" w:color="auto" w:fill="FFFFFF"/>
        </w:rPr>
        <w:t>reviewers (</w:t>
      </w:r>
      <w:r w:rsidR="26FF77CA" w:rsidRPr="00B85D62">
        <w:rPr>
          <w:rFonts w:eastAsia="Arial" w:cs="Arial"/>
          <w:color w:val="000000" w:themeColor="text1"/>
        </w:rPr>
        <w:t>RPWK/TS/DO/AM)</w:t>
      </w:r>
      <w:r w:rsidR="68B71E52" w:rsidRPr="00B85D62">
        <w:rPr>
          <w:rFonts w:eastAsia="Calibri" w:cs="Arial"/>
          <w:shd w:val="clear" w:color="auto" w:fill="FFFFFF"/>
        </w:rPr>
        <w:t>.</w:t>
      </w:r>
      <w:r w:rsidRPr="00B85D62">
        <w:rPr>
          <w:rFonts w:eastAsia="Calibri" w:cs="Arial"/>
          <w:shd w:val="clear" w:color="auto" w:fill="FFFFFF"/>
        </w:rPr>
        <w:t xml:space="preserve"> Disagreements were resolved by consensus between the reviewers or using a third </w:t>
      </w:r>
      <w:r w:rsidR="4CC38C4D" w:rsidRPr="00B85D62">
        <w:rPr>
          <w:rFonts w:eastAsia="Calibri" w:cs="Arial"/>
          <w:shd w:val="clear" w:color="auto" w:fill="FFFFFF"/>
        </w:rPr>
        <w:t>reviewer (NQ).</w:t>
      </w:r>
      <w:r w:rsidRPr="00B85D62">
        <w:rPr>
          <w:rFonts w:eastAsia="Calibri" w:cs="Arial"/>
          <w:color w:val="000000" w:themeColor="text1"/>
        </w:rPr>
        <w:t xml:space="preserve"> </w:t>
      </w:r>
      <w:r w:rsidR="004372AB" w:rsidRPr="00B85D62">
        <w:rPr>
          <w:rFonts w:eastAsia="Calibri" w:cs="Arial"/>
          <w:noProof/>
          <w:color w:val="2B579A"/>
          <w:shd w:val="clear" w:color="auto" w:fill="E6E6E6"/>
          <w:vertAlign w:val="superscript"/>
        </w:rPr>
        <w:t>86</w:t>
      </w:r>
      <w:r w:rsidRPr="00B85D62">
        <w:t>￼</w:t>
      </w:r>
    </w:p>
    <w:p w14:paraId="4C0E3EC9" w14:textId="5AE91FD5" w:rsidR="002E2FFB" w:rsidRPr="00B85D62" w:rsidRDefault="002E2FFB" w:rsidP="0066232B">
      <w:pPr>
        <w:autoSpaceDE w:val="0"/>
        <w:autoSpaceDN w:val="0"/>
        <w:adjustRightInd w:val="0"/>
        <w:jc w:val="both"/>
        <w:rPr>
          <w:rFonts w:eastAsia="Calibri" w:cs="Arial"/>
          <w:i/>
          <w:shd w:val="clear" w:color="auto" w:fill="FFFFFF"/>
        </w:rPr>
      </w:pPr>
      <w:r w:rsidRPr="00B85D62">
        <w:rPr>
          <w:rFonts w:eastAsia="Calibri" w:cs="Arial"/>
          <w:i/>
          <w:highlight w:val="magenta"/>
          <w:shd w:val="clear" w:color="auto" w:fill="FFFFFF"/>
        </w:rPr>
        <w:t>Data</w:t>
      </w:r>
      <w:r w:rsidRPr="00B85D62">
        <w:rPr>
          <w:rFonts w:eastAsia="Calibri" w:cs="Arial"/>
          <w:i/>
          <w:shd w:val="clear" w:color="auto" w:fill="FFFFFF"/>
        </w:rPr>
        <w:t xml:space="preserve"> Extraction and Risk of Bias Assessment</w:t>
      </w:r>
    </w:p>
    <w:p w14:paraId="38670753" w14:textId="6B097F51" w:rsidR="00B85D62" w:rsidRPr="00B85D62" w:rsidRDefault="002E2FFB" w:rsidP="00520C37">
      <w:pPr>
        <w:jc w:val="both"/>
        <w:rPr>
          <w:rFonts w:eastAsia="Calibri" w:cs="Arial"/>
          <w:shd w:val="clear" w:color="auto" w:fill="FFFFFF"/>
        </w:rPr>
      </w:pPr>
      <w:r w:rsidRPr="00B85D62">
        <w:rPr>
          <w:rFonts w:eastAsia="Calibri" w:cs="Arial"/>
          <w:shd w:val="clear" w:color="auto" w:fill="FFFFFF"/>
        </w:rPr>
        <w:t xml:space="preserve">Two reviewers (RPWK &amp; TS) independently extracted </w:t>
      </w:r>
      <w:r w:rsidRPr="00B85D62">
        <w:rPr>
          <w:rFonts w:eastAsia="Calibri" w:cs="Arial"/>
          <w:highlight w:val="magenta"/>
          <w:shd w:val="clear" w:color="auto" w:fill="FFFFFF"/>
        </w:rPr>
        <w:t>data</w:t>
      </w:r>
      <w:r w:rsidRPr="00B85D62">
        <w:rPr>
          <w:rFonts w:eastAsia="Calibri" w:cs="Arial"/>
          <w:shd w:val="clear" w:color="auto" w:fill="FFFFFF"/>
        </w:rPr>
        <w:t xml:space="preserve"> from the included studies based on the study methods and setting, index test, reference standard, sample size, and participants characteristics.</w:t>
      </w:r>
      <w:r w:rsidR="00895586" w:rsidRPr="00B85D62">
        <w:rPr>
          <w:rFonts w:eastAsia="Calibri" w:cs="Arial"/>
          <w:shd w:val="clear" w:color="auto" w:fill="FFFFFF"/>
        </w:rPr>
        <w:t xml:space="preserve"> </w:t>
      </w:r>
      <w:r w:rsidRPr="00B85D62">
        <w:rPr>
          <w:rFonts w:eastAsia="Calibri" w:cs="Arial"/>
          <w:shd w:val="clear" w:color="auto" w:fill="FFFFFF"/>
        </w:rPr>
        <w:t>Included studies were assessed for Risk of Bias by two independent reviewers (RPWK &amp; TS) using the Quality Assessment of Diagnostic Accuracy Studies (QUADA</w:t>
      </w:r>
      <w:r w:rsidR="00B85D62" w:rsidRPr="00B85D62">
        <w:rPr>
          <w:rFonts w:eastAsia="Calibri" w:cs="Arial"/>
          <w:color w:val="00B0F0"/>
          <w:shd w:val="clear" w:color="auto" w:fill="FFFFFF"/>
        </w:rPr>
        <w:t>S</w:t>
      </w:r>
      <w:r w:rsidR="00B85D62" w:rsidRPr="00B85D62">
        <w:rPr>
          <w:rFonts w:eastAsia="Calibri" w:cs="Arial"/>
          <w:color w:val="00B0F0"/>
          <w:shd w:val="clear" w:color="auto" w:fill="FFFFFF"/>
        </w:rPr>
        <w:t>-</w:t>
      </w:r>
      <w:r w:rsidR="00B85D62" w:rsidRPr="00B85D62">
        <w:rPr>
          <w:rFonts w:eastAsia="Calibri" w:cs="Arial"/>
          <w:color w:val="00B0F0"/>
          <w:shd w:val="clear" w:color="auto" w:fill="FFFFFF"/>
        </w:rPr>
        <w:t>2</w:t>
      </w:r>
      <w:r w:rsidRPr="00B85D62">
        <w:rPr>
          <w:rFonts w:eastAsia="Calibri" w:cs="Arial"/>
          <w:shd w:val="clear" w:color="auto" w:fill="FFFFFF"/>
        </w:rPr>
        <w:t>)</w:t>
      </w:r>
      <w:r w:rsidR="004372AB" w:rsidRPr="00B85D62">
        <w:rPr>
          <w:rFonts w:eastAsia="Calibri" w:cs="Arial"/>
          <w:noProof/>
          <w:color w:val="2B579A"/>
          <w:shd w:val="clear" w:color="auto" w:fill="FFFFFF"/>
          <w:vertAlign w:val="superscript"/>
        </w:rPr>
        <w:t>87</w:t>
      </w:r>
    </w:p>
    <w:p w14:paraId="47E0112A" w14:textId="408B3B19" w:rsidR="002E2FFB" w:rsidRPr="00B85D62" w:rsidRDefault="3D582D89" w:rsidP="006C7E71">
      <w:pPr>
        <w:pStyle w:val="Heading3"/>
      </w:pPr>
      <w:bookmarkStart w:id="65" w:name="_Toc76461038"/>
      <w:bookmarkStart w:id="66" w:name="_Toc107157451"/>
      <w:r w:rsidRPr="00B85D62">
        <w:t>Results</w:t>
      </w:r>
      <w:bookmarkEnd w:id="65"/>
      <w:bookmarkEnd w:id="66"/>
    </w:p>
    <w:p w14:paraId="2983E8C1" w14:textId="33D7B966" w:rsidR="00B85D62" w:rsidRPr="00B85D62" w:rsidRDefault="54F9349D" w:rsidP="0066232B">
      <w:pPr>
        <w:jc w:val="both"/>
        <w:rPr>
          <w:rFonts w:eastAsia="Calibri" w:cs="Arial"/>
        </w:rPr>
      </w:pPr>
      <w:r w:rsidRPr="00B85D62">
        <w:rPr>
          <w:rFonts w:eastAsia="Calibri" w:cs="Arial"/>
        </w:rPr>
        <w:t xml:space="preserve">After deduplication there was a total of 15,191 titles and abstracts screened; 280 of which were screened at the full text stage. Of these studies 117 reported an ineligible outcome, 9 ineligible </w:t>
      </w:r>
      <w:r w:rsidR="7AF40AC9" w:rsidRPr="00B85D62">
        <w:rPr>
          <w:rFonts w:eastAsia="Calibri" w:cs="Arial"/>
        </w:rPr>
        <w:t>index case</w:t>
      </w:r>
      <w:r w:rsidRPr="00B85D62">
        <w:rPr>
          <w:rFonts w:eastAsia="Calibri" w:cs="Arial"/>
        </w:rPr>
        <w:t xml:space="preserve">s, 6 ineligible reference standards, 76 ineligible population, and 63 were not full text articles or insufficient information was presented (See </w:t>
      </w:r>
      <w:r w:rsidR="00B85D62" w:rsidRPr="00B85D62">
        <w:rPr>
          <w:rFonts w:eastAsia="Calibri" w:cs="Arial"/>
          <w:i/>
          <w:color w:val="FF0000"/>
        </w:rPr>
        <w:t>F</w:t>
      </w:r>
      <w:r w:rsidR="00B85D62" w:rsidRPr="00B85D62">
        <w:rPr>
          <w:rFonts w:eastAsia="Calibri" w:cs="Arial"/>
          <w:i/>
          <w:color w:val="FF0000"/>
        </w:rPr>
        <w:t>igure</w:t>
      </w:r>
      <w:r w:rsidR="00B85D62" w:rsidRPr="00B85D62">
        <w:rPr>
          <w:rFonts w:eastAsia="Calibri" w:cs="Arial"/>
          <w:i/>
          <w:color w:val="FF0000"/>
        </w:rPr>
        <w:t xml:space="preserve"> </w:t>
      </w:r>
      <w:r w:rsidR="00B85D62" w:rsidRPr="00B85D62">
        <w:rPr>
          <w:rFonts w:eastAsia="Calibri" w:cs="Arial"/>
          <w:i/>
          <w:color w:val="FF0000"/>
        </w:rPr>
        <w:t>6</w:t>
      </w:r>
      <w:r w:rsidRPr="00B85D62">
        <w:rPr>
          <w:rFonts w:eastAsia="Calibri" w:cs="Arial"/>
        </w:rPr>
        <w:t>).</w:t>
      </w:r>
    </w:p>
    <w:p w14:paraId="583E2540" w14:textId="550F14CA" w:rsidR="00B85D62" w:rsidRPr="00B85D62" w:rsidRDefault="00B85D62" w:rsidP="000A65BD">
      <w:pPr>
        <w:jc w:val="both"/>
        <w:rPr>
          <w:rFonts w:eastAsia="Calibri" w:cs="Arial"/>
          <w:bCs/>
          <w:iCs/>
        </w:rPr>
      </w:pPr>
      <w:bookmarkStart w:id="67" w:name="_Toc79740225"/>
      <w:bookmarkStart w:id="68" w:name="_Toc107157388"/>
      <w:r w:rsidRPr="00B85D62">
        <w:rPr>
          <w:rFonts w:eastAsia="Calibri" w:cs="Arial"/>
          <w:bCs/>
          <w:i/>
          <w:iCs/>
          <w:color w:val="FF0000"/>
        </w:rPr>
        <w:t>F</w:t>
      </w:r>
      <w:r w:rsidRPr="00B85D62">
        <w:rPr>
          <w:rFonts w:eastAsia="Calibri" w:cs="Arial"/>
          <w:bCs/>
          <w:i/>
          <w:iCs/>
          <w:color w:val="FF0000"/>
        </w:rPr>
        <w:t>igure</w:t>
      </w:r>
      <w:r w:rsidRPr="00B85D62">
        <w:rPr>
          <w:rFonts w:eastAsia="Calibri" w:cs="Arial"/>
          <w:bCs/>
          <w:i/>
          <w:iCs/>
          <w:color w:val="FF0000"/>
        </w:rPr>
        <w:t xml:space="preserve"> </w:t>
      </w:r>
      <w:r w:rsidRPr="00B85D62">
        <w:rPr>
          <w:rFonts w:eastAsia="Calibri" w:cs="Arial"/>
          <w:bCs/>
          <w:i/>
          <w:iCs/>
          <w:noProof/>
          <w:color w:val="FF0000"/>
        </w:rPr>
        <w:t>6</w:t>
      </w:r>
      <w:r w:rsidR="000A65BD" w:rsidRPr="00B85D62">
        <w:rPr>
          <w:rFonts w:eastAsia="Calibri" w:cs="Arial"/>
          <w:bCs/>
        </w:rPr>
        <w:t xml:space="preserve"> PRISMA flow diagram of review of biochemical and clinical criteria in relatives</w:t>
      </w:r>
      <w:bookmarkEnd w:id="67"/>
      <w:bookmarkEnd w:id="68"/>
    </w:p>
    <w:p w14:paraId="51E0C78E" w14:textId="516BD97B" w:rsidR="002E2FFB" w:rsidRPr="00B85D62" w:rsidRDefault="54F9349D" w:rsidP="0066232B">
      <w:pPr>
        <w:jc w:val="both"/>
        <w:rPr>
          <w:rFonts w:eastAsia="Calibri" w:cs="Arial"/>
        </w:rPr>
      </w:pPr>
      <w:r w:rsidRPr="00B85D62">
        <w:rPr>
          <w:rFonts w:eastAsia="Calibri" w:cs="Arial"/>
        </w:rPr>
        <w:t>Nine studies met the inclusion criteria for this systematic review.</w:t>
      </w:r>
      <w:r w:rsidR="004372AB" w:rsidRPr="00B85D62">
        <w:rPr>
          <w:rFonts w:eastAsia="Calibri" w:cs="Arial"/>
          <w:noProof/>
          <w:color w:val="2B579A"/>
          <w:shd w:val="clear" w:color="auto" w:fill="E6E6E6"/>
          <w:vertAlign w:val="superscript"/>
        </w:rPr>
        <w:t>38, 42, 51, 56, 88</w:t>
      </w:r>
      <w:r w:rsidR="00B85D62" w:rsidRPr="00B85D62">
        <w:rPr>
          <w:rFonts w:eastAsia="Calibri" w:cs="Arial"/>
          <w:noProof/>
          <w:color w:val="00B0F0"/>
          <w:shd w:val="clear" w:color="auto" w:fill="E6E6E6"/>
          <w:vertAlign w:val="superscript"/>
        </w:rPr>
        <w:t>–</w:t>
      </w:r>
      <w:r w:rsidR="00B85D62" w:rsidRPr="00B85D62">
        <w:rPr>
          <w:rFonts w:eastAsia="Calibri" w:cs="Arial"/>
          <w:noProof/>
          <w:color w:val="00B0F0"/>
          <w:shd w:val="clear" w:color="auto" w:fill="E6E6E6"/>
          <w:vertAlign w:val="superscript"/>
        </w:rPr>
        <w:t>9</w:t>
      </w:r>
      <w:r w:rsidR="004372AB" w:rsidRPr="00B85D62">
        <w:rPr>
          <w:rFonts w:eastAsia="Calibri" w:cs="Arial"/>
          <w:noProof/>
          <w:color w:val="2B579A"/>
          <w:shd w:val="clear" w:color="auto" w:fill="E6E6E6"/>
          <w:vertAlign w:val="superscript"/>
        </w:rPr>
        <w:t>2</w:t>
      </w:r>
      <w:r w:rsidRPr="00B85D62">
        <w:rPr>
          <w:rFonts w:eastAsia="Calibri" w:cs="Arial"/>
        </w:rPr>
        <w:t xml:space="preserve"> The studies were completed in the following countries: Australia,</w:t>
      </w:r>
      <w:r w:rsidR="004372AB" w:rsidRPr="00B85D62">
        <w:rPr>
          <w:rFonts w:eastAsia="Calibri" w:cs="Arial"/>
          <w:noProof/>
          <w:color w:val="2B579A"/>
          <w:shd w:val="clear" w:color="auto" w:fill="E6E6E6"/>
          <w:vertAlign w:val="superscript"/>
        </w:rPr>
        <w:t>93</w:t>
      </w:r>
      <w:r w:rsidRPr="00B85D62">
        <w:rPr>
          <w:rFonts w:eastAsia="Calibri" w:cs="Arial"/>
        </w:rPr>
        <w:t xml:space="preserve"> Denmark,</w:t>
      </w:r>
      <w:r w:rsidR="00F80015" w:rsidRPr="00B85D62">
        <w:rPr>
          <w:rFonts w:eastAsia="Calibri" w:cs="Arial"/>
          <w:noProof/>
          <w:vertAlign w:val="superscript"/>
        </w:rPr>
        <w:t>42</w:t>
      </w:r>
      <w:r w:rsidRPr="00B85D62">
        <w:rPr>
          <w:rFonts w:eastAsia="Calibri" w:cs="Arial"/>
        </w:rPr>
        <w:t xml:space="preserve"> Iceland,</w:t>
      </w:r>
      <w:r w:rsidR="004372AB" w:rsidRPr="00B85D62">
        <w:rPr>
          <w:rFonts w:eastAsia="Calibri" w:cs="Arial"/>
          <w:noProof/>
          <w:color w:val="2B579A"/>
          <w:shd w:val="clear" w:color="auto" w:fill="E6E6E6"/>
          <w:vertAlign w:val="superscript"/>
        </w:rPr>
        <w:t>91</w:t>
      </w:r>
      <w:r w:rsidRPr="00B85D62">
        <w:rPr>
          <w:rFonts w:eastAsia="Calibri" w:cs="Arial"/>
        </w:rPr>
        <w:t xml:space="preserve"> Japan,</w:t>
      </w:r>
      <w:r w:rsidR="004372AB" w:rsidRPr="00B85D62">
        <w:rPr>
          <w:rFonts w:eastAsia="Calibri" w:cs="Arial"/>
          <w:noProof/>
          <w:color w:val="2B579A"/>
          <w:shd w:val="clear" w:color="auto" w:fill="E6E6E6"/>
          <w:vertAlign w:val="superscript"/>
        </w:rPr>
        <w:t>89</w:t>
      </w:r>
      <w:r w:rsidRPr="00B85D62">
        <w:rPr>
          <w:rFonts w:eastAsia="Calibri" w:cs="Arial"/>
        </w:rPr>
        <w:t xml:space="preserve"> Netherlands,</w:t>
      </w:r>
      <w:r w:rsidR="004372AB" w:rsidRPr="00B85D62">
        <w:rPr>
          <w:rFonts w:eastAsia="Calibri" w:cs="Arial"/>
          <w:noProof/>
          <w:color w:val="2B579A"/>
          <w:shd w:val="clear" w:color="auto" w:fill="E6E6E6"/>
          <w:vertAlign w:val="superscript"/>
        </w:rPr>
        <w:t>42, 88</w:t>
      </w:r>
      <w:r w:rsidRPr="00B85D62">
        <w:rPr>
          <w:rFonts w:eastAsia="Calibri" w:cs="Arial"/>
        </w:rPr>
        <w:t xml:space="preserve"> Norway,</w:t>
      </w:r>
      <w:r w:rsidR="00F80015" w:rsidRPr="00B85D62">
        <w:rPr>
          <w:rFonts w:eastAsia="Calibri" w:cs="Arial"/>
          <w:noProof/>
          <w:vertAlign w:val="superscript"/>
        </w:rPr>
        <w:t>42, 51, 56</w:t>
      </w:r>
      <w:r w:rsidRPr="00B85D62">
        <w:rPr>
          <w:rFonts w:eastAsia="Calibri" w:cs="Arial"/>
        </w:rPr>
        <w:t xml:space="preserve"> South Africa,</w:t>
      </w:r>
      <w:r w:rsidR="004372AB" w:rsidRPr="00B85D62">
        <w:rPr>
          <w:rFonts w:eastAsia="Calibri" w:cs="Arial"/>
          <w:noProof/>
          <w:color w:val="2B579A"/>
          <w:shd w:val="clear" w:color="auto" w:fill="E6E6E6"/>
          <w:vertAlign w:val="superscript"/>
        </w:rPr>
        <w:t>92</w:t>
      </w:r>
      <w:r w:rsidRPr="00B85D62">
        <w:rPr>
          <w:rFonts w:eastAsia="Calibri" w:cs="Arial"/>
        </w:rPr>
        <w:t xml:space="preserve"> and Vietnam.</w:t>
      </w:r>
      <w:r w:rsidR="004372AB" w:rsidRPr="00B85D62">
        <w:rPr>
          <w:rFonts w:eastAsia="Calibri" w:cs="Arial"/>
          <w:noProof/>
          <w:color w:val="2B579A"/>
          <w:shd w:val="clear" w:color="auto" w:fill="E6E6E6"/>
          <w:vertAlign w:val="superscript"/>
        </w:rPr>
        <w:t>90</w:t>
      </w:r>
      <w:r w:rsidRPr="00B85D62">
        <w:rPr>
          <w:rFonts w:eastAsia="Calibri" w:cs="Arial"/>
        </w:rPr>
        <w:t xml:space="preserve"> Two studies used the same cohort of individuals; however, one assessed the diagnostic </w:t>
      </w:r>
      <w:r w:rsidR="18ED229A" w:rsidRPr="00B85D62">
        <w:rPr>
          <w:rFonts w:eastAsia="Calibri" w:cs="Arial"/>
        </w:rPr>
        <w:t xml:space="preserve">potential </w:t>
      </w:r>
      <w:r w:rsidRPr="00B85D62">
        <w:rPr>
          <w:rFonts w:eastAsia="Calibri" w:cs="Arial"/>
        </w:rPr>
        <w:t>of TC</w:t>
      </w:r>
      <w:r w:rsidR="41162DA3" w:rsidRPr="00B85D62">
        <w:rPr>
          <w:rFonts w:eastAsia="Calibri" w:cs="Arial"/>
        </w:rPr>
        <w:t xml:space="preserve"> </w:t>
      </w:r>
      <w:r w:rsidR="00F80015" w:rsidRPr="00B85D62">
        <w:rPr>
          <w:rFonts w:eastAsia="Calibri" w:cs="Arial"/>
          <w:noProof/>
          <w:vertAlign w:val="superscript"/>
        </w:rPr>
        <w:t>51</w:t>
      </w:r>
      <w:r w:rsidRPr="00B85D62">
        <w:rPr>
          <w:rFonts w:eastAsia="Calibri" w:cs="Arial"/>
        </w:rPr>
        <w:t xml:space="preserve"> and the other utilised LDL-C (Norwegian cohort).</w:t>
      </w:r>
      <w:r w:rsidR="00F80015" w:rsidRPr="00B85D62">
        <w:rPr>
          <w:rFonts w:eastAsia="Calibri" w:cs="Arial"/>
          <w:noProof/>
          <w:vertAlign w:val="superscript"/>
        </w:rPr>
        <w:t>42</w:t>
      </w:r>
      <w:r w:rsidRPr="00B85D62">
        <w:rPr>
          <w:rFonts w:eastAsia="Calibri" w:cs="Arial"/>
        </w:rPr>
        <w:t xml:space="preserve"> None of the included studies used other index test</w:t>
      </w:r>
      <w:r w:rsidR="3BC4F076" w:rsidRPr="00B85D62">
        <w:rPr>
          <w:rFonts w:eastAsia="Calibri" w:cs="Arial"/>
        </w:rPr>
        <w:t>s.</w:t>
      </w:r>
    </w:p>
    <w:p w14:paraId="37548467" w14:textId="7C2B3071" w:rsidR="002E2FFB" w:rsidRPr="00B85D62" w:rsidRDefault="54F9349D" w:rsidP="0066232B">
      <w:pPr>
        <w:jc w:val="both"/>
        <w:rPr>
          <w:rFonts w:eastAsia="Calibri" w:cs="Arial"/>
        </w:rPr>
      </w:pPr>
      <w:r w:rsidRPr="00B85D62">
        <w:rPr>
          <w:rFonts w:eastAsia="Calibri" w:cs="Arial"/>
        </w:rPr>
        <w:t xml:space="preserve">The nine studies included a total of 40,079 relatives, of which 14,310 were diagnosed with FH. The number of </w:t>
      </w:r>
      <w:r w:rsidR="3DE8FF04" w:rsidRPr="00B85D62">
        <w:rPr>
          <w:rFonts w:eastAsia="Calibri" w:cs="Arial"/>
        </w:rPr>
        <w:t>index cases</w:t>
      </w:r>
      <w:r w:rsidRPr="00B85D62">
        <w:rPr>
          <w:rFonts w:eastAsia="Calibri" w:cs="Arial"/>
        </w:rPr>
        <w:t xml:space="preserve"> was 964 within five studies, </w:t>
      </w:r>
      <w:r w:rsidR="004372AB" w:rsidRPr="00B85D62">
        <w:rPr>
          <w:rFonts w:eastAsia="Calibri" w:cs="Arial"/>
          <w:noProof/>
          <w:color w:val="2B579A"/>
          <w:shd w:val="clear" w:color="auto" w:fill="E6E6E6"/>
          <w:vertAlign w:val="superscript"/>
        </w:rPr>
        <w:t>38, 56, 90</w:t>
      </w:r>
      <w:r w:rsidR="00B85D62" w:rsidRPr="00B85D62">
        <w:rPr>
          <w:rFonts w:eastAsia="Calibri" w:cs="Arial"/>
          <w:noProof/>
          <w:color w:val="00B0F0"/>
          <w:shd w:val="clear" w:color="auto" w:fill="E6E6E6"/>
          <w:vertAlign w:val="superscript"/>
        </w:rPr>
        <w:t>–</w:t>
      </w:r>
      <w:r w:rsidR="00B85D62" w:rsidRPr="00B85D62">
        <w:rPr>
          <w:rFonts w:eastAsia="Calibri" w:cs="Arial"/>
          <w:noProof/>
          <w:color w:val="00B0F0"/>
          <w:shd w:val="clear" w:color="auto" w:fill="E6E6E6"/>
          <w:vertAlign w:val="superscript"/>
        </w:rPr>
        <w:t>9</w:t>
      </w:r>
      <w:r w:rsidR="004372AB" w:rsidRPr="00B85D62">
        <w:rPr>
          <w:rFonts w:eastAsia="Calibri" w:cs="Arial"/>
          <w:noProof/>
          <w:color w:val="2B579A"/>
          <w:shd w:val="clear" w:color="auto" w:fill="E6E6E6"/>
          <w:vertAlign w:val="superscript"/>
        </w:rPr>
        <w:t>2</w:t>
      </w:r>
      <w:r w:rsidRPr="00B85D62">
        <w:rPr>
          <w:rFonts w:eastAsia="Calibri" w:cs="Arial"/>
        </w:rPr>
        <w:t xml:space="preserve"> however, this could not be determined for the remaining four studies.</w:t>
      </w:r>
      <w:r w:rsidR="004372AB" w:rsidRPr="00B85D62">
        <w:rPr>
          <w:rFonts w:eastAsia="Calibri" w:cs="Arial"/>
          <w:noProof/>
          <w:color w:val="2B579A"/>
          <w:shd w:val="clear" w:color="auto" w:fill="E6E6E6"/>
          <w:vertAlign w:val="superscript"/>
        </w:rPr>
        <w:t>42, 51, 88, 89</w:t>
      </w:r>
      <w:r w:rsidRPr="00B85D62">
        <w:rPr>
          <w:rFonts w:eastAsia="Calibri" w:cs="Arial"/>
        </w:rPr>
        <w:t xml:space="preserve"> Three studies enrolled only adults (mean age</w:t>
      </w:r>
      <w:r w:rsidR="00B85D62" w:rsidRPr="00B85D62">
        <w:rPr>
          <w:rFonts w:eastAsia="Calibri" w:cs="Arial"/>
          <w:color w:val="00B0F0"/>
        </w:rPr>
        <w:t>=</w:t>
      </w:r>
      <w:r w:rsidRPr="00B85D62">
        <w:rPr>
          <w:rFonts w:eastAsia="Calibri" w:cs="Arial"/>
        </w:rPr>
        <w:t>40 years);</w:t>
      </w:r>
      <w:r w:rsidR="004372AB" w:rsidRPr="00B85D62">
        <w:rPr>
          <w:rFonts w:eastAsia="Calibri" w:cs="Arial"/>
          <w:noProof/>
          <w:color w:val="2B579A"/>
          <w:shd w:val="clear" w:color="auto" w:fill="E6E6E6"/>
          <w:vertAlign w:val="superscript"/>
        </w:rPr>
        <w:t>56, 88, 89</w:t>
      </w:r>
      <w:r w:rsidR="00895586" w:rsidRPr="00B85D62">
        <w:rPr>
          <w:rFonts w:eastAsia="Calibri" w:cs="Arial"/>
        </w:rPr>
        <w:t xml:space="preserve"> </w:t>
      </w:r>
      <w:r w:rsidRPr="00B85D62">
        <w:rPr>
          <w:rFonts w:eastAsia="Calibri" w:cs="Arial"/>
        </w:rPr>
        <w:t>one enrolled only children (mean age</w:t>
      </w:r>
      <w:r w:rsidR="00B85D62" w:rsidRPr="00B85D62">
        <w:rPr>
          <w:rFonts w:eastAsia="Calibri" w:cs="Arial"/>
          <w:color w:val="00B0F0"/>
        </w:rPr>
        <w:t>=</w:t>
      </w:r>
      <w:r w:rsidRPr="00B85D62">
        <w:rPr>
          <w:rFonts w:eastAsia="Calibri" w:cs="Arial"/>
        </w:rPr>
        <w:t xml:space="preserve">13 years); </w:t>
      </w:r>
      <w:r w:rsidR="00F80015" w:rsidRPr="00B85D62">
        <w:rPr>
          <w:rFonts w:eastAsia="Calibri" w:cs="Arial"/>
          <w:noProof/>
          <w:vertAlign w:val="superscript"/>
        </w:rPr>
        <w:t>38</w:t>
      </w:r>
      <w:r w:rsidRPr="00B85D62">
        <w:rPr>
          <w:rFonts w:eastAsia="Calibri" w:cs="Arial"/>
        </w:rPr>
        <w:t xml:space="preserve"> two studies enrolled both adults and children,</w:t>
      </w:r>
      <w:r w:rsidR="004372AB" w:rsidRPr="00B85D62">
        <w:rPr>
          <w:rFonts w:eastAsia="Calibri" w:cs="Arial"/>
          <w:noProof/>
          <w:color w:val="2B579A"/>
          <w:shd w:val="clear" w:color="auto" w:fill="E6E6E6"/>
          <w:vertAlign w:val="superscript"/>
        </w:rPr>
        <w:t>42, 90</w:t>
      </w:r>
      <w:r w:rsidRPr="00B85D62">
        <w:rPr>
          <w:rFonts w:eastAsia="Calibri" w:cs="Arial"/>
        </w:rPr>
        <w:t xml:space="preserve"> and three studies did not report the age </w:t>
      </w:r>
      <w:r w:rsidR="7326BD7C" w:rsidRPr="00B85D62">
        <w:rPr>
          <w:rFonts w:eastAsia="Calibri" w:cs="Arial"/>
        </w:rPr>
        <w:t>of relatives</w:t>
      </w:r>
      <w:r w:rsidRPr="00B85D62">
        <w:rPr>
          <w:rFonts w:eastAsia="Calibri" w:cs="Arial"/>
        </w:rPr>
        <w:t>.</w:t>
      </w:r>
      <w:r w:rsidR="004372AB" w:rsidRPr="00B85D62">
        <w:rPr>
          <w:rFonts w:eastAsia="Calibri" w:cs="Arial"/>
          <w:noProof/>
          <w:color w:val="2B579A"/>
          <w:shd w:val="clear" w:color="auto" w:fill="E6E6E6"/>
          <w:vertAlign w:val="superscript"/>
        </w:rPr>
        <w:t>51, 91, 92</w:t>
      </w:r>
      <w:r w:rsidRPr="00B85D62">
        <w:rPr>
          <w:rFonts w:eastAsia="Calibri" w:cs="Arial"/>
        </w:rPr>
        <w:t xml:space="preserve"> The extent of the cascade testing, in terms of the degree of relative, was unclear in the majority of studies (</w:t>
      </w:r>
      <w:r w:rsidRPr="00B85D62">
        <w:rPr>
          <w:rFonts w:eastAsia="Calibri" w:cs="Arial"/>
          <w:i/>
          <w:iCs/>
        </w:rPr>
        <w:t>n</w:t>
      </w:r>
      <w:r w:rsidR="00B85D62" w:rsidRPr="00B85D62">
        <w:rPr>
          <w:rFonts w:eastAsia="Calibri" w:cs="Arial"/>
          <w:color w:val="00B0F0"/>
        </w:rPr>
        <w:t>=</w:t>
      </w:r>
      <w:r w:rsidRPr="00B85D62">
        <w:rPr>
          <w:rFonts w:eastAsia="Calibri" w:cs="Arial"/>
        </w:rPr>
        <w:t>5); however, only first-degree relatives were considered in two studies,</w:t>
      </w:r>
      <w:r w:rsidR="00F80015" w:rsidRPr="00B85D62">
        <w:rPr>
          <w:rFonts w:eastAsia="Calibri" w:cs="Arial"/>
          <w:noProof/>
          <w:vertAlign w:val="superscript"/>
        </w:rPr>
        <w:t>38, 42</w:t>
      </w:r>
      <w:r w:rsidRPr="00B85D62">
        <w:rPr>
          <w:rFonts w:eastAsia="Calibri" w:cs="Arial"/>
        </w:rPr>
        <w:t xml:space="preserve"> and first- and second-degree relatives were considered in the remaining two studies.</w:t>
      </w:r>
      <w:r w:rsidR="004372AB" w:rsidRPr="00B85D62">
        <w:rPr>
          <w:rFonts w:eastAsia="Calibri" w:cs="Arial"/>
          <w:noProof/>
          <w:color w:val="2B579A"/>
          <w:shd w:val="clear" w:color="auto" w:fill="E6E6E6"/>
          <w:vertAlign w:val="superscript"/>
        </w:rPr>
        <w:t>51, 89</w:t>
      </w:r>
      <w:r w:rsidR="00895586" w:rsidRPr="00B85D62">
        <w:rPr>
          <w:rFonts w:eastAsia="Calibri" w:cs="Arial"/>
        </w:rPr>
        <w:t xml:space="preserve"> </w:t>
      </w:r>
      <w:r w:rsidRPr="00B85D62">
        <w:rPr>
          <w:rFonts w:eastAsia="Calibri" w:cs="Arial"/>
        </w:rPr>
        <w:t>Eight of the nine studies also collated triglyceride</w:t>
      </w:r>
      <w:r w:rsidR="00CC140A" w:rsidRPr="00B85D62">
        <w:rPr>
          <w:rFonts w:eastAsia="Calibri" w:cs="Arial"/>
        </w:rPr>
        <w:t xml:space="preserve"> (TG)</w:t>
      </w:r>
      <w:r w:rsidRPr="00B85D62">
        <w:rPr>
          <w:rFonts w:eastAsia="Calibri" w:cs="Arial"/>
        </w:rPr>
        <w:t xml:space="preserve"> levels. TG level</w:t>
      </w:r>
      <w:r w:rsidR="00CC140A" w:rsidRPr="00B85D62">
        <w:rPr>
          <w:rFonts w:eastAsia="Calibri" w:cs="Arial"/>
        </w:rPr>
        <w:t>s</w:t>
      </w:r>
      <w:r w:rsidRPr="00B85D62">
        <w:rPr>
          <w:rFonts w:eastAsia="Calibri" w:cs="Arial"/>
        </w:rPr>
        <w:t xml:space="preserve"> in FH</w:t>
      </w:r>
      <w:r w:rsidR="63876C81" w:rsidRPr="00B85D62">
        <w:rPr>
          <w:rFonts w:eastAsia="Calibri" w:cs="Arial"/>
        </w:rPr>
        <w:t xml:space="preserve"> individuals </w:t>
      </w:r>
      <w:r w:rsidRPr="00B85D62">
        <w:rPr>
          <w:rFonts w:eastAsia="Calibri" w:cs="Arial"/>
        </w:rPr>
        <w:t>was high in one study.</w:t>
      </w:r>
      <w:r w:rsidR="004372AB" w:rsidRPr="00B85D62">
        <w:rPr>
          <w:rFonts w:eastAsia="Calibri" w:cs="Arial"/>
          <w:noProof/>
          <w:color w:val="2B579A"/>
          <w:shd w:val="clear" w:color="auto" w:fill="E6E6E6"/>
          <w:vertAlign w:val="superscript"/>
        </w:rPr>
        <w:t>89</w:t>
      </w:r>
    </w:p>
    <w:p w14:paraId="00D27B1A" w14:textId="77777777" w:rsidR="00B85D62" w:rsidRPr="00B85D62" w:rsidRDefault="002E2FFB" w:rsidP="0066232B">
      <w:pPr>
        <w:jc w:val="both"/>
        <w:rPr>
          <w:rFonts w:eastAsia="Calibri" w:cs="Arial"/>
        </w:rPr>
      </w:pPr>
      <w:r w:rsidRPr="00B85D62">
        <w:rPr>
          <w:rFonts w:eastAsia="Calibri" w:cs="Arial"/>
        </w:rPr>
        <w:t>The index test used in four studies was LDL-C.</w:t>
      </w:r>
      <w:r w:rsidR="004372AB" w:rsidRPr="00B85D62">
        <w:rPr>
          <w:rFonts w:eastAsia="Calibri" w:cs="Arial"/>
          <w:noProof/>
          <w:color w:val="2B579A"/>
          <w:shd w:val="clear" w:color="auto" w:fill="E6E6E6"/>
          <w:vertAlign w:val="superscript"/>
        </w:rPr>
        <w:t>38, 42, 88, 90</w:t>
      </w:r>
      <w:r w:rsidRPr="00B85D62">
        <w:rPr>
          <w:rFonts w:eastAsia="Calibri" w:cs="Arial"/>
        </w:rPr>
        <w:t xml:space="preserve"> A further four studies used TC.</w:t>
      </w:r>
      <w:r w:rsidR="004372AB" w:rsidRPr="00B85D62">
        <w:rPr>
          <w:rFonts w:eastAsia="Calibri" w:cs="Arial"/>
          <w:noProof/>
          <w:color w:val="2B579A"/>
          <w:shd w:val="clear" w:color="auto" w:fill="E6E6E6"/>
          <w:vertAlign w:val="superscript"/>
        </w:rPr>
        <w:t>51, 56, 91</w:t>
      </w:r>
      <w:r w:rsidRPr="00B85D62">
        <w:rPr>
          <w:rFonts w:eastAsia="Calibri" w:cs="Arial"/>
        </w:rPr>
        <w:t xml:space="preserve"> One study assessed both LDL-C and TC as the index test.</w:t>
      </w:r>
      <w:r w:rsidR="004372AB" w:rsidRPr="00B85D62">
        <w:rPr>
          <w:rFonts w:eastAsia="Calibri" w:cs="Arial"/>
          <w:noProof/>
          <w:color w:val="2B579A"/>
          <w:shd w:val="clear" w:color="auto" w:fill="E6E6E6"/>
          <w:vertAlign w:val="superscript"/>
        </w:rPr>
        <w:t>89</w:t>
      </w:r>
      <w:r w:rsidRPr="00B85D62">
        <w:rPr>
          <w:rFonts w:eastAsia="Calibri" w:cs="Arial"/>
        </w:rPr>
        <w:t xml:space="preserve"> Additionally, Starr and colleagues, compared the accuracy of their own age- and sex-specific cut-offs to the MEDPED criteria.</w:t>
      </w:r>
      <w:r w:rsidR="004372AB" w:rsidRPr="00B85D62">
        <w:rPr>
          <w:rFonts w:eastAsia="Calibri" w:cs="Arial"/>
          <w:noProof/>
          <w:color w:val="2B579A"/>
          <w:shd w:val="clear" w:color="auto" w:fill="E6E6E6"/>
          <w:vertAlign w:val="superscript"/>
        </w:rPr>
        <w:t>82</w:t>
      </w:r>
    </w:p>
    <w:p w14:paraId="342F8D8C" w14:textId="47940171" w:rsidR="00B85D62" w:rsidRPr="00B85D62" w:rsidRDefault="54F9349D" w:rsidP="0066232B">
      <w:pPr>
        <w:jc w:val="both"/>
        <w:rPr>
          <w:rFonts w:eastAsia="Calibri" w:cs="Arial"/>
        </w:rPr>
      </w:pPr>
      <w:r w:rsidRPr="00B85D62">
        <w:rPr>
          <w:rFonts w:eastAsia="Calibri" w:cs="Arial"/>
        </w:rPr>
        <w:t>The five studies that used LDL-C as diagnostic criteria reported varying cut-off values.</w:t>
      </w:r>
      <w:r w:rsidR="004372AB" w:rsidRPr="00B85D62">
        <w:rPr>
          <w:rFonts w:eastAsia="Calibri" w:cs="Arial"/>
          <w:noProof/>
          <w:color w:val="2B579A"/>
          <w:shd w:val="clear" w:color="auto" w:fill="E6E6E6"/>
          <w:vertAlign w:val="superscript"/>
        </w:rPr>
        <w:t>38, 42, 88</w:t>
      </w:r>
      <w:r w:rsidR="00B85D62" w:rsidRPr="00B85D62">
        <w:rPr>
          <w:rFonts w:eastAsia="Calibri" w:cs="Arial"/>
          <w:noProof/>
          <w:color w:val="00B0F0"/>
          <w:shd w:val="clear" w:color="auto" w:fill="E6E6E6"/>
          <w:vertAlign w:val="superscript"/>
        </w:rPr>
        <w:t>–</w:t>
      </w:r>
      <w:r w:rsidR="00B85D62" w:rsidRPr="00B85D62">
        <w:rPr>
          <w:rFonts w:eastAsia="Calibri" w:cs="Arial"/>
          <w:noProof/>
          <w:color w:val="00B0F0"/>
          <w:shd w:val="clear" w:color="auto" w:fill="E6E6E6"/>
          <w:vertAlign w:val="superscript"/>
        </w:rPr>
        <w:t>9</w:t>
      </w:r>
      <w:r w:rsidR="004372AB" w:rsidRPr="00B85D62">
        <w:rPr>
          <w:rFonts w:eastAsia="Calibri" w:cs="Arial"/>
          <w:noProof/>
          <w:color w:val="2B579A"/>
          <w:shd w:val="clear" w:color="auto" w:fill="E6E6E6"/>
          <w:vertAlign w:val="superscript"/>
        </w:rPr>
        <w:t>0</w:t>
      </w:r>
      <w:r w:rsidRPr="00B85D62">
        <w:rPr>
          <w:rFonts w:eastAsia="Calibri" w:cs="Arial"/>
        </w:rPr>
        <w:t xml:space="preserve"> For example, Huijgen and colleagues (2012) reported four statistical models with differing levels of genetic severity in a cohort from the Netherlands. Each analysis utilised a 9</w:t>
      </w:r>
      <w:r w:rsidR="00B85D62" w:rsidRPr="00B85D62">
        <w:rPr>
          <w:rFonts w:eastAsia="Calibri" w:cs="Arial"/>
          <w:color w:val="00B0F0"/>
        </w:rPr>
        <w:t>0th</w:t>
      </w:r>
      <w:r w:rsidRPr="00B85D62">
        <w:rPr>
          <w:rFonts w:eastAsia="Calibri" w:cs="Arial"/>
        </w:rPr>
        <w:t xml:space="preserve"> percentile cut-off, which is derived from the sample.</w:t>
      </w:r>
      <w:r w:rsidR="004372AB" w:rsidRPr="00B85D62">
        <w:rPr>
          <w:rFonts w:eastAsia="Calibri" w:cs="Arial"/>
          <w:noProof/>
          <w:color w:val="2B579A"/>
          <w:shd w:val="clear" w:color="auto" w:fill="E6E6E6"/>
          <w:vertAlign w:val="superscript"/>
        </w:rPr>
        <w:t>88</w:t>
      </w:r>
      <w:r w:rsidR="00895586" w:rsidRPr="00B85D62">
        <w:rPr>
          <w:rFonts w:eastAsia="Calibri" w:cs="Arial"/>
        </w:rPr>
        <w:t xml:space="preserve"> </w:t>
      </w:r>
      <w:r w:rsidRPr="00B85D62">
        <w:rPr>
          <w:rFonts w:eastAsia="Calibri" w:cs="Arial"/>
        </w:rPr>
        <w:lastRenderedPageBreak/>
        <w:t>Additionally, Starr</w:t>
      </w:r>
      <w:r w:rsidRPr="00B85D62">
        <w:rPr>
          <w:rFonts w:eastAsia="Calibri" w:cs="Arial"/>
          <w:i/>
          <w:color w:val="00B0F0"/>
        </w:rPr>
        <w:t xml:space="preserve"> et al</w:t>
      </w:r>
      <w:r w:rsidRPr="00B85D62">
        <w:rPr>
          <w:rFonts w:eastAsia="Calibri" w:cs="Arial"/>
        </w:rPr>
        <w:t xml:space="preserve">. (2008) reported analyses for differing age and sex groups for three different countries (Denmark, Netherlands, and Norway), </w:t>
      </w:r>
      <w:r w:rsidR="00B85D62" w:rsidRPr="00B85D62">
        <w:rPr>
          <w:rFonts w:eastAsia="Calibri" w:cs="Arial"/>
          <w:color w:val="00B0F0"/>
        </w:rPr>
        <w:t>while</w:t>
      </w:r>
      <w:r w:rsidRPr="00B85D62">
        <w:rPr>
          <w:rFonts w:eastAsia="Calibri" w:cs="Arial"/>
        </w:rPr>
        <w:t xml:space="preserve"> presenting the results of the MEDPED criteria for comparison. In each cohort cut-offs varied from 3.01mmol/L for male and 3.32mmol/L for females (age: 15</w:t>
      </w:r>
      <w:r w:rsidR="00B85D62" w:rsidRPr="00B85D62">
        <w:rPr>
          <w:rFonts w:eastAsia="Calibri" w:cs="Arial"/>
          <w:color w:val="00B0F0"/>
        </w:rPr>
        <w:t>–</w:t>
      </w:r>
      <w:r w:rsidR="00B85D62" w:rsidRPr="00B85D62">
        <w:rPr>
          <w:rFonts w:eastAsia="Calibri" w:cs="Arial"/>
          <w:color w:val="00B0F0"/>
        </w:rPr>
        <w:t>2</w:t>
      </w:r>
      <w:r w:rsidRPr="00B85D62">
        <w:rPr>
          <w:rFonts w:eastAsia="Calibri" w:cs="Arial"/>
        </w:rPr>
        <w:t>4 years) to 4.31 mmol/L for males (age: 45</w:t>
      </w:r>
      <w:r w:rsidR="00B85D62" w:rsidRPr="00B85D62">
        <w:rPr>
          <w:rFonts w:eastAsia="Calibri" w:cs="Arial"/>
          <w:color w:val="00B0F0"/>
        </w:rPr>
        <w:t>–</w:t>
      </w:r>
      <w:r w:rsidR="00B85D62" w:rsidRPr="00B85D62">
        <w:rPr>
          <w:rFonts w:eastAsia="Calibri" w:cs="Arial"/>
          <w:color w:val="00B0F0"/>
        </w:rPr>
        <w:t>5</w:t>
      </w:r>
      <w:r w:rsidRPr="00B85D62">
        <w:rPr>
          <w:rFonts w:eastAsia="Calibri" w:cs="Arial"/>
        </w:rPr>
        <w:t>4 years) and 4.36 mmol/L for females (age: 5</w:t>
      </w:r>
      <w:r w:rsidR="00B85D62" w:rsidRPr="00B85D62">
        <w:rPr>
          <w:rFonts w:eastAsia="Calibri" w:cs="Arial"/>
          <w:color w:val="00B0F0"/>
        </w:rPr>
        <w:t>5</w:t>
      </w:r>
      <w:r w:rsidR="00B85D62" w:rsidRPr="00B85D62">
        <w:rPr>
          <w:rFonts w:eastAsia="Calibri" w:cs="Arial"/>
          <w:color w:val="00B0F0"/>
        </w:rPr>
        <w:t> </w:t>
      </w:r>
      <w:r w:rsidR="00B85D62" w:rsidRPr="00B85D62">
        <w:rPr>
          <w:rFonts w:eastAsia="Calibri" w:cs="Arial"/>
          <w:color w:val="00B0F0"/>
        </w:rPr>
        <w:t>+</w:t>
      </w:r>
      <w:r w:rsidRPr="00B85D62">
        <w:rPr>
          <w:rFonts w:eastAsia="Calibri" w:cs="Arial"/>
        </w:rPr>
        <w:t xml:space="preserve"> years). The Netherlands and Norway cohorts included patients aged 0</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4 years, which had cut-offs of 3.11mmol/L and 3.37 mmol/L for male and females, respectively.</w:t>
      </w:r>
      <w:r w:rsidR="004372AB" w:rsidRPr="00B85D62">
        <w:rPr>
          <w:rFonts w:eastAsia="Calibri" w:cs="Arial"/>
          <w:noProof/>
          <w:color w:val="2B579A"/>
          <w:shd w:val="clear" w:color="auto" w:fill="E6E6E6"/>
          <w:vertAlign w:val="superscript"/>
        </w:rPr>
        <w:t>82</w:t>
      </w:r>
      <w:r w:rsidRPr="00B85D62">
        <w:rPr>
          <w:rFonts w:eastAsia="Calibri" w:cs="Arial"/>
        </w:rPr>
        <w:t xml:space="preserve"> Similarly, Truong and colleagues (2018) utilised different cut-offs for Vietnamese children (3.0mmol/L) and adults (4.1mmol/L).</w:t>
      </w:r>
      <w:r w:rsidR="004372AB" w:rsidRPr="00B85D62">
        <w:rPr>
          <w:rFonts w:eastAsia="Calibri" w:cs="Arial"/>
          <w:noProof/>
          <w:color w:val="2B579A"/>
          <w:shd w:val="clear" w:color="auto" w:fill="E6E6E6"/>
          <w:vertAlign w:val="superscript"/>
        </w:rPr>
        <w:t>90</w:t>
      </w:r>
      <w:r w:rsidRPr="00B85D62">
        <w:rPr>
          <w:rFonts w:eastAsia="Calibri" w:cs="Arial"/>
        </w:rPr>
        <w:t xml:space="preserve"> The same cut-off was used in adults of Japanese origin.</w:t>
      </w:r>
      <w:r w:rsidR="004372AB" w:rsidRPr="00B85D62">
        <w:rPr>
          <w:rFonts w:eastAsia="Calibri" w:cs="Arial"/>
          <w:noProof/>
          <w:color w:val="2B579A"/>
          <w:shd w:val="clear" w:color="auto" w:fill="E6E6E6"/>
          <w:vertAlign w:val="superscript"/>
        </w:rPr>
        <w:t>89</w:t>
      </w:r>
      <w:r w:rsidRPr="00B85D62">
        <w:rPr>
          <w:rFonts w:eastAsia="Calibri" w:cs="Arial"/>
        </w:rPr>
        <w:t xml:space="preserve"> The final study was only conducted in children, with a cut-off of 3.5mmol/L.</w:t>
      </w:r>
      <w:r w:rsidR="00F80015" w:rsidRPr="00B85D62">
        <w:rPr>
          <w:rFonts w:eastAsia="Calibri" w:cs="Arial"/>
          <w:noProof/>
          <w:vertAlign w:val="superscript"/>
        </w:rPr>
        <w:t>38</w:t>
      </w:r>
    </w:p>
    <w:p w14:paraId="446AE159" w14:textId="3D9D6050" w:rsidR="00B85D62" w:rsidRPr="00B85D62" w:rsidRDefault="54F9349D" w:rsidP="0066232B">
      <w:pPr>
        <w:jc w:val="both"/>
        <w:rPr>
          <w:rFonts w:eastAsia="Calibri" w:cs="Arial"/>
        </w:rPr>
      </w:pPr>
      <w:r w:rsidRPr="00B85D62">
        <w:rPr>
          <w:rFonts w:eastAsia="Calibri" w:cs="Arial"/>
        </w:rPr>
        <w:t>The five studies that used TC as diagnostic criteria.</w:t>
      </w:r>
      <w:r w:rsidR="004372AB" w:rsidRPr="00B85D62">
        <w:rPr>
          <w:rFonts w:eastAsia="Calibri" w:cs="Arial"/>
          <w:noProof/>
          <w:color w:val="2B579A"/>
          <w:shd w:val="clear" w:color="auto" w:fill="E6E6E6"/>
          <w:vertAlign w:val="superscript"/>
        </w:rPr>
        <w:t>51, 56, 89, 91, 92</w:t>
      </w:r>
      <w:r w:rsidRPr="00B85D62">
        <w:rPr>
          <w:rFonts w:eastAsia="Calibri" w:cs="Arial"/>
        </w:rPr>
        <w:t xml:space="preserve"> There were variations cut-off values, however, one study</w:t>
      </w:r>
      <w:r w:rsidR="04691CAC" w:rsidRPr="00B85D62">
        <w:rPr>
          <w:rFonts w:eastAsia="Calibri" w:cs="Arial"/>
        </w:rPr>
        <w:t>, using a Norwegian cohort,</w:t>
      </w:r>
      <w:r w:rsidRPr="00B85D62">
        <w:rPr>
          <w:rFonts w:eastAsia="Calibri" w:cs="Arial"/>
        </w:rPr>
        <w:t xml:space="preserve"> did not report the cut-off values used.</w:t>
      </w:r>
      <w:r w:rsidR="00F80015" w:rsidRPr="00B85D62">
        <w:rPr>
          <w:rFonts w:eastAsia="Calibri" w:cs="Arial"/>
          <w:noProof/>
          <w:vertAlign w:val="superscript"/>
        </w:rPr>
        <w:t>56</w:t>
      </w:r>
      <w:r w:rsidRPr="00B85D62">
        <w:rPr>
          <w:rFonts w:eastAsia="Calibri" w:cs="Arial"/>
        </w:rPr>
        <w:t xml:space="preserve"> In a Japanese cohort a cut-off of 5.8mmol/L was assessed.</w:t>
      </w:r>
      <w:r w:rsidR="004372AB" w:rsidRPr="00B85D62">
        <w:rPr>
          <w:rFonts w:eastAsia="Calibri" w:cs="Arial"/>
          <w:noProof/>
          <w:color w:val="2B579A"/>
          <w:shd w:val="clear" w:color="auto" w:fill="E6E6E6"/>
          <w:vertAlign w:val="superscript"/>
        </w:rPr>
        <w:t>89</w:t>
      </w:r>
      <w:r w:rsidRPr="00B85D62">
        <w:rPr>
          <w:rFonts w:eastAsia="Calibri" w:cs="Arial"/>
        </w:rPr>
        <w:t xml:space="preserve"> </w:t>
      </w:r>
      <w:r w:rsidR="00B85D62" w:rsidRPr="00B85D62">
        <w:rPr>
          <w:rFonts w:eastAsia="Calibri" w:cs="Arial"/>
          <w:color w:val="00B0F0"/>
        </w:rPr>
        <w:t>While</w:t>
      </w:r>
      <w:r w:rsidRPr="00B85D62">
        <w:rPr>
          <w:rFonts w:eastAsia="Calibri" w:cs="Arial"/>
        </w:rPr>
        <w:t xml:space="preserve"> in a South African cohort a cut-off of 4.8mmol/L (8</w:t>
      </w:r>
      <w:r w:rsidR="00B85D62" w:rsidRPr="00B85D62">
        <w:rPr>
          <w:rFonts w:eastAsia="Calibri" w:cs="Arial"/>
          <w:color w:val="00B0F0"/>
        </w:rPr>
        <w:t>0th</w:t>
      </w:r>
      <w:r w:rsidRPr="00B85D62">
        <w:rPr>
          <w:rFonts w:eastAsia="Calibri" w:cs="Arial"/>
        </w:rPr>
        <w:t xml:space="preserve"> percentile of sample) was utilised.</w:t>
      </w:r>
      <w:r w:rsidR="004372AB" w:rsidRPr="00B85D62">
        <w:rPr>
          <w:rFonts w:eastAsia="Calibri" w:cs="Arial"/>
          <w:noProof/>
          <w:color w:val="2B579A"/>
          <w:shd w:val="clear" w:color="auto" w:fill="E6E6E6"/>
          <w:vertAlign w:val="superscript"/>
        </w:rPr>
        <w:t>92</w:t>
      </w:r>
      <w:r w:rsidRPr="00B85D62">
        <w:rPr>
          <w:rFonts w:eastAsia="Calibri" w:cs="Arial"/>
        </w:rPr>
        <w:t xml:space="preserve"> The other two studies analysed the 9</w:t>
      </w:r>
      <w:r w:rsidR="00B85D62" w:rsidRPr="00B85D62">
        <w:rPr>
          <w:rFonts w:eastAsia="Calibri" w:cs="Arial"/>
          <w:color w:val="00B0F0"/>
        </w:rPr>
        <w:t>0th</w:t>
      </w:r>
      <w:r w:rsidRPr="00B85D62">
        <w:rPr>
          <w:rFonts w:eastAsia="Calibri" w:cs="Arial"/>
        </w:rPr>
        <w:t xml:space="preserve"> and 9</w:t>
      </w:r>
      <w:r w:rsidR="00B85D62" w:rsidRPr="00B85D62">
        <w:rPr>
          <w:rFonts w:eastAsia="Calibri" w:cs="Arial"/>
          <w:color w:val="00B0F0"/>
        </w:rPr>
        <w:t>5th</w:t>
      </w:r>
      <w:r w:rsidRPr="00B85D62">
        <w:rPr>
          <w:rFonts w:eastAsia="Calibri" w:cs="Arial"/>
        </w:rPr>
        <w:t xml:space="preserve"> percentiles of the samples, derived from Netherlands and Iceland cohorts, respectively.</w:t>
      </w:r>
      <w:r w:rsidR="004372AB" w:rsidRPr="00B85D62">
        <w:rPr>
          <w:rFonts w:eastAsia="Calibri" w:cs="Arial"/>
          <w:noProof/>
          <w:color w:val="2B579A"/>
          <w:shd w:val="clear" w:color="auto" w:fill="E6E6E6"/>
          <w:vertAlign w:val="superscript"/>
        </w:rPr>
        <w:t>51, 91</w:t>
      </w:r>
    </w:p>
    <w:p w14:paraId="750E040C" w14:textId="1F5614DB" w:rsidR="002E2FFB" w:rsidRPr="00B85D62" w:rsidRDefault="002E2FFB" w:rsidP="0066232B">
      <w:pPr>
        <w:jc w:val="both"/>
        <w:rPr>
          <w:rFonts w:eastAsia="Calibri" w:cs="Arial"/>
        </w:rPr>
      </w:pPr>
      <w:r w:rsidRPr="00B85D62">
        <w:rPr>
          <w:rFonts w:eastAsia="Calibri" w:cs="Arial"/>
          <w:i/>
        </w:rPr>
        <w:t>Risk of Bias Overview</w:t>
      </w:r>
    </w:p>
    <w:p w14:paraId="7E87DBDB" w14:textId="10319640" w:rsidR="002E2FFB" w:rsidRPr="00B85D62" w:rsidRDefault="54F9349D" w:rsidP="0066232B">
      <w:pPr>
        <w:jc w:val="both"/>
        <w:rPr>
          <w:rFonts w:eastAsia="Calibri" w:cs="Arial"/>
          <w:highlight w:val="cyan"/>
        </w:rPr>
      </w:pPr>
      <w:r w:rsidRPr="00B85D62">
        <w:rPr>
          <w:rFonts w:eastAsia="Calibri" w:cs="Arial"/>
        </w:rPr>
        <w:t>Regarding risk of bias, all studies had a low risk of bias for flow and timing; however, only four studies had a low risk of bias regarding the index test,</w:t>
      </w:r>
      <w:r w:rsidR="004372AB" w:rsidRPr="00B85D62">
        <w:rPr>
          <w:rFonts w:eastAsia="Calibri" w:cs="Arial"/>
          <w:noProof/>
          <w:color w:val="2B579A"/>
          <w:shd w:val="clear" w:color="auto" w:fill="E6E6E6"/>
          <w:vertAlign w:val="superscript"/>
        </w:rPr>
        <w:t>51, 56, 88, 92</w:t>
      </w:r>
      <w:r w:rsidRPr="00B85D62">
        <w:rPr>
          <w:rFonts w:eastAsia="Calibri" w:cs="Arial"/>
        </w:rPr>
        <w:t xml:space="preserve"> where the remaining five studies were either at a high risk of bias</w:t>
      </w:r>
      <w:r w:rsidR="004372AB" w:rsidRPr="00B85D62">
        <w:rPr>
          <w:rFonts w:eastAsia="Calibri" w:cs="Arial"/>
          <w:noProof/>
          <w:color w:val="2B579A"/>
          <w:shd w:val="clear" w:color="auto" w:fill="E6E6E6"/>
          <w:vertAlign w:val="superscript"/>
        </w:rPr>
        <w:t>38, 89</w:t>
      </w:r>
      <w:r w:rsidR="00B85D62" w:rsidRPr="00B85D62">
        <w:rPr>
          <w:rFonts w:eastAsia="Calibri" w:cs="Arial"/>
          <w:noProof/>
          <w:color w:val="00B0F0"/>
          <w:shd w:val="clear" w:color="auto" w:fill="E6E6E6"/>
          <w:vertAlign w:val="superscript"/>
        </w:rPr>
        <w:t>–</w:t>
      </w:r>
      <w:r w:rsidR="00B85D62" w:rsidRPr="00B85D62">
        <w:rPr>
          <w:rFonts w:eastAsia="Calibri" w:cs="Arial"/>
          <w:noProof/>
          <w:color w:val="00B0F0"/>
          <w:shd w:val="clear" w:color="auto" w:fill="E6E6E6"/>
          <w:vertAlign w:val="superscript"/>
        </w:rPr>
        <w:t>9</w:t>
      </w:r>
      <w:r w:rsidR="004372AB" w:rsidRPr="00B85D62">
        <w:rPr>
          <w:rFonts w:eastAsia="Calibri" w:cs="Arial"/>
          <w:noProof/>
          <w:color w:val="2B579A"/>
          <w:shd w:val="clear" w:color="auto" w:fill="E6E6E6"/>
          <w:vertAlign w:val="superscript"/>
        </w:rPr>
        <w:t>1</w:t>
      </w:r>
      <w:r w:rsidRPr="00B85D62">
        <w:rPr>
          <w:rFonts w:eastAsia="Calibri" w:cs="Arial"/>
        </w:rPr>
        <w:t xml:space="preserve"> or an unclear risk of bias</w:t>
      </w:r>
      <w:r w:rsidR="00F80015" w:rsidRPr="00B85D62">
        <w:rPr>
          <w:rFonts w:eastAsia="Calibri" w:cs="Arial"/>
          <w:noProof/>
          <w:vertAlign w:val="superscript"/>
        </w:rPr>
        <w:t>42</w:t>
      </w:r>
      <w:r w:rsidRPr="00B85D62">
        <w:rPr>
          <w:rFonts w:eastAsia="Calibri" w:cs="Arial"/>
        </w:rPr>
        <w:t xml:space="preserve"> </w:t>
      </w:r>
      <w:r w:rsidRPr="00B85D62">
        <w:rPr>
          <w:rFonts w:eastAsia="Calibri" w:cs="Arial"/>
          <w:highlight w:val="magenta"/>
        </w:rPr>
        <w:t>due to</w:t>
      </w:r>
      <w:r w:rsidRPr="00B85D62">
        <w:rPr>
          <w:rFonts w:eastAsia="Calibri" w:cs="Arial"/>
        </w:rPr>
        <w:t xml:space="preserve"> how the index test was conducted and interpreted. More specifically, in three of these studies, the threshold for the index test was not pre-specified.</w:t>
      </w:r>
      <w:r w:rsidR="004372AB" w:rsidRPr="00B85D62">
        <w:rPr>
          <w:rFonts w:eastAsia="Calibri" w:cs="Arial"/>
          <w:noProof/>
          <w:color w:val="2B579A"/>
          <w:shd w:val="clear" w:color="auto" w:fill="E6E6E6"/>
          <w:vertAlign w:val="superscript"/>
        </w:rPr>
        <w:t>38, 89, 90</w:t>
      </w:r>
      <w:r w:rsidRPr="00B85D62">
        <w:rPr>
          <w:rFonts w:eastAsia="Calibri" w:cs="Arial"/>
        </w:rPr>
        <w:t xml:space="preserve"> With regards to the reference standard, the majority of studies had a low risk of bias; however, one study</w:t>
      </w:r>
      <w:r w:rsidRPr="00B85D62">
        <w:rPr>
          <w:rFonts w:eastAsia="Calibri" w:cs="Arial"/>
          <w:color w:val="FF0000"/>
        </w:rPr>
        <w:t xml:space="preserve"> </w:t>
      </w:r>
      <w:r w:rsidRPr="00B85D62">
        <w:rPr>
          <w:rFonts w:eastAsia="Calibri" w:cs="Arial"/>
        </w:rPr>
        <w:t xml:space="preserve">had a high risk of bias related to the interpretation of the index test; </w:t>
      </w:r>
      <w:r w:rsidRPr="00B85D62">
        <w:rPr>
          <w:rFonts w:eastAsia="Calibri" w:cs="Arial"/>
          <w:highlight w:val="magenta"/>
        </w:rPr>
        <w:t>due to</w:t>
      </w:r>
      <w:r w:rsidRPr="00B85D62">
        <w:rPr>
          <w:rFonts w:eastAsia="Calibri" w:cs="Arial"/>
        </w:rPr>
        <w:t xml:space="preserve"> lack of prespecified thresholds and lack of information regarding index test interpretation.</w:t>
      </w:r>
      <w:r w:rsidR="00F80015" w:rsidRPr="00B85D62">
        <w:rPr>
          <w:rFonts w:eastAsia="Calibri" w:cs="Arial"/>
          <w:noProof/>
          <w:vertAlign w:val="superscript"/>
        </w:rPr>
        <w:t>51</w:t>
      </w:r>
      <w:r w:rsidRPr="00B85D62">
        <w:rPr>
          <w:rFonts w:eastAsia="Calibri" w:cs="Arial"/>
        </w:rPr>
        <w:t xml:space="preserve"> For patient selection, a low risk of bias was seen for eight studies; however, on</w:t>
      </w:r>
      <w:r w:rsidR="42927E5B" w:rsidRPr="00B85D62">
        <w:rPr>
          <w:rFonts w:eastAsia="Calibri" w:cs="Arial"/>
        </w:rPr>
        <w:t>e</w:t>
      </w:r>
      <w:r w:rsidRPr="00B85D62">
        <w:rPr>
          <w:rFonts w:eastAsia="Calibri" w:cs="Arial"/>
        </w:rPr>
        <w:t xml:space="preserve"> study was rated as having high risk of bias for </w:t>
      </w:r>
      <w:r w:rsidRPr="00B85D62">
        <w:rPr>
          <w:rFonts w:eastAsia="Calibri" w:cs="Arial"/>
          <w:highlight w:val="magenta"/>
        </w:rPr>
        <w:t>due to</w:t>
      </w:r>
      <w:r w:rsidRPr="00B85D62">
        <w:rPr>
          <w:rFonts w:eastAsia="Calibri" w:cs="Arial"/>
        </w:rPr>
        <w:t xml:space="preserve"> the lack of clarity regarding sampling technique, study design and if any inappropriate exclusions took place.</w:t>
      </w:r>
      <w:r w:rsidR="004372AB" w:rsidRPr="00B85D62">
        <w:rPr>
          <w:rFonts w:eastAsia="Calibri" w:cs="Arial"/>
          <w:noProof/>
          <w:color w:val="2B579A"/>
          <w:shd w:val="clear" w:color="auto" w:fill="E6E6E6"/>
          <w:vertAlign w:val="superscript"/>
        </w:rPr>
        <w:t>89</w:t>
      </w:r>
    </w:p>
    <w:p w14:paraId="3D0A5C1E" w14:textId="31E7AF2F" w:rsidR="002E2FFB" w:rsidRPr="00B85D62" w:rsidRDefault="1A6CE038" w:rsidP="006C7E71">
      <w:pPr>
        <w:pStyle w:val="Heading3"/>
        <w:rPr>
          <w:rFonts w:eastAsia="Yu Gothic Light"/>
          <w:bCs/>
        </w:rPr>
      </w:pPr>
      <w:bookmarkStart w:id="69" w:name="_Toc107157452"/>
      <w:r w:rsidRPr="00B85D62">
        <w:t>Discussion</w:t>
      </w:r>
      <w:bookmarkEnd w:id="69"/>
    </w:p>
    <w:p w14:paraId="5710437F" w14:textId="20F91319" w:rsidR="00B85D62" w:rsidRPr="00B85D62" w:rsidRDefault="4AB29E7C" w:rsidP="0066232B">
      <w:pPr>
        <w:jc w:val="both"/>
        <w:rPr>
          <w:rFonts w:eastAsia="Calibri" w:cs="Arial"/>
          <w:shd w:val="clear" w:color="auto" w:fill="FFFFFF"/>
        </w:rPr>
      </w:pPr>
      <w:r w:rsidRPr="00B85D62">
        <w:rPr>
          <w:rFonts w:eastAsia="Calibri" w:cs="Arial"/>
          <w:shd w:val="clear" w:color="auto" w:fill="FFFFFF"/>
        </w:rPr>
        <w:t xml:space="preserve">The aim of this review was to review the current evidence of the diagnostic accuracy for clinical and biochemical characteristics in identifying relatives with FH, </w:t>
      </w:r>
      <w:r w:rsidRPr="00B85D62">
        <w:rPr>
          <w:rFonts w:eastAsia="Calibri" w:cs="Arial"/>
          <w:highlight w:val="magenta"/>
          <w:shd w:val="clear" w:color="auto" w:fill="FFFFFF"/>
        </w:rPr>
        <w:t>compared to</w:t>
      </w:r>
      <w:r w:rsidRPr="00B85D62">
        <w:rPr>
          <w:rFonts w:eastAsia="Calibri" w:cs="Arial"/>
          <w:shd w:val="clear" w:color="auto" w:fill="FFFFFF"/>
        </w:rPr>
        <w:t xml:space="preserve"> genetic identification. We found nine studies, all of which examined LDL-C and/or TC levels to diagnose FH in relatives of </w:t>
      </w:r>
      <w:r w:rsidR="447279D2" w:rsidRPr="00B85D62">
        <w:rPr>
          <w:rFonts w:eastAsia="Calibri" w:cs="Arial"/>
          <w:shd w:val="clear" w:color="auto" w:fill="FFFFFF"/>
        </w:rPr>
        <w:t>index case</w:t>
      </w:r>
      <w:r w:rsidRPr="00B85D62">
        <w:rPr>
          <w:rFonts w:eastAsia="Calibri" w:cs="Arial"/>
          <w:shd w:val="clear" w:color="auto" w:fill="FFFFFF"/>
        </w:rPr>
        <w:t>s, with one study assessing the diagnostic accuracy of both.</w:t>
      </w:r>
      <w:r w:rsidR="004372AB" w:rsidRPr="00B85D62">
        <w:rPr>
          <w:rFonts w:eastAsia="Calibri" w:cs="Arial"/>
          <w:noProof/>
          <w:shd w:val="clear" w:color="auto" w:fill="FFFFFF"/>
          <w:vertAlign w:val="superscript"/>
        </w:rPr>
        <w:t>89</w:t>
      </w:r>
      <w:r w:rsidRPr="00B85D62">
        <w:rPr>
          <w:rFonts w:eastAsia="Calibri" w:cs="Arial"/>
          <w:shd w:val="clear" w:color="auto" w:fill="FFFFFF"/>
        </w:rPr>
        <w:t xml:space="preserve"> The studies varied in terms of geographical location, relatives</w:t>
      </w:r>
      <w:r w:rsidR="00B85D62" w:rsidRPr="00B85D62">
        <w:rPr>
          <w:rFonts w:eastAsia="Calibri" w:cs="Arial"/>
          <w:shd w:val="clear" w:color="auto" w:fill="FFFFFF"/>
        </w:rPr>
        <w:t>’</w:t>
      </w:r>
      <w:r w:rsidRPr="00B85D62">
        <w:rPr>
          <w:rFonts w:eastAsia="Calibri" w:cs="Arial"/>
          <w:shd w:val="clear" w:color="auto" w:fill="FFFFFF"/>
        </w:rPr>
        <w:t xml:space="preserve"> age, cuts-offs (LDL-C and TC) for diagnosis, and quality. The small number of studies, coupled with substantial heterogeneity, means that clinical utility of these biochemical tests could not be determined.</w:t>
      </w:r>
    </w:p>
    <w:p w14:paraId="446D60B4" w14:textId="5353F5F9" w:rsidR="002E2FFB" w:rsidRPr="00B85D62" w:rsidRDefault="1A6CE038" w:rsidP="006C7E71">
      <w:pPr>
        <w:pStyle w:val="Heading3"/>
        <w:rPr>
          <w:rFonts w:eastAsia="Yu Gothic Light"/>
          <w:bCs/>
        </w:rPr>
      </w:pPr>
      <w:bookmarkStart w:id="70" w:name="_Toc107157453"/>
      <w:r w:rsidRPr="00B85D62">
        <w:t>Conclusion</w:t>
      </w:r>
      <w:bookmarkEnd w:id="70"/>
    </w:p>
    <w:p w14:paraId="10328ED4" w14:textId="77777777" w:rsidR="00B85D62" w:rsidRPr="00B85D62" w:rsidRDefault="4AB29E7C" w:rsidP="0066232B">
      <w:pPr>
        <w:jc w:val="both"/>
        <w:rPr>
          <w:rFonts w:eastAsia="Calibri" w:cs="Arial"/>
        </w:rPr>
      </w:pPr>
      <w:r w:rsidRPr="00B85D62">
        <w:rPr>
          <w:rFonts w:eastAsia="Calibri" w:cs="Arial"/>
        </w:rPr>
        <w:t xml:space="preserve">Our systematic review on clinical and biochemical characteristics to diagnose FH in relatives of known </w:t>
      </w:r>
      <w:r w:rsidR="42C7292E" w:rsidRPr="00B85D62">
        <w:rPr>
          <w:rFonts w:eastAsia="Calibri" w:cs="Arial"/>
        </w:rPr>
        <w:t>index case</w:t>
      </w:r>
      <w:r w:rsidRPr="00B85D62">
        <w:rPr>
          <w:rFonts w:eastAsia="Calibri" w:cs="Arial"/>
        </w:rPr>
        <w:t>s found nine studies on LDL-C and/or TC. However, the evidence on diagnostic accuracy and appropriate cut-offs for diagnosis was poor, owing to the paucity of studies and high heterogeneity, which we could not investigate quantitatively.</w:t>
      </w:r>
    </w:p>
    <w:p w14:paraId="16E0EE15" w14:textId="77777777" w:rsidR="00B85D62" w:rsidRPr="00B85D62" w:rsidRDefault="005205DF" w:rsidP="006C7E71">
      <w:pPr>
        <w:pStyle w:val="Heading2"/>
      </w:pPr>
      <w:bookmarkStart w:id="71" w:name="_Toc107157454"/>
      <w:r w:rsidRPr="00B85D62">
        <w:t xml:space="preserve">Summary of Results &amp; </w:t>
      </w:r>
      <w:r w:rsidR="00B0078C" w:rsidRPr="00B85D62">
        <w:t>Study l</w:t>
      </w:r>
      <w:r w:rsidRPr="00B85D62">
        <w:t>imitations</w:t>
      </w:r>
      <w:bookmarkEnd w:id="71"/>
    </w:p>
    <w:p w14:paraId="6A4794FE" w14:textId="2AA9AEE5" w:rsidR="00B85D62" w:rsidRPr="00B85D62" w:rsidRDefault="54F9349D" w:rsidP="0066232B">
      <w:pPr>
        <w:jc w:val="both"/>
        <w:rPr>
          <w:rFonts w:eastAsia="Calibri" w:cs="Arial"/>
        </w:rPr>
      </w:pPr>
      <w:r w:rsidRPr="00B85D62">
        <w:rPr>
          <w:rFonts w:eastAsia="Calibri" w:cs="Arial"/>
        </w:rPr>
        <w:t xml:space="preserve">The systematic review of </w:t>
      </w:r>
      <w:r w:rsidRPr="00B85D62">
        <w:rPr>
          <w:rFonts w:eastAsia="Calibri" w:cs="Arial"/>
          <w:b/>
          <w:bCs/>
        </w:rPr>
        <w:t xml:space="preserve">effectiveness of cascade </w:t>
      </w:r>
      <w:r w:rsidR="002343CE" w:rsidRPr="00B85D62">
        <w:rPr>
          <w:rFonts w:eastAsia="Calibri" w:cs="Arial"/>
          <w:b/>
          <w:bCs/>
        </w:rPr>
        <w:t>testing</w:t>
      </w:r>
      <w:r w:rsidRPr="00B85D62">
        <w:rPr>
          <w:rFonts w:eastAsia="Calibri" w:cs="Arial"/>
          <w:b/>
          <w:bCs/>
        </w:rPr>
        <w:t xml:space="preserve"> </w:t>
      </w:r>
      <w:r w:rsidR="7AFCC798" w:rsidRPr="00B85D62">
        <w:rPr>
          <w:rFonts w:eastAsia="Calibri" w:cs="Arial"/>
          <w:b/>
          <w:bCs/>
        </w:rPr>
        <w:t xml:space="preserve">protocols </w:t>
      </w:r>
      <w:r w:rsidR="002343CE" w:rsidRPr="00B85D62">
        <w:rPr>
          <w:rFonts w:eastAsia="Calibri" w:cs="Arial"/>
          <w:b/>
          <w:bCs/>
        </w:rPr>
        <w:t>in relatives</w:t>
      </w:r>
      <w:r w:rsidRPr="00B85D62">
        <w:rPr>
          <w:rFonts w:eastAsia="Calibri" w:cs="Arial"/>
        </w:rPr>
        <w:t xml:space="preserve"> </w:t>
      </w:r>
      <w:r w:rsidR="005205DF" w:rsidRPr="00B85D62">
        <w:rPr>
          <w:rFonts w:eastAsia="Calibri" w:cs="Arial"/>
        </w:rPr>
        <w:t xml:space="preserve">was limited to 4 studies of limited quality. The </w:t>
      </w:r>
      <w:r w:rsidRPr="00B85D62">
        <w:rPr>
          <w:rFonts w:eastAsia="Calibri" w:cs="Arial"/>
        </w:rPr>
        <w:t xml:space="preserve">combination approach, which allows the index case to decide how the relatives are contacted, appeared to result in a higher proportion of relatives tested, </w:t>
      </w:r>
      <w:r w:rsidRPr="00B85D62">
        <w:rPr>
          <w:rFonts w:eastAsia="Calibri" w:cs="Arial"/>
          <w:highlight w:val="magenta"/>
        </w:rPr>
        <w:t>compared to</w:t>
      </w:r>
      <w:r w:rsidRPr="00B85D62">
        <w:rPr>
          <w:rFonts w:eastAsia="Calibri" w:cs="Arial"/>
        </w:rPr>
        <w:t xml:space="preserve"> direct or indirect approaches, which had similar yields.</w:t>
      </w:r>
      <w:r w:rsidR="00B85D62" w:rsidRPr="00B85D62">
        <w:rPr>
          <w:rFonts w:eastAsia="Calibri" w:cs="Arial"/>
        </w:rPr>
        <w:t xml:space="preserve"> </w:t>
      </w:r>
      <w:r w:rsidR="005205DF" w:rsidRPr="00B85D62">
        <w:rPr>
          <w:rFonts w:eastAsia="Calibri" w:cs="Arial"/>
        </w:rPr>
        <w:t>Also in this study, it was noted that only 26% of index cases had a definite diagnosis of FH, with the remaining having a probable diagnosis.</w:t>
      </w:r>
      <w:r w:rsidR="005205DF" w:rsidRPr="00B85D62">
        <w:rPr>
          <w:rFonts w:eastAsia="Calibri" w:cs="Arial"/>
          <w:noProof/>
          <w:vertAlign w:val="superscript"/>
        </w:rPr>
        <w:t>42</w:t>
      </w:r>
      <w:r w:rsidR="005205DF" w:rsidRPr="00B85D62">
        <w:rPr>
          <w:rFonts w:eastAsia="Calibri" w:cs="Arial"/>
        </w:rPr>
        <w:t xml:space="preserve"> </w:t>
      </w:r>
      <w:r w:rsidRPr="00B85D62">
        <w:rPr>
          <w:rFonts w:eastAsia="Calibri" w:cs="Arial"/>
        </w:rPr>
        <w:t xml:space="preserve">The UK study using a direct approach was a </w:t>
      </w:r>
      <w:r w:rsidR="00B85D62" w:rsidRPr="00B85D62">
        <w:rPr>
          <w:rFonts w:eastAsia="Calibri" w:cs="Arial"/>
          <w:color w:val="00B0F0"/>
        </w:rPr>
        <w:t>randomised</w:t>
      </w:r>
      <w:r w:rsidRPr="00B85D62">
        <w:rPr>
          <w:rFonts w:eastAsia="Calibri" w:cs="Arial"/>
        </w:rPr>
        <w:t xml:space="preserve"> controlled trial that compared routine clinical diagnosis plus genetic testing to routine clinical diagnosis alone in index cases and their relatives </w:t>
      </w:r>
      <w:r w:rsidR="00F80015" w:rsidRPr="00B85D62">
        <w:rPr>
          <w:rFonts w:eastAsia="Calibri" w:cs="Arial"/>
          <w:noProof/>
          <w:vertAlign w:val="superscript"/>
        </w:rPr>
        <w:t>46</w:t>
      </w:r>
      <w:r w:rsidRPr="00B85D62">
        <w:rPr>
          <w:rFonts w:eastAsia="Calibri" w:cs="Arial"/>
        </w:rPr>
        <w:t xml:space="preserve">. Therefore, the study design may have had an impact </w:t>
      </w:r>
      <w:r w:rsidRPr="00B85D62">
        <w:rPr>
          <w:rFonts w:eastAsia="Calibri" w:cs="Arial"/>
          <w:highlight w:val="magenta"/>
        </w:rPr>
        <w:t>due to</w:t>
      </w:r>
      <w:r w:rsidRPr="00B85D62">
        <w:rPr>
          <w:rFonts w:eastAsia="Calibri" w:cs="Arial"/>
        </w:rPr>
        <w:t xml:space="preserve"> it being recruitment into a trial; whereas the participants recruited into the UK study using indirect approach w</w:t>
      </w:r>
      <w:r w:rsidR="66C0EC9A" w:rsidRPr="00B85D62">
        <w:rPr>
          <w:rFonts w:eastAsia="Calibri" w:cs="Arial"/>
        </w:rPr>
        <w:t>as</w:t>
      </w:r>
      <w:r w:rsidRPr="00B85D62">
        <w:rPr>
          <w:rFonts w:eastAsia="Calibri" w:cs="Arial"/>
        </w:rPr>
        <w:t xml:space="preserve"> part of a cascade testing programme </w:t>
      </w:r>
      <w:r w:rsidR="00F80015" w:rsidRPr="00B85D62">
        <w:rPr>
          <w:rFonts w:eastAsia="Calibri" w:cs="Arial"/>
          <w:noProof/>
          <w:vertAlign w:val="superscript"/>
        </w:rPr>
        <w:t>45</w:t>
      </w:r>
      <w:r w:rsidRPr="00B85D62">
        <w:rPr>
          <w:rFonts w:eastAsia="Calibri" w:cs="Arial"/>
        </w:rPr>
        <w:t xml:space="preserve"> and therefore, probably more generalisable.</w:t>
      </w:r>
    </w:p>
    <w:p w14:paraId="34B12E7B" w14:textId="67F5D8BD" w:rsidR="002E2FFB" w:rsidRPr="00B85D62" w:rsidRDefault="005205DF" w:rsidP="0066232B">
      <w:pPr>
        <w:jc w:val="both"/>
        <w:rPr>
          <w:rFonts w:eastAsia="Calibri" w:cs="Arial"/>
        </w:rPr>
      </w:pPr>
      <w:r w:rsidRPr="00B85D62">
        <w:rPr>
          <w:rFonts w:eastAsia="Calibri" w:cs="Arial"/>
        </w:rPr>
        <w:t>Limitations</w:t>
      </w:r>
      <w:r w:rsidR="54F9349D" w:rsidRPr="00B85D62">
        <w:rPr>
          <w:rFonts w:eastAsia="Calibri" w:cs="Arial"/>
        </w:rPr>
        <w:t xml:space="preserve"> </w:t>
      </w:r>
      <w:r w:rsidRPr="00B85D62">
        <w:rPr>
          <w:rFonts w:eastAsia="Calibri" w:cs="Arial"/>
        </w:rPr>
        <w:t xml:space="preserve">of </w:t>
      </w:r>
      <w:r w:rsidR="54F9349D" w:rsidRPr="00B85D62">
        <w:rPr>
          <w:rFonts w:eastAsia="Calibri" w:cs="Arial"/>
        </w:rPr>
        <w:t>this and previous review,</w:t>
      </w:r>
      <w:r w:rsidR="00F80015" w:rsidRPr="00B85D62">
        <w:rPr>
          <w:rFonts w:eastAsia="Calibri" w:cs="Arial"/>
          <w:noProof/>
          <w:vertAlign w:val="superscript"/>
        </w:rPr>
        <w:t>27</w:t>
      </w:r>
      <w:r w:rsidR="54F9349D" w:rsidRPr="00B85D62">
        <w:rPr>
          <w:rFonts w:eastAsia="Calibri" w:cs="Arial"/>
        </w:rPr>
        <w:t xml:space="preserve"> </w:t>
      </w:r>
      <w:r w:rsidR="00B85D62" w:rsidRPr="00B85D62">
        <w:rPr>
          <w:rFonts w:eastAsia="Calibri" w:cs="Arial"/>
          <w:color w:val="00B0F0"/>
        </w:rPr>
        <w:t>predominantly</w:t>
      </w:r>
      <w:r w:rsidR="54F9349D" w:rsidRPr="00B85D62">
        <w:rPr>
          <w:rFonts w:eastAsia="Calibri" w:cs="Arial"/>
        </w:rPr>
        <w:t xml:space="preserve"> related to the nature of the studies available. </w:t>
      </w:r>
      <w:r w:rsidRPr="00B85D62">
        <w:rPr>
          <w:rFonts w:eastAsia="Calibri" w:cs="Arial"/>
        </w:rPr>
        <w:t>There was no</w:t>
      </w:r>
      <w:r w:rsidR="54F9349D" w:rsidRPr="00B85D62">
        <w:rPr>
          <w:rFonts w:eastAsia="Calibri" w:cs="Arial"/>
        </w:rPr>
        <w:t xml:space="preserve"> within study comparisons therefore, we had to rely on comparing strategies across studies. </w:t>
      </w:r>
      <w:r w:rsidRPr="00B85D62">
        <w:rPr>
          <w:rFonts w:eastAsia="Calibri" w:cs="Arial"/>
        </w:rPr>
        <w:t>Hence</w:t>
      </w:r>
      <w:r w:rsidR="54F9349D" w:rsidRPr="00B85D62">
        <w:rPr>
          <w:rFonts w:eastAsia="Calibri" w:cs="Arial"/>
        </w:rPr>
        <w:t xml:space="preserve"> the differences in yield between the cascade strategies </w:t>
      </w:r>
      <w:r w:rsidR="006817B4" w:rsidRPr="00B85D62">
        <w:rPr>
          <w:rFonts w:eastAsia="Calibri" w:cs="Arial"/>
        </w:rPr>
        <w:t>was</w:t>
      </w:r>
      <w:r w:rsidR="54F9349D" w:rsidRPr="00B85D62">
        <w:rPr>
          <w:rFonts w:eastAsia="Calibri" w:cs="Arial"/>
        </w:rPr>
        <w:t xml:space="preserve"> wholly ascribed to the contact method used</w:t>
      </w:r>
      <w:r w:rsidRPr="00B85D62">
        <w:rPr>
          <w:rFonts w:eastAsia="Calibri" w:cs="Arial"/>
        </w:rPr>
        <w:t xml:space="preserve">. </w:t>
      </w:r>
      <w:r w:rsidR="54F9349D" w:rsidRPr="00B85D62">
        <w:rPr>
          <w:rFonts w:eastAsia="Calibri" w:cs="Arial"/>
        </w:rPr>
        <w:t>Only approximately half of the included studies reported the extent of cascading to other relatives; therefore, we were unable to explore whether there were differences in yields by cascade approach related to extent of cascading to other relatives</w:t>
      </w:r>
      <w:r w:rsidR="00B85D62" w:rsidRPr="00B85D62">
        <w:rPr>
          <w:rFonts w:eastAsia="Calibri" w:cs="Arial"/>
          <w:color w:val="00B0F0"/>
        </w:rPr>
        <w:t xml:space="preserve">. </w:t>
      </w:r>
      <w:r w:rsidR="00B85D62" w:rsidRPr="00B85D62">
        <w:rPr>
          <w:rFonts w:eastAsia="Calibri" w:cs="Arial"/>
          <w:color w:val="00B0F0"/>
        </w:rPr>
        <w:t>Owing to</w:t>
      </w:r>
      <w:r w:rsidR="54F9349D" w:rsidRPr="00B85D62">
        <w:rPr>
          <w:rFonts w:eastAsia="Calibri" w:cs="Arial"/>
        </w:rPr>
        <w:t xml:space="preserve"> the limited evidence, particularly lack of within study comparison of modalities of contact, the </w:t>
      </w:r>
      <w:r w:rsidR="00B85D62" w:rsidRPr="00B85D62">
        <w:rPr>
          <w:rFonts w:eastAsia="Calibri" w:cs="Arial"/>
          <w:color w:val="00B0F0"/>
          <w:highlight w:val="magenta"/>
        </w:rPr>
        <w:t>data</w:t>
      </w:r>
      <w:r w:rsidR="00B85D62" w:rsidRPr="00B85D62">
        <w:rPr>
          <w:rFonts w:eastAsia="Calibri" w:cs="Arial"/>
          <w:color w:val="00B0F0"/>
        </w:rPr>
        <w:t xml:space="preserve"> were</w:t>
      </w:r>
      <w:r w:rsidR="54F9349D" w:rsidRPr="00B85D62">
        <w:rPr>
          <w:rFonts w:eastAsia="Calibri" w:cs="Arial"/>
        </w:rPr>
        <w:t xml:space="preserve"> not in a format that could be used to parameterise the economic model. However, the Welsh PASS </w:t>
      </w:r>
      <w:r w:rsidR="54F9349D" w:rsidRPr="00B85D62">
        <w:rPr>
          <w:rFonts w:eastAsia="Calibri" w:cs="Arial"/>
          <w:highlight w:val="magenta"/>
        </w:rPr>
        <w:t>data</w:t>
      </w:r>
      <w:r w:rsidR="54F9349D" w:rsidRPr="00B85D62">
        <w:rPr>
          <w:rFonts w:eastAsia="Calibri" w:cs="Arial"/>
        </w:rPr>
        <w:t xml:space="preserve"> provided with</w:t>
      </w:r>
      <w:r w:rsidR="00CC7DBE" w:rsidRPr="00B85D62">
        <w:rPr>
          <w:rFonts w:eastAsia="Calibri" w:cs="Arial"/>
        </w:rPr>
        <w:t>in</w:t>
      </w:r>
      <w:r w:rsidR="54F9349D" w:rsidRPr="00B85D62">
        <w:rPr>
          <w:rFonts w:eastAsia="Calibri" w:cs="Arial"/>
        </w:rPr>
        <w:t xml:space="preserve">-study comparison of the impact of the modality of contact (see </w:t>
      </w:r>
      <w:r w:rsidR="1AD74F30" w:rsidRPr="00B85D62">
        <w:rPr>
          <w:rFonts w:eastAsia="Calibri" w:cs="Arial"/>
        </w:rPr>
        <w:t xml:space="preserve">Section </w:t>
      </w:r>
      <w:r w:rsidR="00CC7DBE" w:rsidRPr="00B85D62">
        <w:rPr>
          <w:rFonts w:eastAsia="Calibri" w:cs="Arial"/>
        </w:rPr>
        <w:t>8</w:t>
      </w:r>
      <w:r w:rsidR="1AD74F30" w:rsidRPr="00B85D62">
        <w:rPr>
          <w:rFonts w:eastAsia="Calibri" w:cs="Arial"/>
        </w:rPr>
        <w:t>.3</w:t>
      </w:r>
      <w:r w:rsidR="54F9349D" w:rsidRPr="00B85D62">
        <w:rPr>
          <w:rFonts w:eastAsia="Calibri" w:cs="Arial"/>
        </w:rPr>
        <w:t>).</w:t>
      </w:r>
    </w:p>
    <w:p w14:paraId="461BCE28" w14:textId="77777777" w:rsidR="00B85D62" w:rsidRPr="00B85D62" w:rsidRDefault="002E2FFB" w:rsidP="0066232B">
      <w:pPr>
        <w:jc w:val="both"/>
        <w:rPr>
          <w:rFonts w:eastAsia="Calibri" w:cs="Arial"/>
        </w:rPr>
      </w:pPr>
      <w:r w:rsidRPr="00B85D62">
        <w:rPr>
          <w:rFonts w:eastAsia="Calibri" w:cs="Arial"/>
        </w:rPr>
        <w:t xml:space="preserve">Although the search of relevant systematic reviews of the </w:t>
      </w:r>
      <w:r w:rsidRPr="00B85D62">
        <w:rPr>
          <w:rFonts w:eastAsia="Calibri" w:cs="Arial"/>
          <w:b/>
        </w:rPr>
        <w:t xml:space="preserve">effectiveness of cholesterol-lowering therapies on LDL levels and cardiovascular disease in adults </w:t>
      </w:r>
      <w:r w:rsidRPr="00B85D62">
        <w:rPr>
          <w:rFonts w:eastAsia="Calibri" w:cs="Arial"/>
        </w:rPr>
        <w:t>identified 14 relevant systematic reviews, none of these met the methodological quality on the AMSTAR critical appraisal tool to be included in the review of reviews.</w:t>
      </w:r>
    </w:p>
    <w:p w14:paraId="637343CE" w14:textId="77777777" w:rsidR="00B85D62" w:rsidRPr="00B85D62" w:rsidRDefault="54F9349D" w:rsidP="0066232B">
      <w:pPr>
        <w:jc w:val="both"/>
        <w:rPr>
          <w:rFonts w:eastAsia="Calibri" w:cs="Arial"/>
          <w:b/>
          <w:bCs/>
        </w:rPr>
      </w:pPr>
      <w:r w:rsidRPr="00B85D62">
        <w:rPr>
          <w:rFonts w:eastAsia="Calibri" w:cs="Arial"/>
        </w:rPr>
        <w:t xml:space="preserve">Considering the systematic review </w:t>
      </w:r>
      <w:r w:rsidR="006817B4" w:rsidRPr="00B85D62">
        <w:rPr>
          <w:rFonts w:eastAsia="Calibri" w:cs="Arial"/>
        </w:rPr>
        <w:t xml:space="preserve">of the </w:t>
      </w:r>
      <w:r w:rsidRPr="00B85D62">
        <w:rPr>
          <w:rFonts w:eastAsia="Calibri" w:cs="Arial"/>
          <w:b/>
          <w:bCs/>
        </w:rPr>
        <w:t xml:space="preserve">effectiveness of lipid-lowering therapies on LDL levels, and the impact of LDL levels on LDL levels and cardiovascular disease and mortality in children with FH. </w:t>
      </w:r>
      <w:r w:rsidRPr="00B85D62">
        <w:rPr>
          <w:rFonts w:eastAsia="Calibri" w:cs="Arial"/>
        </w:rPr>
        <w:lastRenderedPageBreak/>
        <w:t>Preliminary scoping review identified 2 recent systematic reviews.</w:t>
      </w:r>
      <w:r w:rsidR="00F80015" w:rsidRPr="00B85D62">
        <w:rPr>
          <w:rFonts w:eastAsia="Calibri" w:cs="Arial"/>
          <w:noProof/>
          <w:vertAlign w:val="superscript"/>
        </w:rPr>
        <w:t>20</w:t>
      </w:r>
      <w:r w:rsidRPr="00B85D62">
        <w:rPr>
          <w:rFonts w:eastAsia="Calibri" w:cs="Arial"/>
        </w:rPr>
        <w:t xml:space="preserve"> In particular</w:t>
      </w:r>
      <w:r w:rsidR="1F16CF9E" w:rsidRPr="00B85D62">
        <w:rPr>
          <w:rFonts w:eastAsia="Calibri" w:cs="Arial"/>
        </w:rPr>
        <w:t>,</w:t>
      </w:r>
      <w:r w:rsidRPr="00B85D62">
        <w:rPr>
          <w:rFonts w:eastAsia="Calibri" w:cs="Arial"/>
        </w:rPr>
        <w:t xml:space="preserve"> Lozano had indicated no studies looking at (long-term) relationship between lipid-lowering therapy in children on </w:t>
      </w:r>
      <w:r w:rsidR="00CC7DBE" w:rsidRPr="00B85D62">
        <w:rPr>
          <w:rFonts w:eastAsia="Calibri" w:cs="Arial"/>
        </w:rPr>
        <w:t xml:space="preserve">cardiovascular </w:t>
      </w:r>
      <w:r w:rsidRPr="00B85D62">
        <w:rPr>
          <w:rFonts w:eastAsia="Calibri" w:cs="Arial"/>
        </w:rPr>
        <w:t xml:space="preserve">events in adulthood or on the association between intermediate outcomes in childhood (e.g. lipid concentrations, atherosclerosis) and </w:t>
      </w:r>
      <w:r w:rsidR="00CC7DBE" w:rsidRPr="00B85D62">
        <w:rPr>
          <w:rFonts w:eastAsia="Calibri" w:cs="Arial"/>
        </w:rPr>
        <w:t xml:space="preserve">cardiovascular </w:t>
      </w:r>
      <w:r w:rsidRPr="00B85D62">
        <w:rPr>
          <w:rFonts w:eastAsia="Calibri" w:cs="Arial"/>
        </w:rPr>
        <w:t xml:space="preserve">event. We concluded, </w:t>
      </w:r>
      <w:r w:rsidRPr="00B85D62">
        <w:rPr>
          <w:rFonts w:eastAsia="Calibri" w:cs="Arial"/>
          <w:highlight w:val="magenta"/>
        </w:rPr>
        <w:t>due to</w:t>
      </w:r>
      <w:r w:rsidRPr="00B85D62">
        <w:rPr>
          <w:rFonts w:eastAsia="Calibri" w:cs="Arial"/>
        </w:rPr>
        <w:t xml:space="preserve"> the nature of these studies, such </w:t>
      </w:r>
      <w:r w:rsidRPr="00B85D62">
        <w:rPr>
          <w:rFonts w:eastAsia="Calibri" w:cs="Arial"/>
          <w:highlight w:val="magenta"/>
        </w:rPr>
        <w:t>data</w:t>
      </w:r>
      <w:r w:rsidRPr="00B85D62">
        <w:rPr>
          <w:rFonts w:eastAsia="Calibri" w:cs="Arial"/>
        </w:rPr>
        <w:t xml:space="preserve"> would not be available.</w:t>
      </w:r>
    </w:p>
    <w:p w14:paraId="24F59300" w14:textId="5622AEAA" w:rsidR="00B85D62" w:rsidRPr="00B85D62" w:rsidRDefault="54F9349D" w:rsidP="0066232B">
      <w:pPr>
        <w:jc w:val="both"/>
        <w:rPr>
          <w:rFonts w:eastAsia="Calibri" w:cs="Arial"/>
          <w:b/>
          <w:bCs/>
        </w:rPr>
      </w:pPr>
      <w:r w:rsidRPr="00B85D62">
        <w:rPr>
          <w:rFonts w:eastAsia="Calibri" w:cs="Arial"/>
        </w:rPr>
        <w:t xml:space="preserve">Finally, the systematic review evaluating </w:t>
      </w:r>
      <w:r w:rsidRPr="00B85D62">
        <w:rPr>
          <w:rFonts w:eastAsia="Calibri" w:cs="Arial"/>
          <w:b/>
          <w:bCs/>
        </w:rPr>
        <w:t>the diagnostic accuracy of clinical and biochemical criteria and scoring systems for the diagnosis of familial hypercholesterolemia in relatives</w:t>
      </w:r>
      <w:r w:rsidR="00895586" w:rsidRPr="00B85D62">
        <w:rPr>
          <w:rFonts w:eastAsia="Calibri" w:cs="Arial"/>
        </w:rPr>
        <w:t xml:space="preserve"> </w:t>
      </w:r>
      <w:r w:rsidRPr="00B85D62">
        <w:rPr>
          <w:rFonts w:eastAsia="Calibri" w:cs="Arial"/>
        </w:rPr>
        <w:t xml:space="preserve">found nine studies, all of which examined LDL-C and/or TC levels to diagnose FH in relatives of </w:t>
      </w:r>
      <w:r w:rsidR="0C645C29" w:rsidRPr="00B85D62">
        <w:rPr>
          <w:rFonts w:eastAsia="Calibri" w:cs="Arial"/>
        </w:rPr>
        <w:t>affected index cases</w:t>
      </w:r>
      <w:r w:rsidRPr="00B85D62">
        <w:rPr>
          <w:rFonts w:eastAsia="Calibri" w:cs="Arial"/>
        </w:rPr>
        <w:t>, with one study assessing the diagnostic accuracy of both. The studies varied in terms of geographical location, relatives</w:t>
      </w:r>
      <w:r w:rsidR="00B85D62" w:rsidRPr="00B85D62">
        <w:rPr>
          <w:rFonts w:eastAsia="Calibri" w:cs="Arial"/>
        </w:rPr>
        <w:t>’</w:t>
      </w:r>
      <w:r w:rsidRPr="00B85D62">
        <w:rPr>
          <w:rFonts w:eastAsia="Calibri" w:cs="Arial"/>
        </w:rPr>
        <w:t xml:space="preserve"> age, cuts-offs (LDL-C and TC) for diagnosis, and quality. The small number of studies, coupled with substantial heterogeneity, means that clinical utility of these biochemical tests could not be determined. However, the search included studies indicating that the Dutch national cascade screening programme for familial hypercholesterolaemia had relevant </w:t>
      </w:r>
      <w:r w:rsidRPr="00B85D62">
        <w:rPr>
          <w:rFonts w:eastAsia="Calibri" w:cs="Arial"/>
          <w:highlight w:val="magenta"/>
        </w:rPr>
        <w:t>data</w:t>
      </w:r>
      <w:r w:rsidRPr="00B85D62">
        <w:rPr>
          <w:rFonts w:eastAsia="Calibri" w:cs="Arial"/>
        </w:rPr>
        <w:t xml:space="preserve"> for our research</w:t>
      </w:r>
      <w:r w:rsidR="00F80015" w:rsidRPr="00B85D62">
        <w:rPr>
          <w:rFonts w:eastAsia="Calibri" w:cs="Arial"/>
          <w:noProof/>
          <w:vertAlign w:val="superscript"/>
        </w:rPr>
        <w:t>51</w:t>
      </w:r>
      <w:r w:rsidRPr="00B85D62">
        <w:rPr>
          <w:rFonts w:eastAsia="Calibri" w:cs="Arial"/>
        </w:rPr>
        <w:t xml:space="preserve">. Therefore, we contacted the </w:t>
      </w:r>
      <w:r w:rsidRPr="00B85D62">
        <w:rPr>
          <w:rFonts w:eastAsia="Calibri" w:cs="Arial"/>
          <w:highlight w:val="magenta"/>
        </w:rPr>
        <w:t>data</w:t>
      </w:r>
      <w:r w:rsidRPr="00B85D62">
        <w:rPr>
          <w:rFonts w:eastAsia="Calibri" w:cs="Arial"/>
        </w:rPr>
        <w:t xml:space="preserve"> controllers for this programme, who kindly provided aggregate </w:t>
      </w:r>
      <w:r w:rsidRPr="00B85D62">
        <w:rPr>
          <w:rFonts w:eastAsia="Calibri" w:cs="Arial"/>
          <w:highlight w:val="magenta"/>
        </w:rPr>
        <w:t>data</w:t>
      </w:r>
      <w:r w:rsidRPr="00B85D62">
        <w:rPr>
          <w:rFonts w:eastAsia="Calibri" w:cs="Arial"/>
        </w:rPr>
        <w:t xml:space="preserve"> on the distributions of </w:t>
      </w:r>
      <w:r w:rsidR="08B85303" w:rsidRPr="00B85D62">
        <w:rPr>
          <w:rFonts w:eastAsia="Calibri" w:cs="Arial"/>
        </w:rPr>
        <w:t>LDL-C levels in</w:t>
      </w:r>
      <w:r w:rsidRPr="00B85D62">
        <w:rPr>
          <w:rFonts w:eastAsia="Calibri" w:cs="Arial"/>
        </w:rPr>
        <w:t xml:space="preserve"> relatives tested for familial hypercholesterolaemia in the Dutch cascade screening programme, which we used to inform the cost-effectiveness analysis.</w:t>
      </w:r>
    </w:p>
    <w:p w14:paraId="5644467C" w14:textId="57FD215B" w:rsidR="00F35762" w:rsidRPr="00B85D62" w:rsidRDefault="17979FEE" w:rsidP="0066232B">
      <w:pPr>
        <w:pStyle w:val="Heading1"/>
        <w:spacing w:line="360" w:lineRule="auto"/>
        <w:rPr>
          <w:rFonts w:ascii="Arial" w:eastAsia="Yu Gothic Light" w:hAnsi="Arial" w:cs="Arial"/>
          <w:sz w:val="22"/>
          <w:szCs w:val="22"/>
        </w:rPr>
      </w:pPr>
      <w:bookmarkStart w:id="72" w:name="_Toc76461040"/>
      <w:bookmarkStart w:id="73" w:name="_Toc61283497"/>
      <w:bookmarkStart w:id="74" w:name="_Toc107157455"/>
      <w:r w:rsidRPr="00B85D62">
        <w:rPr>
          <w:rFonts w:ascii="Arial" w:hAnsi="Arial" w:cs="Arial"/>
          <w:sz w:val="22"/>
          <w:szCs w:val="22"/>
        </w:rPr>
        <w:t>Overview</w:t>
      </w:r>
      <w:r w:rsidR="2B7BEEF3" w:rsidRPr="00B85D62">
        <w:rPr>
          <w:rFonts w:ascii="Arial" w:hAnsi="Arial" w:cs="Arial"/>
          <w:sz w:val="22"/>
          <w:szCs w:val="22"/>
        </w:rPr>
        <w:t xml:space="preserve"> of Database studies</w:t>
      </w:r>
      <w:bookmarkEnd w:id="72"/>
      <w:bookmarkEnd w:id="73"/>
      <w:bookmarkEnd w:id="74"/>
    </w:p>
    <w:p w14:paraId="794BA079" w14:textId="5D8B63EE" w:rsidR="00B85D62" w:rsidRPr="00B85D62" w:rsidRDefault="0078124C" w:rsidP="006C7E71">
      <w:pPr>
        <w:pStyle w:val="Heading2"/>
      </w:pPr>
      <w:r w:rsidRPr="00B85D62">
        <w:t xml:space="preserve">Several databases were interrogated to identify treatments patterns in FH patients, and their outcomes. This includes a FH primary care </w:t>
      </w:r>
      <w:r w:rsidR="00B85D62" w:rsidRPr="00B85D62">
        <w:rPr>
          <w:color w:val="00B0F0"/>
          <w:highlight w:val="magenta"/>
        </w:rPr>
        <w:t>data</w:t>
      </w:r>
      <w:r w:rsidR="00B85D62" w:rsidRPr="00B85D62">
        <w:rPr>
          <w:color w:val="00B0F0"/>
        </w:rPr>
        <w:t xml:space="preserve"> set</w:t>
      </w:r>
      <w:r w:rsidRPr="00B85D62">
        <w:t xml:space="preserve"> (Clinical </w:t>
      </w:r>
      <w:r w:rsidRPr="00B85D62">
        <w:rPr>
          <w:highlight w:val="magenta"/>
        </w:rPr>
        <w:t>Practice</w:t>
      </w:r>
      <w:r w:rsidRPr="00B85D62">
        <w:t xml:space="preserve"> Research Datalink (CPRD)) and the Simon-Broome FH specialist register. Both linked to secondary care Hospital Episode (HES) </w:t>
      </w:r>
      <w:r w:rsidRPr="00B85D62">
        <w:rPr>
          <w:highlight w:val="magenta"/>
        </w:rPr>
        <w:t>data</w:t>
      </w:r>
      <w:r w:rsidRPr="00B85D62">
        <w:t xml:space="preserve"> and national morbidity </w:t>
      </w:r>
      <w:r w:rsidRPr="00B85D62">
        <w:rPr>
          <w:highlight w:val="magenta"/>
        </w:rPr>
        <w:t>data</w:t>
      </w:r>
      <w:r w:rsidRPr="00B85D62">
        <w:t xml:space="preserve">. Also, yield of cases with FH cascade testing approaches was to be identified through routine </w:t>
      </w:r>
      <w:r w:rsidRPr="00B85D62">
        <w:rPr>
          <w:highlight w:val="magenta"/>
        </w:rPr>
        <w:t>data</w:t>
      </w:r>
      <w:r w:rsidRPr="00B85D62">
        <w:t xml:space="preserve"> captured from the Scottish, Wales and Wessex FH service. </w:t>
      </w:r>
      <w:bookmarkStart w:id="75" w:name="_Toc61283502"/>
      <w:bookmarkStart w:id="76" w:name="_Toc76461041"/>
      <w:bookmarkStart w:id="77" w:name="_Toc107157456"/>
      <w:r w:rsidR="0B4BB477" w:rsidRPr="00B85D62">
        <w:t xml:space="preserve">Clinical </w:t>
      </w:r>
      <w:r w:rsidR="0B4BB477" w:rsidRPr="00B85D62">
        <w:rPr>
          <w:highlight w:val="magenta"/>
        </w:rPr>
        <w:t>Practice</w:t>
      </w:r>
      <w:r w:rsidR="0B4BB477" w:rsidRPr="00B85D62">
        <w:t xml:space="preserve"> Research Datalink</w:t>
      </w:r>
      <w:bookmarkEnd w:id="75"/>
      <w:bookmarkEnd w:id="76"/>
      <w:bookmarkEnd w:id="77"/>
    </w:p>
    <w:p w14:paraId="0667AB37" w14:textId="39C6BD4F" w:rsidR="00B85D62" w:rsidRPr="00B85D62" w:rsidRDefault="13F421EA" w:rsidP="2C767C69">
      <w:pPr>
        <w:rPr>
          <w:rFonts w:cs="Arial"/>
        </w:rPr>
      </w:pPr>
      <w:r w:rsidRPr="00B85D62">
        <w:rPr>
          <w:rFonts w:cs="Arial"/>
        </w:rPr>
        <w:t>The CPRD is a large</w:t>
      </w:r>
      <w:r w:rsidR="00B85D62" w:rsidRPr="00B85D62">
        <w:rPr>
          <w:rFonts w:cs="Arial"/>
        </w:rPr>
        <w:t xml:space="preserve"> </w:t>
      </w:r>
      <w:r w:rsidRPr="00B85D62">
        <w:rPr>
          <w:rFonts w:cs="Arial"/>
        </w:rPr>
        <w:t>electronic database of UK patients</w:t>
      </w:r>
      <w:r w:rsidR="00B85D62" w:rsidRPr="00B85D62">
        <w:rPr>
          <w:rFonts w:cs="Arial"/>
        </w:rPr>
        <w:t>’</w:t>
      </w:r>
      <w:r w:rsidRPr="00B85D62">
        <w:rPr>
          <w:rFonts w:cs="Arial"/>
        </w:rPr>
        <w:t xml:space="preserve"> anonymised primary care </w:t>
      </w:r>
      <w:r w:rsidRPr="00B85D62">
        <w:rPr>
          <w:rFonts w:cs="Arial"/>
          <w:highlight w:val="magenta"/>
        </w:rPr>
        <w:t>data</w:t>
      </w:r>
      <w:r w:rsidR="00B85D62" w:rsidRPr="00B85D62">
        <w:rPr>
          <w:rFonts w:cs="Arial"/>
          <w:color w:val="00B0F0"/>
        </w:rPr>
        <w:t>.</w:t>
      </w:r>
      <w:r w:rsidRPr="00B85D62">
        <w:rPr>
          <w:rFonts w:cs="Arial"/>
        </w:rPr>
        <w:t xml:space="preserve"> There is </w:t>
      </w:r>
      <w:r w:rsidRPr="00B85D62">
        <w:rPr>
          <w:rFonts w:cs="Arial"/>
          <w:highlight w:val="magenta"/>
        </w:rPr>
        <w:t>data</w:t>
      </w:r>
      <w:r w:rsidRPr="00B85D62">
        <w:rPr>
          <w:rFonts w:cs="Arial"/>
        </w:rPr>
        <w:t xml:space="preserve"> from over 20 million patient lives with more than 5 million patients currently registered and active. It includes information on patient characteristics, clinical diagnoses, symptoms,</w:t>
      </w:r>
      <w:r w:rsidR="00B85D62" w:rsidRPr="00B85D62">
        <w:rPr>
          <w:rFonts w:cs="Arial"/>
        </w:rPr>
        <w:t xml:space="preserve"> </w:t>
      </w:r>
      <w:r w:rsidRPr="00B85D62">
        <w:rPr>
          <w:rFonts w:cs="Arial"/>
        </w:rPr>
        <w:t xml:space="preserve">laboratory test results, medication prescriptions and referrals </w:t>
      </w:r>
      <w:r w:rsidR="004372AB" w:rsidRPr="00B85D62">
        <w:rPr>
          <w:rFonts w:cs="Arial"/>
          <w:noProof/>
          <w:color w:val="2B579A"/>
          <w:shd w:val="clear" w:color="auto" w:fill="E6E6E6"/>
          <w:vertAlign w:val="superscript"/>
        </w:rPr>
        <w:t>94</w:t>
      </w:r>
      <w:r w:rsidRPr="00B85D62">
        <w:rPr>
          <w:rFonts w:cs="Arial"/>
        </w:rPr>
        <w:t xml:space="preserve">. Access to the </w:t>
      </w:r>
      <w:r w:rsidRPr="00B85D62">
        <w:rPr>
          <w:rFonts w:cs="Arial"/>
          <w:highlight w:val="magenta"/>
        </w:rPr>
        <w:t>data</w:t>
      </w:r>
      <w:r w:rsidRPr="00B85D62">
        <w:rPr>
          <w:rFonts w:cs="Arial"/>
        </w:rPr>
        <w:t xml:space="preserve"> and </w:t>
      </w:r>
      <w:r w:rsidR="00B85D62" w:rsidRPr="00B85D62">
        <w:rPr>
          <w:rFonts w:cs="Arial"/>
          <w:color w:val="00B0F0"/>
        </w:rPr>
        <w:t>ethics approval</w:t>
      </w:r>
      <w:r w:rsidRPr="00B85D62">
        <w:rPr>
          <w:rFonts w:cs="Arial"/>
        </w:rPr>
        <w:t xml:space="preserve"> was granted by the CPRD Independent Scientific Advisory Committee (Protocol numbers 16_191R2, 18_143).</w:t>
      </w:r>
    </w:p>
    <w:p w14:paraId="312D20CF" w14:textId="77777777" w:rsidR="00B85D62" w:rsidRPr="00B85D62" w:rsidRDefault="13F421EA" w:rsidP="0066232B">
      <w:pPr>
        <w:rPr>
          <w:rFonts w:cs="Arial"/>
        </w:rPr>
      </w:pPr>
      <w:r w:rsidRPr="00B85D62">
        <w:rPr>
          <w:rFonts w:cs="Arial"/>
        </w:rPr>
        <w:t>From CPRD GOLD, we identified all adults with FH in primary care, including those with documented FH diagnosis</w:t>
      </w:r>
      <w:r w:rsidR="00341919" w:rsidRPr="00B85D62">
        <w:rPr>
          <w:rFonts w:cs="Arial"/>
        </w:rPr>
        <w:t>,</w:t>
      </w:r>
      <w:r w:rsidRPr="00B85D62">
        <w:rPr>
          <w:rFonts w:cs="Arial"/>
        </w:rPr>
        <w:t xml:space="preserve"> and those with the clinical phenotype of definite FH using the Simon</w:t>
      </w:r>
      <w:r w:rsidR="05AF5773" w:rsidRPr="00B85D62">
        <w:rPr>
          <w:rFonts w:cs="Arial"/>
        </w:rPr>
        <w:t>-</w:t>
      </w:r>
      <w:r w:rsidRPr="00B85D62">
        <w:rPr>
          <w:rFonts w:cs="Arial"/>
        </w:rPr>
        <w:t xml:space="preserve">Broome (SB) or Dutch Lipid Clinic Network (DLCN) criteria </w:t>
      </w:r>
      <w:r w:rsidR="00F80015" w:rsidRPr="00B85D62">
        <w:rPr>
          <w:rFonts w:eastAsia="Calibri" w:cs="Arial"/>
          <w:noProof/>
          <w:vertAlign w:val="superscript"/>
        </w:rPr>
        <w:t>20</w:t>
      </w:r>
      <w:r w:rsidRPr="00B85D62">
        <w:rPr>
          <w:rFonts w:cs="Arial"/>
        </w:rPr>
        <w:t xml:space="preserve">. Patients had at least one cholesterol measurement (total cholesterol or </w:t>
      </w:r>
      <w:r w:rsidR="19C1C9DF" w:rsidRPr="00B85D62">
        <w:rPr>
          <w:rFonts w:cs="Arial"/>
        </w:rPr>
        <w:t>LDL-C</w:t>
      </w:r>
      <w:r w:rsidRPr="00B85D62">
        <w:rPr>
          <w:rFonts w:cs="Arial"/>
        </w:rPr>
        <w:t xml:space="preserve">) during the study period: 1 January 1999 to 22 July 2016. For each patient with clinical diagnosis of FH, we randomly identified three patients without FH and individually matched on age, sex and general </w:t>
      </w:r>
      <w:r w:rsidRPr="00B85D62">
        <w:rPr>
          <w:rFonts w:cs="Arial"/>
          <w:highlight w:val="magenta"/>
        </w:rPr>
        <w:t>practice</w:t>
      </w:r>
      <w:r w:rsidRPr="00B85D62">
        <w:rPr>
          <w:rFonts w:cs="Arial"/>
        </w:rPr>
        <w:t xml:space="preserve">. Those without FH had cholesterol testing done within six months of the start date of their matched FH case and no documented diagnosis of FH. All patients had to be registered in their general </w:t>
      </w:r>
      <w:r w:rsidRPr="00B85D62">
        <w:rPr>
          <w:rFonts w:cs="Arial"/>
          <w:highlight w:val="magenta"/>
        </w:rPr>
        <w:t>practice</w:t>
      </w:r>
      <w:r w:rsidRPr="00B85D62">
        <w:rPr>
          <w:rFonts w:cs="Arial"/>
        </w:rPr>
        <w:t xml:space="preserve"> for at least one year before the start of follow-up and they were followed up until their first diagnosis of any</w:t>
      </w:r>
      <w:r w:rsidR="00C15E97" w:rsidRPr="00B85D62">
        <w:rPr>
          <w:rFonts w:cs="Arial"/>
        </w:rPr>
        <w:t xml:space="preserve"> </w:t>
      </w:r>
      <w:r w:rsidR="001047D4" w:rsidRPr="00B85D62">
        <w:rPr>
          <w:rFonts w:cs="Arial"/>
        </w:rPr>
        <w:t xml:space="preserve">cardiovascular </w:t>
      </w:r>
      <w:r w:rsidRPr="00B85D62">
        <w:rPr>
          <w:rFonts w:cs="Arial"/>
        </w:rPr>
        <w:t xml:space="preserve">outcome. Patients who did not develop CVD were followed up until date of death, transfer out of the </w:t>
      </w:r>
      <w:r w:rsidRPr="00B85D62">
        <w:rPr>
          <w:rFonts w:cs="Arial"/>
          <w:highlight w:val="magenta"/>
        </w:rPr>
        <w:t>practice</w:t>
      </w:r>
      <w:r w:rsidRPr="00B85D62">
        <w:rPr>
          <w:rFonts w:cs="Arial"/>
        </w:rPr>
        <w:t xml:space="preserve"> or study end date, whichever occurred first.</w:t>
      </w:r>
    </w:p>
    <w:p w14:paraId="56139E3C" w14:textId="77777777" w:rsidR="00B85D62" w:rsidRPr="00B85D62" w:rsidRDefault="1EF1C9BC" w:rsidP="0066232B">
      <w:pPr>
        <w:rPr>
          <w:rFonts w:cs="Arial"/>
        </w:rPr>
      </w:pPr>
      <w:r w:rsidRPr="00B85D62">
        <w:rPr>
          <w:rFonts w:cs="Arial"/>
        </w:rPr>
        <w:t xml:space="preserve">There were 3,936,934 patients in CPRD with records of either a total or LDL-cholesterol measurement between 1 January 1999 and 22 July 2016. Among these, 14,097 patients had clinical FH which </w:t>
      </w:r>
      <w:r w:rsidRPr="00B85D62">
        <w:rPr>
          <w:rFonts w:cs="Arial"/>
          <w:highlight w:val="magenta"/>
        </w:rPr>
        <w:t>comprised of</w:t>
      </w:r>
      <w:r w:rsidRPr="00B85D62">
        <w:rPr>
          <w:rFonts w:cs="Arial"/>
        </w:rPr>
        <w:t xml:space="preserve"> 5,152 with documented diagnosis of FH in the </w:t>
      </w:r>
      <w:r w:rsidR="4786EF5F" w:rsidRPr="00B85D62">
        <w:rPr>
          <w:rFonts w:cs="Arial"/>
        </w:rPr>
        <w:t>electronic health records</w:t>
      </w:r>
      <w:r w:rsidRPr="00B85D62">
        <w:rPr>
          <w:rFonts w:cs="Arial"/>
        </w:rPr>
        <w:t>, and 8,945 patients who had no documented FH diagnosis but had the clinical phenotype of FH based on the S</w:t>
      </w:r>
      <w:r w:rsidR="65C99029" w:rsidRPr="00B85D62">
        <w:rPr>
          <w:rFonts w:cs="Arial"/>
        </w:rPr>
        <w:t>imon-</w:t>
      </w:r>
      <w:r w:rsidRPr="00B85D62">
        <w:rPr>
          <w:rFonts w:cs="Arial"/>
        </w:rPr>
        <w:t>B</w:t>
      </w:r>
      <w:r w:rsidR="2CAD927A" w:rsidRPr="00B85D62">
        <w:rPr>
          <w:rFonts w:cs="Arial"/>
        </w:rPr>
        <w:t>roome</w:t>
      </w:r>
      <w:r w:rsidRPr="00B85D62">
        <w:rPr>
          <w:rFonts w:cs="Arial"/>
        </w:rPr>
        <w:t xml:space="preserve"> or DLCN diagnostic criteria for definite FH. From the 5,152 patients with a documented</w:t>
      </w:r>
      <w:r w:rsidR="60C981EA" w:rsidRPr="00B85D62">
        <w:rPr>
          <w:rFonts w:cs="Arial"/>
        </w:rPr>
        <w:t xml:space="preserve"> </w:t>
      </w:r>
      <w:r w:rsidRPr="00B85D62">
        <w:rPr>
          <w:rFonts w:cs="Arial"/>
        </w:rPr>
        <w:t>diagnos</w:t>
      </w:r>
      <w:r w:rsidR="00735EC7" w:rsidRPr="00B85D62">
        <w:rPr>
          <w:rFonts w:cs="Arial"/>
        </w:rPr>
        <w:t>i</w:t>
      </w:r>
      <w:r w:rsidRPr="00B85D62">
        <w:rPr>
          <w:rFonts w:cs="Arial"/>
        </w:rPr>
        <w:t>s of FH, 3,182 patients had an eligible linkage to Hospital Episodes Statistics (HES). For the epidemiological survival analysis, we utilised all patients regardless of linkage eligibility to HES (5,152 documented diagnoses and 8,945 patients who had a clinical phenotype and no documented diagnosis)</w:t>
      </w:r>
      <w:r w:rsidR="004372AB" w:rsidRPr="00B85D62">
        <w:rPr>
          <w:rFonts w:cs="Arial"/>
          <w:noProof/>
          <w:color w:val="2B579A"/>
          <w:shd w:val="clear" w:color="auto" w:fill="E6E6E6"/>
          <w:vertAlign w:val="superscript"/>
        </w:rPr>
        <w:t>95, 96</w:t>
      </w:r>
      <w:r w:rsidR="00B85D62" w:rsidRPr="00B85D62">
        <w:rPr>
          <w:rFonts w:cs="Arial"/>
          <w:color w:val="00B0F0"/>
        </w:rPr>
        <w:t>.</w:t>
      </w:r>
    </w:p>
    <w:p w14:paraId="160B1C11" w14:textId="25375063" w:rsidR="00201D4F" w:rsidRPr="00B85D62" w:rsidRDefault="0B4BB477" w:rsidP="006C7E71">
      <w:pPr>
        <w:pStyle w:val="Heading2"/>
      </w:pPr>
      <w:bookmarkStart w:id="78" w:name="_Toc61283503"/>
      <w:bookmarkStart w:id="79" w:name="_Toc76461042"/>
      <w:bookmarkStart w:id="80" w:name="_Toc107157457"/>
      <w:r w:rsidRPr="00B85D62">
        <w:t>Simon-Broome FH Disease Register</w:t>
      </w:r>
      <w:bookmarkEnd w:id="78"/>
      <w:bookmarkEnd w:id="79"/>
      <w:bookmarkEnd w:id="80"/>
    </w:p>
    <w:p w14:paraId="43406B21" w14:textId="77777777" w:rsidR="00201D4F" w:rsidRPr="00B85D62" w:rsidRDefault="00201D4F" w:rsidP="0066232B">
      <w:pPr>
        <w:rPr>
          <w:rFonts w:cs="Arial"/>
        </w:rPr>
      </w:pPr>
      <w:r w:rsidRPr="00B85D62">
        <w:rPr>
          <w:rFonts w:cs="Arial"/>
        </w:rPr>
        <w:t>The Simon Broome familial hypercholesterolaemia (FH) register comprises 3,553 individuals with FH, recruited between 01 January 1980 and 20 December 2010, from 21 participating lipid clinics. Patients were invited to the registry after being referred by either their general practitioners or hospital specialists. The lipid clinics participating in the Simon Broome register were from Glasgow, Manchester, Oxford and London.</w:t>
      </w:r>
    </w:p>
    <w:p w14:paraId="29EAC9A6" w14:textId="3D703277" w:rsidR="00B85D62" w:rsidRPr="00B85D62" w:rsidRDefault="13F421EA" w:rsidP="0066232B">
      <w:pPr>
        <w:rPr>
          <w:rFonts w:cs="Arial"/>
        </w:rPr>
      </w:pPr>
      <w:r w:rsidRPr="00B85D62">
        <w:rPr>
          <w:rFonts w:cs="Arial"/>
        </w:rPr>
        <w:t xml:space="preserve">Information recorded on registration into the Simon Broome </w:t>
      </w:r>
      <w:r w:rsidR="4C196AEF" w:rsidRPr="00B85D62">
        <w:rPr>
          <w:rFonts w:cs="Arial"/>
        </w:rPr>
        <w:t xml:space="preserve">(SB) </w:t>
      </w:r>
      <w:r w:rsidRPr="00B85D62">
        <w:rPr>
          <w:rFonts w:cs="Arial"/>
        </w:rPr>
        <w:t xml:space="preserve">register included demographic and clinical characteristics such as age, smoking status, alcohol consumption, past medical history, use of lipid-lowering, </w:t>
      </w:r>
      <w:r w:rsidRPr="00B85D62">
        <w:rPr>
          <w:rFonts w:cs="Arial"/>
        </w:rPr>
        <w:lastRenderedPageBreak/>
        <w:t>antihypertensive and diabetic treatments, family history</w:t>
      </w:r>
      <w:r w:rsidR="001047D4" w:rsidRPr="00B85D62">
        <w:rPr>
          <w:rFonts w:cs="Arial"/>
        </w:rPr>
        <w:t>,</w:t>
      </w:r>
      <w:r w:rsidRPr="00B85D62">
        <w:rPr>
          <w:rFonts w:cs="Arial"/>
        </w:rPr>
        <w:t xml:space="preserve"> as well as clinical examination findings such as blood pressure, body mass index, tendon xanthomas, xanthelasma and arcus cornealis</w:t>
      </w:r>
      <w:r w:rsidR="004372AB" w:rsidRPr="00B85D62">
        <w:rPr>
          <w:rFonts w:cs="Arial"/>
          <w:noProof/>
          <w:vertAlign w:val="superscript"/>
        </w:rPr>
        <w:t>97</w:t>
      </w:r>
      <w:r w:rsidRPr="00B85D62">
        <w:rPr>
          <w:rFonts w:cs="Arial"/>
        </w:rPr>
        <w:t xml:space="preserve">. A fasting blood specimen taken at the registration visit determined serum total cholesterol, triglycerides and </w:t>
      </w:r>
      <w:r w:rsidR="4E996EC3" w:rsidRPr="00B85D62">
        <w:rPr>
          <w:rFonts w:cs="Arial"/>
        </w:rPr>
        <w:t>high-density</w:t>
      </w:r>
      <w:r w:rsidRPr="00B85D62">
        <w:rPr>
          <w:rFonts w:cs="Arial"/>
        </w:rPr>
        <w:t xml:space="preserve"> lipoprotein</w:t>
      </w:r>
      <w:r w:rsidR="004372AB" w:rsidRPr="00B85D62">
        <w:rPr>
          <w:rFonts w:cs="Arial"/>
          <w:noProof/>
          <w:color w:val="2B579A"/>
          <w:shd w:val="clear" w:color="auto" w:fill="E6E6E6"/>
          <w:vertAlign w:val="superscript"/>
        </w:rPr>
        <w:t>6, 98, 99</w:t>
      </w:r>
      <w:r w:rsidRPr="00B85D62">
        <w:rPr>
          <w:rFonts w:cs="Arial"/>
        </w:rPr>
        <w:t>. Serum LDL-C concentrations were calculated using the Friedewald equation</w:t>
      </w:r>
      <w:r w:rsidR="00F80015" w:rsidRPr="00B85D62">
        <w:rPr>
          <w:rFonts w:cs="Arial"/>
          <w:noProof/>
          <w:vertAlign w:val="superscript"/>
        </w:rPr>
        <w:t>6</w:t>
      </w:r>
      <w:r w:rsidRPr="00B85D62">
        <w:rPr>
          <w:rFonts w:cs="Arial"/>
        </w:rPr>
        <w:t>. A diagnosis of definite FH was made if (a) total cholesterol concentration (either pre-treatment or highest on treatment) was above 7.5mmol/l in adults over 16 years or the LDL-</w:t>
      </w:r>
      <w:r w:rsidR="716D36AB" w:rsidRPr="00B85D62">
        <w:rPr>
          <w:rFonts w:cs="Arial"/>
        </w:rPr>
        <w:t>C</w:t>
      </w:r>
      <w:r w:rsidRPr="00B85D62">
        <w:rPr>
          <w:rFonts w:cs="Arial"/>
        </w:rPr>
        <w:t xml:space="preserve"> concentration was above 4.9mmol/l, plus (b) tendon xanthomas in the patient or a first or second degree relative. A possible diagnosis of FH required (a) above, plus one of the following: family history of myocardial infarction before age 50 in second degree relative or before age 60 in first degree relative, or a family history of raised total cholesterol concentration above 7.5mmol/l in first or second degree relative. The presence of tendon xanthoma was determined by examination and palpation of the dorsum of the hands, elbows, pretibial tuberosities, dorsum of the feet and Achilles tendons by the physicians in the participating clinics</w:t>
      </w:r>
      <w:r w:rsidR="00C35B5E" w:rsidRPr="00B85D62">
        <w:rPr>
          <w:rFonts w:cs="Arial"/>
          <w:noProof/>
          <w:color w:val="2B579A"/>
          <w:shd w:val="clear" w:color="auto" w:fill="E6E6E6"/>
          <w:vertAlign w:val="superscript"/>
        </w:rPr>
        <w:t>6, 98</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00</w:t>
      </w:r>
      <w:r w:rsidR="15067151" w:rsidRPr="00B85D62">
        <w:rPr>
          <w:rFonts w:cs="Arial"/>
        </w:rPr>
        <w:t xml:space="preserve">. </w:t>
      </w:r>
      <w:r w:rsidRPr="00B85D62">
        <w:rPr>
          <w:rFonts w:cs="Arial"/>
        </w:rPr>
        <w:t xml:space="preserve">Registered patients in the Simon Broome register were linked with the National Health Service Central Registry, which is part of the Office for National Statistics, for ascertainment of death records including underlying cause and date of death, coded using the International Classification of Disease (ICD) tenth revision. Because of the historical nature of the Register, </w:t>
      </w:r>
      <w:r w:rsidR="51FC0CE9" w:rsidRPr="00B85D62">
        <w:rPr>
          <w:rFonts w:cs="Arial"/>
        </w:rPr>
        <w:t>genetic</w:t>
      </w:r>
      <w:r w:rsidRPr="00B85D62">
        <w:rPr>
          <w:rFonts w:cs="Arial"/>
        </w:rPr>
        <w:t xml:space="preserve"> testing for FH had only been carried out in the most recent recruits, with a mutation documented in 570 patients.</w:t>
      </w:r>
    </w:p>
    <w:p w14:paraId="438F78C3" w14:textId="799A2783" w:rsidR="00201D4F" w:rsidRPr="00B85D62" w:rsidRDefault="0B4BB477" w:rsidP="006C7E71">
      <w:pPr>
        <w:pStyle w:val="Heading2"/>
        <w:rPr>
          <w:rFonts w:eastAsia="Yu Gothic Light"/>
        </w:rPr>
      </w:pPr>
      <w:bookmarkStart w:id="81" w:name="_Toc61283504"/>
      <w:bookmarkStart w:id="82" w:name="_Toc76461043"/>
      <w:bookmarkStart w:id="83" w:name="_Toc107157458"/>
      <w:r w:rsidRPr="00B85D62">
        <w:t xml:space="preserve">Hospital Episodes Statistics &amp; </w:t>
      </w:r>
      <w:r w:rsidR="05651C13" w:rsidRPr="00B85D62">
        <w:t xml:space="preserve">ONS </w:t>
      </w:r>
      <w:r w:rsidRPr="00B85D62">
        <w:t>Mortality Statistics</w:t>
      </w:r>
      <w:bookmarkEnd w:id="81"/>
      <w:bookmarkEnd w:id="82"/>
      <w:bookmarkEnd w:id="83"/>
    </w:p>
    <w:p w14:paraId="57BF60B1" w14:textId="12E718F6" w:rsidR="00B85D62" w:rsidRPr="00B85D62" w:rsidRDefault="00201D4F" w:rsidP="0066232B">
      <w:pPr>
        <w:rPr>
          <w:rFonts w:cs="Arial"/>
        </w:rPr>
      </w:pPr>
      <w:r w:rsidRPr="00B85D62">
        <w:rPr>
          <w:rFonts w:cs="Arial"/>
        </w:rPr>
        <w:t xml:space="preserve">Hospital Episodes Statistics (HES) contains details on admissions, A&amp;E attendances and outpatient appointments at NHS hospitals in England. HES </w:t>
      </w:r>
      <w:r w:rsidRPr="00B85D62">
        <w:rPr>
          <w:rFonts w:cs="Arial"/>
          <w:highlight w:val="magenta"/>
        </w:rPr>
        <w:t>data</w:t>
      </w:r>
      <w:r w:rsidRPr="00B85D62">
        <w:rPr>
          <w:rFonts w:cs="Arial"/>
        </w:rPr>
        <w:t xml:space="preserve"> covers all NHS Clinical Commissioning Groups (CCGs) in England, containing a wide range of information about individual patients, including clinical information about diagnoses and operations, patients</w:t>
      </w:r>
      <w:r w:rsidR="00B85D62" w:rsidRPr="00B85D62">
        <w:rPr>
          <w:rFonts w:cs="Arial"/>
        </w:rPr>
        <w:t>’</w:t>
      </w:r>
      <w:r w:rsidRPr="00B85D62">
        <w:rPr>
          <w:rFonts w:cs="Arial"/>
        </w:rPr>
        <w:t xml:space="preserve"> information (age, gender, ethnicity), administrative </w:t>
      </w:r>
      <w:r w:rsidRPr="00B85D62">
        <w:rPr>
          <w:rFonts w:cs="Arial"/>
          <w:highlight w:val="magenta"/>
        </w:rPr>
        <w:t>data</w:t>
      </w:r>
      <w:r w:rsidRPr="00B85D62">
        <w:rPr>
          <w:rFonts w:cs="Arial"/>
        </w:rPr>
        <w:t xml:space="preserve"> (dates, methods of admission, discharge), geographical information (where patients are treated and the area which they reside).</w:t>
      </w:r>
    </w:p>
    <w:p w14:paraId="236E6C76" w14:textId="63C5ED77" w:rsidR="00B85D62" w:rsidRPr="00B85D62" w:rsidRDefault="00201D4F" w:rsidP="0066232B">
      <w:pPr>
        <w:rPr>
          <w:rFonts w:cs="Arial"/>
        </w:rPr>
      </w:pPr>
      <w:r w:rsidRPr="00B85D62">
        <w:rPr>
          <w:rFonts w:cs="Arial"/>
        </w:rPr>
        <w:t xml:space="preserve">To explore long-term mortality and morbidity outcomes and effects of treatment, the two above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s (CPRD and SB Registry) were subsequently linked to three HES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s (HES Admitted Patient Care</w:t>
      </w:r>
      <w:r w:rsidR="00B85D62" w:rsidRPr="00B85D62">
        <w:rPr>
          <w:rFonts w:cs="Arial"/>
          <w:color w:val="00B0F0"/>
        </w:rPr>
        <w:t xml:space="preserve"> – </w:t>
      </w:r>
      <w:r w:rsidRPr="00B85D62">
        <w:rPr>
          <w:rFonts w:cs="Arial"/>
        </w:rPr>
        <w:t>APC, HES Outpatient Care</w:t>
      </w:r>
      <w:r w:rsidR="00B85D62" w:rsidRPr="00B85D62">
        <w:rPr>
          <w:rFonts w:cs="Arial"/>
          <w:color w:val="00B0F0"/>
        </w:rPr>
        <w:t xml:space="preserve"> – </w:t>
      </w:r>
      <w:r w:rsidRPr="00B85D62">
        <w:rPr>
          <w:rFonts w:cs="Arial"/>
        </w:rPr>
        <w:t xml:space="preserve">OC and HES Accident &amp; Emergency – A&amp;E). In total, linkage to HES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s was possible for 3,182 CPRD patients with a clinical diagnosis of FH, and 2,997 participants from the SB registry had a linked record in at least one of the HES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s. HES APC covered a time period from March 1997 to April 2018; HES OP covered time period from April 2003 to April 2018; and HES A&amp;E covered a time period from April 2007 to April 2018.</w:t>
      </w:r>
    </w:p>
    <w:p w14:paraId="7AE5D181" w14:textId="557F5A4B" w:rsidR="00B85D62" w:rsidRPr="00B85D62" w:rsidRDefault="2E2C3347" w:rsidP="0066232B">
      <w:pPr>
        <w:rPr>
          <w:rFonts w:cs="Arial"/>
        </w:rPr>
      </w:pPr>
      <w:r w:rsidRPr="00B85D62">
        <w:rPr>
          <w:rFonts w:cs="Arial"/>
        </w:rPr>
        <w:t>Linkage to HES and ONS mortality records were approved by NHS digital (DARS ref: NI</w:t>
      </w:r>
      <w:r w:rsidR="00B85D62" w:rsidRPr="00B85D62">
        <w:rPr>
          <w:rFonts w:cs="Arial"/>
          <w:color w:val="00B0F0"/>
        </w:rPr>
        <w:t>C</w:t>
      </w:r>
      <w:r w:rsidR="00B85D62" w:rsidRPr="00B85D62">
        <w:rPr>
          <w:rFonts w:cs="Arial"/>
          <w:color w:val="00B0F0"/>
        </w:rPr>
        <w:t>-</w:t>
      </w:r>
      <w:r w:rsidR="00B85D62" w:rsidRPr="00B85D62">
        <w:rPr>
          <w:rFonts w:cs="Arial"/>
          <w:color w:val="00B0F0"/>
        </w:rPr>
        <w:t>1</w:t>
      </w:r>
      <w:r w:rsidRPr="00B85D62">
        <w:rPr>
          <w:rFonts w:cs="Arial"/>
        </w:rPr>
        <w:t>15405) and Confidentiality Advisory Committee (CAG ref: 18/CAG/0007).</w:t>
      </w:r>
    </w:p>
    <w:p w14:paraId="38C6FA79" w14:textId="52680071" w:rsidR="00201D4F" w:rsidRPr="00B85D62" w:rsidRDefault="150DEC18" w:rsidP="006C7E71">
      <w:pPr>
        <w:pStyle w:val="Heading2"/>
      </w:pPr>
      <w:bookmarkStart w:id="84" w:name="_Toc61283505"/>
      <w:bookmarkStart w:id="85" w:name="_Toc76461044"/>
      <w:bookmarkStart w:id="86" w:name="_Toc107157459"/>
      <w:r w:rsidRPr="00B85D62">
        <w:t xml:space="preserve">PASS Wales &amp; Wessex Cascade Service </w:t>
      </w:r>
      <w:r w:rsidRPr="00B85D62">
        <w:rPr>
          <w:highlight w:val="magenta"/>
        </w:rPr>
        <w:t>Data</w:t>
      </w:r>
      <w:bookmarkEnd w:id="84"/>
      <w:bookmarkEnd w:id="85"/>
      <w:bookmarkEnd w:id="86"/>
    </w:p>
    <w:p w14:paraId="6237BFFD" w14:textId="53BF7129" w:rsidR="00B85D62" w:rsidRPr="00B85D62" w:rsidRDefault="3EA26A9E" w:rsidP="0066232B">
      <w:pPr>
        <w:rPr>
          <w:rFonts w:eastAsiaTheme="minorEastAsia" w:cs="Arial"/>
        </w:rPr>
      </w:pPr>
      <w:r w:rsidRPr="00B85D62">
        <w:rPr>
          <w:rFonts w:eastAsiaTheme="minorEastAsia" w:cs="Arial"/>
        </w:rPr>
        <w:t xml:space="preserve">The Wales PASS database comprised 2,618 indexes and 1,205 relatives that have undergone FH genetic testing. These are </w:t>
      </w:r>
      <w:r w:rsidR="00B85D62" w:rsidRPr="00B85D62">
        <w:rPr>
          <w:rFonts w:eastAsiaTheme="minorEastAsia" w:cs="Arial"/>
          <w:color w:val="00B0F0"/>
        </w:rPr>
        <w:t>patients</w:t>
      </w:r>
      <w:r w:rsidR="00B85D62" w:rsidRPr="00B85D62">
        <w:rPr>
          <w:rFonts w:eastAsiaTheme="minorEastAsia" w:cs="Arial"/>
          <w:color w:val="00B0F0"/>
        </w:rPr>
        <w:t xml:space="preserve"> who</w:t>
      </w:r>
      <w:r w:rsidRPr="00B85D62">
        <w:rPr>
          <w:rFonts w:eastAsiaTheme="minorEastAsia" w:cs="Arial"/>
        </w:rPr>
        <w:t xml:space="preserve"> have been tested as part of the All Wales FH service which commenced in 2010. The </w:t>
      </w:r>
      <w:r w:rsidR="00B85D62" w:rsidRPr="00B85D62">
        <w:rPr>
          <w:rFonts w:eastAsiaTheme="minorEastAsia" w:cs="Arial"/>
          <w:color w:val="00B0F0"/>
          <w:highlight w:val="magenta"/>
        </w:rPr>
        <w:t>data</w:t>
      </w:r>
      <w:r w:rsidR="00B85D62" w:rsidRPr="00B85D62">
        <w:rPr>
          <w:rFonts w:eastAsiaTheme="minorEastAsia" w:cs="Arial"/>
          <w:color w:val="00B0F0"/>
        </w:rPr>
        <w:t xml:space="preserve"> are</w:t>
      </w:r>
      <w:r w:rsidRPr="00B85D62">
        <w:rPr>
          <w:rFonts w:eastAsiaTheme="minorEastAsia" w:cs="Arial"/>
        </w:rPr>
        <w:t xml:space="preserve"> held within NHS Wales and hosted by Cardiff and Vale University Health Board. PASS </w:t>
      </w:r>
      <w:r w:rsidR="00B85D62" w:rsidRPr="00B85D62">
        <w:rPr>
          <w:rFonts w:eastAsiaTheme="minorEastAsia" w:cs="Arial"/>
          <w:color w:val="00B0F0"/>
          <w:highlight w:val="magenta"/>
        </w:rPr>
        <w:t>data</w:t>
      </w:r>
      <w:r w:rsidR="00B85D62" w:rsidRPr="00B85D62">
        <w:rPr>
          <w:rFonts w:eastAsiaTheme="minorEastAsia" w:cs="Arial"/>
          <w:color w:val="00B0F0"/>
        </w:rPr>
        <w:t xml:space="preserve"> were</w:t>
      </w:r>
      <w:r w:rsidRPr="00B85D62">
        <w:rPr>
          <w:rFonts w:eastAsiaTheme="minorEastAsia" w:cs="Arial"/>
        </w:rPr>
        <w:t xml:space="preserve"> anonymised by the PASS </w:t>
      </w:r>
      <w:r w:rsidRPr="00B85D62">
        <w:rPr>
          <w:rFonts w:eastAsiaTheme="minorEastAsia" w:cs="Arial"/>
          <w:highlight w:val="magenta"/>
        </w:rPr>
        <w:t>data</w:t>
      </w:r>
      <w:r w:rsidRPr="00B85D62">
        <w:rPr>
          <w:rFonts w:eastAsiaTheme="minorEastAsia" w:cs="Arial"/>
        </w:rPr>
        <w:t xml:space="preserve"> guardian (Collaborator Kate Haralambos).</w:t>
      </w:r>
      <w:r w:rsidRPr="00B85D62">
        <w:rPr>
          <w:rFonts w:eastAsiaTheme="minorEastAsia" w:cs="Arial"/>
          <w:b/>
          <w:bCs/>
          <w:i/>
          <w:iCs/>
        </w:rPr>
        <w:t xml:space="preserve"> </w:t>
      </w:r>
      <w:r w:rsidRPr="00B85D62">
        <w:rPr>
          <w:rFonts w:eastAsiaTheme="minorEastAsia" w:cs="Arial"/>
        </w:rPr>
        <w:t>Patients are from all health boards in Wales and those across English-Welsh border.</w:t>
      </w:r>
    </w:p>
    <w:p w14:paraId="51FF884A" w14:textId="362C69DD" w:rsidR="00201D4F" w:rsidRPr="00B85D62" w:rsidRDefault="7D5728B3" w:rsidP="0066232B">
      <w:pPr>
        <w:rPr>
          <w:rFonts w:eastAsiaTheme="minorEastAsia" w:cs="Arial"/>
          <w:color w:val="FF0000"/>
        </w:rPr>
      </w:pPr>
      <w:r w:rsidRPr="00B85D62">
        <w:rPr>
          <w:rFonts w:eastAsiaTheme="minorEastAsia" w:cs="Arial"/>
        </w:rPr>
        <w:t xml:space="preserve">The English PASS database contains the Wessex </w:t>
      </w:r>
      <w:r w:rsidRPr="00B85D62">
        <w:rPr>
          <w:rFonts w:eastAsiaTheme="minorEastAsia" w:cs="Arial"/>
          <w:highlight w:val="magenta"/>
        </w:rPr>
        <w:t>data</w:t>
      </w:r>
      <w:r w:rsidRPr="00B85D62">
        <w:rPr>
          <w:rFonts w:eastAsiaTheme="minorEastAsia" w:cs="Arial"/>
        </w:rPr>
        <w:t xml:space="preserve">. </w:t>
      </w:r>
      <w:r w:rsidR="00B85D62" w:rsidRPr="00B85D62">
        <w:rPr>
          <w:rFonts w:eastAsiaTheme="minorEastAsia" w:cs="Arial"/>
          <w:color w:val="00B0F0"/>
        </w:rPr>
        <w:t>T</w:t>
      </w:r>
      <w:r w:rsidR="00B85D62" w:rsidRPr="00B85D62">
        <w:rPr>
          <w:rFonts w:eastAsiaTheme="minorEastAsia" w:cs="Arial"/>
          <w:color w:val="00B0F0"/>
        </w:rPr>
        <w:t xml:space="preserve">hese </w:t>
      </w:r>
      <w:r w:rsidR="00B85D62" w:rsidRPr="00B85D62">
        <w:rPr>
          <w:rFonts w:eastAsiaTheme="minorEastAsia" w:cs="Arial"/>
          <w:color w:val="00B0F0"/>
          <w:highlight w:val="magenta"/>
        </w:rPr>
        <w:t>data</w:t>
      </w:r>
      <w:r w:rsidRPr="00B85D62">
        <w:rPr>
          <w:rFonts w:eastAsiaTheme="minorEastAsia" w:cs="Arial"/>
        </w:rPr>
        <w:t xml:space="preserve"> comprises 1,116 indexes and 501 relatives that have undergone FH genetic testing. The University Hospital Southampton NHS Foundation Trust is the </w:t>
      </w:r>
      <w:r w:rsidRPr="00B85D62">
        <w:rPr>
          <w:rFonts w:eastAsiaTheme="minorEastAsia" w:cs="Arial"/>
          <w:highlight w:val="magenta"/>
        </w:rPr>
        <w:t>data</w:t>
      </w:r>
      <w:r w:rsidRPr="00B85D62">
        <w:rPr>
          <w:rFonts w:eastAsiaTheme="minorEastAsia" w:cs="Arial"/>
        </w:rPr>
        <w:t xml:space="preserve"> controller for the Wessex PASS </w:t>
      </w:r>
      <w:r w:rsidRPr="00B85D62">
        <w:rPr>
          <w:rFonts w:eastAsiaTheme="minorEastAsia" w:cs="Arial"/>
          <w:highlight w:val="magenta"/>
        </w:rPr>
        <w:t>data</w:t>
      </w:r>
      <w:r w:rsidRPr="00B85D62">
        <w:rPr>
          <w:rFonts w:eastAsiaTheme="minorEastAsia" w:cs="Arial"/>
        </w:rPr>
        <w:t>. The Wessex service covered the following Clinical Commissioning Groups (CCGs): Fareham &amp; Gosport, Isle of Wight, N</w:t>
      </w:r>
      <w:r w:rsidR="6D6A93DB" w:rsidRPr="00B85D62">
        <w:rPr>
          <w:rFonts w:eastAsiaTheme="minorEastAsia" w:cs="Arial"/>
        </w:rPr>
        <w:t>orth</w:t>
      </w:r>
      <w:r w:rsidRPr="00B85D62">
        <w:rPr>
          <w:rFonts w:eastAsiaTheme="minorEastAsia" w:cs="Arial"/>
        </w:rPr>
        <w:t xml:space="preserve"> &amp; W</w:t>
      </w:r>
      <w:r w:rsidR="1CAE20D8" w:rsidRPr="00B85D62">
        <w:rPr>
          <w:rFonts w:eastAsiaTheme="minorEastAsia" w:cs="Arial"/>
        </w:rPr>
        <w:t>est</w:t>
      </w:r>
      <w:r w:rsidRPr="00B85D62">
        <w:rPr>
          <w:rFonts w:eastAsiaTheme="minorEastAsia" w:cs="Arial"/>
        </w:rPr>
        <w:t xml:space="preserve"> Reading, N</w:t>
      </w:r>
      <w:r w:rsidR="3184A2DB" w:rsidRPr="00B85D62">
        <w:rPr>
          <w:rFonts w:eastAsiaTheme="minorEastAsia" w:cs="Arial"/>
        </w:rPr>
        <w:t xml:space="preserve">orth </w:t>
      </w:r>
      <w:r w:rsidRPr="00B85D62">
        <w:rPr>
          <w:rFonts w:eastAsiaTheme="minorEastAsia" w:cs="Arial"/>
        </w:rPr>
        <w:t>E</w:t>
      </w:r>
      <w:r w:rsidR="15707BDC" w:rsidRPr="00B85D62">
        <w:rPr>
          <w:rFonts w:eastAsiaTheme="minorEastAsia" w:cs="Arial"/>
        </w:rPr>
        <w:t>ast</w:t>
      </w:r>
      <w:r w:rsidRPr="00B85D62">
        <w:rPr>
          <w:rFonts w:eastAsiaTheme="minorEastAsia" w:cs="Arial"/>
        </w:rPr>
        <w:t xml:space="preserve"> Hants &amp; Farnham, Newbury &amp; District, North Hampshire, Portsmouth, SE Hampshire, South Reading, Southampton, West Hampshire, </w:t>
      </w:r>
      <w:r w:rsidR="001047D4" w:rsidRPr="00B85D62">
        <w:rPr>
          <w:rFonts w:eastAsiaTheme="minorEastAsia" w:cs="Arial"/>
        </w:rPr>
        <w:t>and Wokingham</w:t>
      </w:r>
      <w:r w:rsidRPr="00B85D62">
        <w:rPr>
          <w:rFonts w:eastAsiaTheme="minorEastAsia" w:cs="Arial"/>
        </w:rPr>
        <w:t>.</w:t>
      </w:r>
      <w:r w:rsidRPr="00B85D62">
        <w:rPr>
          <w:rFonts w:eastAsiaTheme="minorEastAsia" w:cs="Arial"/>
          <w:color w:val="FF0000"/>
        </w:rPr>
        <w:t xml:space="preserve"> </w:t>
      </w:r>
    </w:p>
    <w:p w14:paraId="52323CBD" w14:textId="77777777" w:rsidR="00B85D62" w:rsidRPr="00B85D62" w:rsidRDefault="00B85D62" w:rsidP="0066232B">
      <w:pPr>
        <w:rPr>
          <w:rFonts w:eastAsiaTheme="minorEastAsia" w:cs="Arial"/>
        </w:rPr>
      </w:pPr>
    </w:p>
    <w:p w14:paraId="7A376E36" w14:textId="636C729B" w:rsidR="00B85D62" w:rsidRPr="00B85D62" w:rsidRDefault="3EA26A9E" w:rsidP="0066232B">
      <w:pPr>
        <w:rPr>
          <w:rFonts w:eastAsiaTheme="minorEastAsia" w:cs="Arial"/>
        </w:rPr>
      </w:pPr>
      <w:r w:rsidRPr="00B85D62">
        <w:rPr>
          <w:rFonts w:eastAsiaTheme="minorEastAsia" w:cs="Arial"/>
        </w:rPr>
        <w:t xml:space="preserve">In both Wales and Wessex services, index patients were entered onto PASS when a referral is received for genetic testing by </w:t>
      </w:r>
      <w:r w:rsidRPr="00B85D62">
        <w:rPr>
          <w:rFonts w:eastAsiaTheme="minorEastAsia" w:cs="Arial"/>
          <w:highlight w:val="magenta"/>
        </w:rPr>
        <w:t>an F</w:t>
      </w:r>
      <w:r w:rsidRPr="00B85D62">
        <w:rPr>
          <w:rFonts w:eastAsiaTheme="minorEastAsia" w:cs="Arial"/>
        </w:rPr>
        <w:t xml:space="preserve">H nurse. This means that both </w:t>
      </w:r>
      <w:r w:rsidR="00B85D62" w:rsidRPr="00B85D62">
        <w:rPr>
          <w:rFonts w:eastAsiaTheme="minorEastAsia" w:cs="Arial"/>
          <w:color w:val="00B0F0"/>
          <w:highlight w:val="magenta"/>
        </w:rPr>
        <w:t>data</w:t>
      </w:r>
      <w:r w:rsidR="00B85D62" w:rsidRPr="00B85D62">
        <w:rPr>
          <w:rFonts w:eastAsiaTheme="minorEastAsia" w:cs="Arial"/>
          <w:color w:val="00B0F0"/>
        </w:rPr>
        <w:t xml:space="preserve"> set</w:t>
      </w:r>
      <w:r w:rsidRPr="00B85D62">
        <w:rPr>
          <w:rFonts w:eastAsiaTheme="minorEastAsia" w:cs="Arial"/>
        </w:rPr>
        <w:t>s are made up of index patients with pathogenic variants, variants of uncertain significance (VUS) and patients with no variants identified.</w:t>
      </w:r>
    </w:p>
    <w:p w14:paraId="055D15AA" w14:textId="77777777" w:rsidR="00B85D62" w:rsidRPr="00B85D62" w:rsidRDefault="009E34A2" w:rsidP="00AE7F74">
      <w:pPr>
        <w:rPr>
          <w:rFonts w:eastAsiaTheme="minorEastAsia"/>
          <w:lang w:val="en"/>
        </w:rPr>
      </w:pPr>
      <w:r w:rsidRPr="00B85D62">
        <w:rPr>
          <w:rFonts w:eastAsiaTheme="minorEastAsia"/>
          <w:lang w:val="en"/>
        </w:rPr>
        <w:t xml:space="preserve">In both services, relatives were added to the pedigrees of index cases where a pathogenic variant is identified. In Wessex, the </w:t>
      </w:r>
      <w:r w:rsidR="00BA43D5" w:rsidRPr="00B85D62">
        <w:rPr>
          <w:rFonts w:eastAsiaTheme="minorEastAsia"/>
          <w:lang w:val="en"/>
        </w:rPr>
        <w:t>approach to</w:t>
      </w:r>
      <w:r w:rsidRPr="00B85D62">
        <w:rPr>
          <w:rFonts w:eastAsiaTheme="minorEastAsia"/>
          <w:lang w:val="en"/>
        </w:rPr>
        <w:t xml:space="preserve"> contact</w:t>
      </w:r>
      <w:r w:rsidR="00BA43D5" w:rsidRPr="00B85D62">
        <w:rPr>
          <w:rFonts w:eastAsiaTheme="minorEastAsia"/>
          <w:lang w:val="en"/>
        </w:rPr>
        <w:t xml:space="preserve">ing relatives </w:t>
      </w:r>
      <w:r w:rsidRPr="00B85D62">
        <w:rPr>
          <w:rFonts w:eastAsiaTheme="minorEastAsia"/>
          <w:lang w:val="en"/>
        </w:rPr>
        <w:t xml:space="preserve">for cascade testing is </w:t>
      </w:r>
      <w:r w:rsidR="00BA43D5" w:rsidRPr="00B85D62">
        <w:rPr>
          <w:rFonts w:eastAsiaTheme="minorEastAsia"/>
          <w:lang w:val="en"/>
        </w:rPr>
        <w:t>i</w:t>
      </w:r>
      <w:r w:rsidRPr="00B85D62">
        <w:rPr>
          <w:rFonts w:eastAsiaTheme="minorEastAsia"/>
          <w:lang w:val="en"/>
        </w:rPr>
        <w:t xml:space="preserve">ndirect, and in Wales the index is given a choice of </w:t>
      </w:r>
      <w:r w:rsidR="00BA43D5" w:rsidRPr="00B85D62">
        <w:rPr>
          <w:rFonts w:eastAsiaTheme="minorEastAsia"/>
          <w:lang w:val="en"/>
        </w:rPr>
        <w:t>either the direct or i</w:t>
      </w:r>
      <w:r w:rsidRPr="00B85D62">
        <w:rPr>
          <w:rFonts w:eastAsiaTheme="minorEastAsia"/>
          <w:lang w:val="en"/>
        </w:rPr>
        <w:t xml:space="preserve">ndirect </w:t>
      </w:r>
      <w:r w:rsidR="00BA43D5" w:rsidRPr="00B85D62">
        <w:rPr>
          <w:rFonts w:eastAsiaTheme="minorEastAsia"/>
          <w:lang w:val="en"/>
        </w:rPr>
        <w:t>approach</w:t>
      </w:r>
      <w:r w:rsidRPr="00B85D62">
        <w:rPr>
          <w:rFonts w:eastAsiaTheme="minorEastAsia"/>
          <w:lang w:val="en"/>
        </w:rPr>
        <w:t>. When a relative is referred to cascade testing following direct contact or an indirect</w:t>
      </w:r>
      <w:r w:rsidR="00BA43D5" w:rsidRPr="00B85D62">
        <w:rPr>
          <w:rFonts w:eastAsiaTheme="minorEastAsia"/>
          <w:lang w:val="en"/>
        </w:rPr>
        <w:t xml:space="preserve">ly through a </w:t>
      </w:r>
      <w:r w:rsidRPr="00B85D62">
        <w:rPr>
          <w:rFonts w:eastAsiaTheme="minorEastAsia"/>
          <w:lang w:val="en"/>
        </w:rPr>
        <w:t>letter, they are offered an appointment for genetic testing.</w:t>
      </w:r>
    </w:p>
    <w:p w14:paraId="141F266E" w14:textId="32BB6386" w:rsidR="00B85D62" w:rsidRPr="00B85D62" w:rsidRDefault="009E34A2" w:rsidP="3341BD48">
      <w:pPr>
        <w:rPr>
          <w:rFonts w:eastAsiaTheme="minorEastAsia"/>
        </w:rPr>
      </w:pPr>
      <w:r w:rsidRPr="00B85D62">
        <w:rPr>
          <w:rFonts w:eastAsiaTheme="minorEastAsia"/>
          <w:lang w:val="en"/>
        </w:rPr>
        <w:t xml:space="preserve">In Wales, segregation testing is offered to families where a VUS is identified in the index patient. This means that in Wales, the relative </w:t>
      </w:r>
      <w:r w:rsidR="00B85D62" w:rsidRPr="00B85D62">
        <w:rPr>
          <w:rFonts w:eastAsiaTheme="minorEastAsia"/>
          <w:color w:val="00B0F0"/>
          <w:highlight w:val="magenta"/>
          <w:lang w:val="en"/>
        </w:rPr>
        <w:t>data</w:t>
      </w:r>
      <w:r w:rsidR="00B85D62" w:rsidRPr="00B85D62">
        <w:rPr>
          <w:rFonts w:eastAsiaTheme="minorEastAsia"/>
          <w:color w:val="00B0F0"/>
          <w:lang w:val="en"/>
        </w:rPr>
        <w:t xml:space="preserve"> set</w:t>
      </w:r>
      <w:r w:rsidRPr="00B85D62">
        <w:rPr>
          <w:rFonts w:eastAsiaTheme="minorEastAsia"/>
          <w:lang w:val="en"/>
        </w:rPr>
        <w:t xml:space="preserve"> also includes relatives</w:t>
      </w:r>
      <w:r w:rsidR="00B85D62" w:rsidRPr="00B85D62">
        <w:rPr>
          <w:rFonts w:eastAsiaTheme="minorEastAsia"/>
          <w:lang w:val="en"/>
        </w:rPr>
        <w:t>’</w:t>
      </w:r>
      <w:r w:rsidRPr="00B85D62">
        <w:rPr>
          <w:rFonts w:eastAsiaTheme="minorEastAsia"/>
          <w:lang w:val="en"/>
        </w:rPr>
        <w:t xml:space="preserve"> VUS status. Segregation testing has resulted in the VUS of many families being reclassified to either pathogenic or benign. In Wessex, no segregation testing is offered to such families.</w:t>
      </w:r>
    </w:p>
    <w:p w14:paraId="5C022D42" w14:textId="574B0BB9" w:rsidR="00B85D62" w:rsidRPr="00B85D62" w:rsidRDefault="009E34A2" w:rsidP="3341BD48">
      <w:pPr>
        <w:rPr>
          <w:rFonts w:eastAsiaTheme="minorEastAsia"/>
          <w:lang w:val="en"/>
        </w:rPr>
      </w:pPr>
      <w:r w:rsidRPr="00B85D62">
        <w:rPr>
          <w:rFonts w:eastAsiaTheme="minorEastAsia"/>
          <w:lang w:val="en"/>
        </w:rPr>
        <w:t xml:space="preserve">Prior to the study commencing, the level of completeness of the PASS clinical </w:t>
      </w:r>
      <w:r w:rsidR="00B85D62" w:rsidRPr="00B85D62">
        <w:rPr>
          <w:rFonts w:eastAsiaTheme="minorEastAsia"/>
          <w:color w:val="00B0F0"/>
          <w:highlight w:val="magenta"/>
          <w:lang w:val="en"/>
        </w:rPr>
        <w:t>data</w:t>
      </w:r>
      <w:r w:rsidR="00B85D62" w:rsidRPr="00B85D62">
        <w:rPr>
          <w:rFonts w:eastAsiaTheme="minorEastAsia"/>
          <w:color w:val="00B0F0"/>
          <w:lang w:val="en"/>
        </w:rPr>
        <w:t xml:space="preserve"> were</w:t>
      </w:r>
      <w:r w:rsidRPr="00B85D62">
        <w:rPr>
          <w:rFonts w:eastAsiaTheme="minorEastAsia"/>
          <w:lang w:val="en"/>
        </w:rPr>
        <w:t xml:space="preserve"> low. The study funded researchers to manually populate the clinical </w:t>
      </w:r>
      <w:r w:rsidRPr="00B85D62">
        <w:rPr>
          <w:rFonts w:eastAsiaTheme="minorEastAsia"/>
          <w:highlight w:val="magenta"/>
          <w:lang w:val="en"/>
        </w:rPr>
        <w:t>data</w:t>
      </w:r>
      <w:r w:rsidRPr="00B85D62">
        <w:rPr>
          <w:rFonts w:eastAsiaTheme="minorEastAsia"/>
          <w:lang w:val="en"/>
        </w:rPr>
        <w:t xml:space="preserve"> both retrospectively and prospectively.</w:t>
      </w:r>
    </w:p>
    <w:p w14:paraId="41F498DC" w14:textId="143137A7" w:rsidR="00B85D62" w:rsidRPr="00B85D62" w:rsidRDefault="7D5728B3" w:rsidP="0066232B">
      <w:pPr>
        <w:rPr>
          <w:rFonts w:eastAsiaTheme="minorEastAsia" w:cs="Arial"/>
        </w:rPr>
      </w:pPr>
      <w:r w:rsidRPr="00B85D62">
        <w:rPr>
          <w:rFonts w:eastAsiaTheme="minorEastAsia" w:cs="Arial"/>
        </w:rPr>
        <w:lastRenderedPageBreak/>
        <w:t xml:space="preserve">Quality control for mandatory </w:t>
      </w:r>
      <w:r w:rsidRPr="00B85D62">
        <w:rPr>
          <w:rFonts w:eastAsiaTheme="minorEastAsia" w:cs="Arial"/>
          <w:highlight w:val="magenta"/>
        </w:rPr>
        <w:t>data</w:t>
      </w:r>
      <w:r w:rsidRPr="00B85D62">
        <w:rPr>
          <w:rFonts w:eastAsiaTheme="minorEastAsia" w:cs="Arial"/>
        </w:rPr>
        <w:t xml:space="preserve"> in PASS was managed by analysing </w:t>
      </w:r>
      <w:r w:rsidRPr="00B85D62">
        <w:rPr>
          <w:rFonts w:eastAsiaTheme="minorEastAsia" w:cs="Arial"/>
          <w:highlight w:val="magenta"/>
        </w:rPr>
        <w:t>data</w:t>
      </w:r>
      <w:r w:rsidRPr="00B85D62">
        <w:rPr>
          <w:rFonts w:eastAsiaTheme="minorEastAsia" w:cs="Arial"/>
        </w:rPr>
        <w:t xml:space="preserve"> extractions for missing </w:t>
      </w:r>
      <w:r w:rsidRPr="00B85D62">
        <w:rPr>
          <w:rFonts w:eastAsiaTheme="minorEastAsia" w:cs="Arial"/>
          <w:highlight w:val="magenta"/>
        </w:rPr>
        <w:t>data</w:t>
      </w:r>
      <w:r w:rsidRPr="00B85D62">
        <w:rPr>
          <w:rFonts w:eastAsiaTheme="minorEastAsia" w:cs="Arial"/>
        </w:rPr>
        <w:t xml:space="preserve">. The study </w:t>
      </w:r>
      <w:r w:rsidR="00B85D62" w:rsidRPr="00B85D62">
        <w:rPr>
          <w:rFonts w:eastAsiaTheme="minorEastAsia" w:cs="Arial"/>
          <w:color w:val="00B0F0"/>
          <w:highlight w:val="magenta"/>
        </w:rPr>
        <w:t>data</w:t>
      </w:r>
      <w:r w:rsidR="00B85D62" w:rsidRPr="00B85D62">
        <w:rPr>
          <w:rFonts w:eastAsiaTheme="minorEastAsia" w:cs="Arial"/>
          <w:color w:val="00B0F0"/>
        </w:rPr>
        <w:t xml:space="preserve"> were</w:t>
      </w:r>
      <w:r w:rsidRPr="00B85D62">
        <w:rPr>
          <w:rFonts w:eastAsiaTheme="minorEastAsia" w:cs="Arial"/>
        </w:rPr>
        <w:t xml:space="preserve"> checked and validated before transferring to researchers, specifically the Welsh </w:t>
      </w:r>
      <w:r w:rsidR="6CD17CBD" w:rsidRPr="00B85D62">
        <w:rPr>
          <w:rFonts w:eastAsiaTheme="minorEastAsia" w:cs="Arial"/>
        </w:rPr>
        <w:t xml:space="preserve">DLCN </w:t>
      </w:r>
      <w:r w:rsidRPr="00B85D62">
        <w:rPr>
          <w:rFonts w:eastAsiaTheme="minorEastAsia" w:cs="Arial"/>
        </w:rPr>
        <w:t>criteria score as it was found to be sometimes inaccurate.</w:t>
      </w:r>
    </w:p>
    <w:p w14:paraId="5081B550" w14:textId="77777777" w:rsidR="00B85D62" w:rsidRPr="00B85D62" w:rsidRDefault="7D5728B3" w:rsidP="0066232B">
      <w:pPr>
        <w:rPr>
          <w:rFonts w:eastAsiaTheme="minorEastAsia" w:cs="Arial"/>
        </w:rPr>
      </w:pPr>
      <w:r w:rsidRPr="00B85D62">
        <w:rPr>
          <w:rFonts w:eastAsiaTheme="minorEastAsia" w:cs="Arial"/>
        </w:rPr>
        <w:t xml:space="preserve">A legacy of the study is that </w:t>
      </w:r>
      <w:r w:rsidRPr="00B85D62">
        <w:rPr>
          <w:rFonts w:eastAsiaTheme="minorEastAsia" w:cs="Arial"/>
          <w:highlight w:val="magenta"/>
        </w:rPr>
        <w:t>data</w:t>
      </w:r>
      <w:r w:rsidRPr="00B85D62">
        <w:rPr>
          <w:rFonts w:eastAsiaTheme="minorEastAsia" w:cs="Arial"/>
        </w:rPr>
        <w:t xml:space="preserve"> entry for PASS has continued at a high level with the FH nurses and FH administrative staff now populating all clinical and genetic </w:t>
      </w:r>
      <w:r w:rsidRPr="00B85D62">
        <w:rPr>
          <w:rFonts w:eastAsiaTheme="minorEastAsia" w:cs="Arial"/>
          <w:highlight w:val="magenta"/>
        </w:rPr>
        <w:t>data</w:t>
      </w:r>
      <w:r w:rsidRPr="00B85D62">
        <w:rPr>
          <w:rFonts w:eastAsiaTheme="minorEastAsia" w:cs="Arial"/>
        </w:rPr>
        <w:t xml:space="preserve"> in PASS prospectively</w:t>
      </w:r>
      <w:r w:rsidRPr="00B85D62">
        <w:rPr>
          <w:rFonts w:eastAsiaTheme="minorEastAsia" w:cs="Arial"/>
          <w:highlight w:val="magenta"/>
        </w:rPr>
        <w:t>. Further</w:t>
      </w:r>
      <w:r w:rsidRPr="00B85D62">
        <w:rPr>
          <w:rFonts w:eastAsiaTheme="minorEastAsia" w:cs="Arial"/>
        </w:rPr>
        <w:t xml:space="preserve">, as part of the study, a </w:t>
      </w:r>
      <w:r w:rsidRPr="00B85D62">
        <w:rPr>
          <w:rFonts w:eastAsiaTheme="minorEastAsia" w:cs="Arial"/>
          <w:highlight w:val="magenta"/>
        </w:rPr>
        <w:t>data</w:t>
      </w:r>
      <w:r w:rsidRPr="00B85D62">
        <w:rPr>
          <w:rFonts w:eastAsiaTheme="minorEastAsia" w:cs="Arial"/>
        </w:rPr>
        <w:t xml:space="preserve"> extraction script was developed by Kate Haralambos and PASS Software so that all the relevant </w:t>
      </w:r>
      <w:r w:rsidRPr="00B85D62">
        <w:rPr>
          <w:rFonts w:eastAsiaTheme="minorEastAsia" w:cs="Arial"/>
          <w:highlight w:val="magenta"/>
        </w:rPr>
        <w:t>data</w:t>
      </w:r>
      <w:r w:rsidRPr="00B85D62">
        <w:rPr>
          <w:rFonts w:eastAsiaTheme="minorEastAsia" w:cs="Arial"/>
        </w:rPr>
        <w:t xml:space="preserve"> fields could be extracted in an anonymous format. This script that took over a year to finalise was vital for the study, but has also found to be invaluable for future </w:t>
      </w:r>
      <w:r w:rsidRPr="00B85D62">
        <w:rPr>
          <w:rFonts w:eastAsiaTheme="minorEastAsia" w:cs="Arial"/>
          <w:highlight w:val="magenta"/>
        </w:rPr>
        <w:t>data</w:t>
      </w:r>
      <w:r w:rsidRPr="00B85D62">
        <w:rPr>
          <w:rFonts w:eastAsiaTheme="minorEastAsia" w:cs="Arial"/>
        </w:rPr>
        <w:t xml:space="preserve"> extractions from PASS as part of evaluation of clinical care.</w:t>
      </w:r>
    </w:p>
    <w:p w14:paraId="22D61C7F" w14:textId="0FCD42A0" w:rsidR="00201D4F" w:rsidRPr="00B85D62" w:rsidRDefault="0B4BB477" w:rsidP="006C7E71">
      <w:pPr>
        <w:pStyle w:val="Heading2"/>
      </w:pPr>
      <w:bookmarkStart w:id="87" w:name="_Toc61283508"/>
      <w:bookmarkStart w:id="88" w:name="_Toc76461045"/>
      <w:bookmarkStart w:id="89" w:name="_Toc107157460"/>
      <w:r w:rsidRPr="00B85D62">
        <w:t xml:space="preserve">Scottish Familial Hypercholesterolaemia Service </w:t>
      </w:r>
      <w:r w:rsidRPr="00B85D62">
        <w:rPr>
          <w:highlight w:val="magenta"/>
        </w:rPr>
        <w:t>Data</w:t>
      </w:r>
      <w:bookmarkEnd w:id="87"/>
      <w:bookmarkEnd w:id="88"/>
      <w:bookmarkEnd w:id="89"/>
    </w:p>
    <w:p w14:paraId="7177E405" w14:textId="77777777" w:rsidR="00B85D62" w:rsidRPr="00B85D62" w:rsidRDefault="1EF1C9BC" w:rsidP="0066232B">
      <w:pPr>
        <w:rPr>
          <w:rFonts w:eastAsia="Calibri" w:cs="Arial"/>
        </w:rPr>
      </w:pPr>
      <w:r w:rsidRPr="00B85D62">
        <w:rPr>
          <w:rFonts w:eastAsia="Calibri" w:cs="Arial"/>
        </w:rPr>
        <w:t xml:space="preserve">The Scottish Lipid Forum, an informal network comprising 40 healthcare professionals from across Scotland who are responsible for the diagnosis of and provision of care to FH patients (lipidologists, clinical geneticists, genetics counsellors, genetics and biochemistry laboratory scientists) created a sustainable, informally funded genetics cascade testing programme for FH families since late 2008. Index cases were ascertained by secondary and primary care </w:t>
      </w:r>
      <w:r w:rsidR="0A8188DE" w:rsidRPr="00B85D62">
        <w:rPr>
          <w:rFonts w:eastAsia="Calibri" w:cs="Arial"/>
        </w:rPr>
        <w:t>clinician</w:t>
      </w:r>
      <w:r w:rsidRPr="00B85D62">
        <w:rPr>
          <w:rFonts w:eastAsia="Calibri" w:cs="Arial"/>
        </w:rPr>
        <w:t>s largely by the existing network of lipidologists from across Scotland using the Simon Broome criteria. Genetic testing of potential index cases is performed by the Aberdeen NHS National Services Division funded Genetics laboratory.</w:t>
      </w:r>
    </w:p>
    <w:p w14:paraId="005CD3DC" w14:textId="621014BA" w:rsidR="00201D4F" w:rsidRPr="00B85D62" w:rsidRDefault="1EF1C9BC" w:rsidP="0066232B">
      <w:pPr>
        <w:rPr>
          <w:rFonts w:eastAsia="Calibri" w:cs="Arial"/>
        </w:rPr>
      </w:pPr>
      <w:r w:rsidRPr="00B85D62">
        <w:rPr>
          <w:rFonts w:eastAsia="Calibri" w:cs="Arial"/>
        </w:rPr>
        <w:t xml:space="preserve">NHS Grampian hosts the genetic database for FH screening and gene testing, </w:t>
      </w:r>
      <w:r w:rsidRPr="00B85D62">
        <w:rPr>
          <w:rFonts w:eastAsia="Calibri" w:cs="Arial"/>
          <w:b/>
          <w:bCs/>
          <w:i/>
          <w:iCs/>
        </w:rPr>
        <w:t>Genetics Laboratory Information Management Systems (LIMS)</w:t>
      </w:r>
      <w:r w:rsidRPr="00B85D62">
        <w:rPr>
          <w:rFonts w:eastAsia="Calibri" w:cs="Arial"/>
        </w:rPr>
        <w:t xml:space="preserve"> funded by NHSS National Service Division. The </w:t>
      </w:r>
      <w:r w:rsidRPr="00B85D62">
        <w:rPr>
          <w:rFonts w:eastAsia="Calibri" w:cs="Arial"/>
          <w:highlight w:val="magenta"/>
        </w:rPr>
        <w:t>data</w:t>
      </w:r>
      <w:r w:rsidRPr="00B85D62">
        <w:rPr>
          <w:rFonts w:eastAsia="Calibri" w:cs="Arial"/>
        </w:rPr>
        <w:t xml:space="preserve"> covers the period 1995 to Q1</w:t>
      </w:r>
      <w:r w:rsidR="00B85D62" w:rsidRPr="00B85D62">
        <w:rPr>
          <w:rFonts w:eastAsia="Calibri" w:cs="Arial"/>
          <w:color w:val="00B0F0"/>
        </w:rPr>
        <w:t>–</w:t>
      </w:r>
      <w:r w:rsidR="00B85D62" w:rsidRPr="00B85D62">
        <w:rPr>
          <w:rFonts w:eastAsia="Calibri" w:cs="Arial"/>
          <w:color w:val="00B0F0"/>
        </w:rPr>
        <w:t>2</w:t>
      </w:r>
      <w:r w:rsidRPr="00B85D62">
        <w:rPr>
          <w:rFonts w:eastAsia="Calibri" w:cs="Arial"/>
        </w:rPr>
        <w:t>016. Test numbers were low prior to 2009 when they increased by about 250 per year to 2012 and have since been constant just below 1000 tests per year 2012 to 2015</w:t>
      </w:r>
      <w:r w:rsidR="00BC4B56" w:rsidRPr="00B85D62">
        <w:rPr>
          <w:rFonts w:eastAsia="Calibri" w:cs="Arial"/>
        </w:rPr>
        <w:t>.</w:t>
      </w:r>
    </w:p>
    <w:p w14:paraId="04385BB1" w14:textId="22496340" w:rsidR="00201D4F" w:rsidRPr="00B85D62" w:rsidRDefault="00201D4F" w:rsidP="0066232B">
      <w:pPr>
        <w:rPr>
          <w:rFonts w:eastAsia="Calibri" w:cs="Arial"/>
        </w:rPr>
      </w:pPr>
      <w:r w:rsidRPr="00B85D62">
        <w:rPr>
          <w:rFonts w:eastAsia="Calibri" w:cs="Arial"/>
        </w:rPr>
        <w:t>The secure de-identified NHS Safe</w:t>
      </w:r>
      <w:r w:rsidR="00E523AE" w:rsidRPr="00B85D62">
        <w:rPr>
          <w:rFonts w:eastAsia="Calibri" w:cs="Arial"/>
        </w:rPr>
        <w:t xml:space="preserve"> H</w:t>
      </w:r>
      <w:r w:rsidRPr="00B85D62">
        <w:rPr>
          <w:rFonts w:eastAsia="Calibri" w:cs="Arial"/>
        </w:rPr>
        <w:t xml:space="preserve">aven </w:t>
      </w:r>
      <w:r w:rsidRPr="00B85D62">
        <w:rPr>
          <w:rFonts w:eastAsia="Calibri" w:cs="Arial"/>
          <w:highlight w:val="magenta"/>
        </w:rPr>
        <w:t>data</w:t>
      </w:r>
      <w:r w:rsidRPr="00B85D62">
        <w:rPr>
          <w:rFonts w:eastAsia="Calibri" w:cs="Arial"/>
        </w:rPr>
        <w:t xml:space="preserve"> linkage system was used to link NHS Grampian LIMS FH database to NHS Scotland routine electronic </w:t>
      </w:r>
      <w:r w:rsidR="00B85D62" w:rsidRPr="00B85D62">
        <w:rPr>
          <w:rFonts w:eastAsia="Calibri" w:cs="Arial"/>
          <w:color w:val="00B0F0"/>
          <w:highlight w:val="magenta"/>
        </w:rPr>
        <w:t>data</w:t>
      </w:r>
      <w:r w:rsidR="00B85D62" w:rsidRPr="00B85D62">
        <w:rPr>
          <w:rFonts w:eastAsia="Calibri" w:cs="Arial"/>
          <w:color w:val="00B0F0"/>
        </w:rPr>
        <w:t xml:space="preserve"> set</w:t>
      </w:r>
      <w:r w:rsidRPr="00B85D62">
        <w:rPr>
          <w:rFonts w:eastAsia="Calibri" w:cs="Arial"/>
        </w:rPr>
        <w:t>s such as, National Records Scotland (NRS) for births and deaths, Prescribing Information System (PIS) for dispensed prescriptions</w:t>
      </w:r>
      <w:r w:rsidR="00E523AE" w:rsidRPr="00B85D62">
        <w:rPr>
          <w:rFonts w:eastAsia="Calibri" w:cs="Arial"/>
        </w:rPr>
        <w:t xml:space="preserve"> and Scottish Morbidity Records</w:t>
      </w:r>
      <w:r w:rsidRPr="00B85D62">
        <w:rPr>
          <w:rFonts w:eastAsia="Calibri" w:cs="Arial"/>
        </w:rPr>
        <w:t xml:space="preserve">/Hospital discharge </w:t>
      </w:r>
      <w:r w:rsidRPr="00B85D62">
        <w:rPr>
          <w:rFonts w:eastAsia="Calibri" w:cs="Arial"/>
          <w:highlight w:val="magenta"/>
        </w:rPr>
        <w:t>data</w:t>
      </w:r>
      <w:r w:rsidRPr="00B85D62">
        <w:rPr>
          <w:rFonts w:eastAsia="Calibri" w:cs="Arial"/>
        </w:rPr>
        <w:t xml:space="preserve"> for cardiovascular outcomes. This was done by the indexing team at National Services Scotland using a probabilistic approach based on the CHI (Community Health Index) number (a unique patient identifier). The study period was from 1981 to 2016</w:t>
      </w:r>
      <w:r w:rsidR="00BC4B56" w:rsidRPr="00B85D62">
        <w:rPr>
          <w:rFonts w:eastAsia="Calibri" w:cs="Arial"/>
        </w:rPr>
        <w:t>.</w:t>
      </w:r>
    </w:p>
    <w:p w14:paraId="1D17E5C7" w14:textId="606CD5F9" w:rsidR="00201D4F" w:rsidRPr="00B85D62" w:rsidRDefault="00201D4F" w:rsidP="2C767C69">
      <w:pPr>
        <w:rPr>
          <w:rFonts w:eastAsia="Calibri" w:cs="Arial"/>
        </w:rPr>
      </w:pPr>
      <w:r w:rsidRPr="00B85D62">
        <w:rPr>
          <w:rFonts w:eastAsia="Calibri" w:cs="Arial"/>
        </w:rPr>
        <w:t xml:space="preserve">The </w:t>
      </w:r>
      <w:r w:rsidRPr="00B85D62">
        <w:rPr>
          <w:rFonts w:eastAsia="Calibri" w:cs="Arial"/>
          <w:highlight w:val="magenta"/>
        </w:rPr>
        <w:t>data</w:t>
      </w:r>
      <w:r w:rsidRPr="00B85D62">
        <w:rPr>
          <w:rFonts w:eastAsia="Calibri" w:cs="Arial"/>
        </w:rPr>
        <w:t xml:space="preserve"> a</w:t>
      </w:r>
      <w:r w:rsidR="00E523AE" w:rsidRPr="00B85D62">
        <w:rPr>
          <w:rFonts w:eastAsia="Calibri" w:cs="Arial"/>
        </w:rPr>
        <w:t xml:space="preserve">ccess is via the Grampian </w:t>
      </w:r>
      <w:r w:rsidR="00E523AE" w:rsidRPr="00B85D62">
        <w:rPr>
          <w:rFonts w:eastAsia="Calibri" w:cs="Arial"/>
          <w:highlight w:val="magenta"/>
        </w:rPr>
        <w:t>Data</w:t>
      </w:r>
      <w:r w:rsidR="00E523AE" w:rsidRPr="00B85D62">
        <w:rPr>
          <w:rFonts w:eastAsia="Calibri" w:cs="Arial"/>
        </w:rPr>
        <w:t xml:space="preserve"> safe h</w:t>
      </w:r>
      <w:r w:rsidRPr="00B85D62">
        <w:rPr>
          <w:rFonts w:eastAsia="Calibri" w:cs="Arial"/>
        </w:rPr>
        <w:t xml:space="preserve">aven (DaSH) as the Scottish LIMS FH Database and linked </w:t>
      </w:r>
      <w:r w:rsidRPr="00B85D62">
        <w:rPr>
          <w:rFonts w:eastAsia="Calibri" w:cs="Arial"/>
          <w:highlight w:val="magenta"/>
        </w:rPr>
        <w:t>data</w:t>
      </w:r>
      <w:r w:rsidRPr="00B85D62">
        <w:rPr>
          <w:rFonts w:eastAsia="Calibri" w:cs="Arial"/>
        </w:rPr>
        <w:t xml:space="preserve"> are held by NHS Grampian and the Safe Haven. To comply with information governance procedures and preserve patients</w:t>
      </w:r>
      <w:r w:rsidR="00B85D62" w:rsidRPr="00B85D62">
        <w:rPr>
          <w:rFonts w:eastAsia="Calibri" w:cs="Arial"/>
        </w:rPr>
        <w:t>’</w:t>
      </w:r>
      <w:r w:rsidRPr="00B85D62">
        <w:rPr>
          <w:rFonts w:eastAsia="Calibri" w:cs="Arial"/>
        </w:rPr>
        <w:t xml:space="preserve"> confidentiality, the Organisation for Economic Co-operation and Development (OECD) Guidelines on Human Biobanks and Genetic Research Databases are followed.</w:t>
      </w:r>
      <w:r w:rsidR="0097774D" w:rsidRPr="00B85D62">
        <w:rPr>
          <w:rFonts w:eastAsia="Calibri" w:cs="Arial"/>
        </w:rPr>
        <w:t xml:space="preserve"> </w:t>
      </w:r>
      <w:r w:rsidRPr="00B85D62">
        <w:rPr>
          <w:rFonts w:eastAsia="Calibri" w:cs="Arial"/>
        </w:rPr>
        <w:t xml:space="preserve">The electronic </w:t>
      </w:r>
      <w:r w:rsidRPr="00B85D62">
        <w:rPr>
          <w:rFonts w:eastAsia="Calibri" w:cs="Arial"/>
          <w:highlight w:val="magenta"/>
        </w:rPr>
        <w:t>Data</w:t>
      </w:r>
      <w:r w:rsidRPr="00B85D62">
        <w:rPr>
          <w:rFonts w:eastAsia="Calibri" w:cs="Arial"/>
        </w:rPr>
        <w:t xml:space="preserve"> Research and Innovation Service (eDRIS) provides a pseudo-</w:t>
      </w:r>
      <w:r w:rsidR="00B85D62" w:rsidRPr="00B85D62">
        <w:rPr>
          <w:rFonts w:eastAsia="Calibri" w:cs="Arial"/>
          <w:color w:val="00B0F0"/>
        </w:rPr>
        <w:t>anonymised</w:t>
      </w:r>
      <w:r w:rsidRPr="00B85D62">
        <w:rPr>
          <w:rFonts w:eastAsia="Calibri" w:cs="Arial"/>
        </w:rPr>
        <w:t xml:space="preserve"> </w:t>
      </w:r>
      <w:r w:rsidRPr="00B85D62">
        <w:rPr>
          <w:rFonts w:eastAsia="Calibri" w:cs="Arial"/>
          <w:highlight w:val="magenta"/>
        </w:rPr>
        <w:t>data</w:t>
      </w:r>
      <w:r w:rsidRPr="00B85D62">
        <w:rPr>
          <w:rFonts w:eastAsia="Calibri" w:cs="Arial"/>
        </w:rPr>
        <w:t xml:space="preserve"> extracts for researchers. Personal identifying information is removed and CHI numbers replaced by unique study </w:t>
      </w:r>
      <w:r w:rsidR="00FE1AFE" w:rsidRPr="00B85D62">
        <w:rPr>
          <w:rFonts w:eastAsia="Calibri" w:cs="Arial"/>
        </w:rPr>
        <w:t>numbers. The</w:t>
      </w:r>
      <w:r w:rsidRPr="00B85D62">
        <w:rPr>
          <w:rFonts w:eastAsia="Calibri" w:cs="Arial"/>
        </w:rPr>
        <w:t xml:space="preserve"> security of this process is maintained by different teams handling patient identifiers,</w:t>
      </w:r>
      <w:r w:rsidR="0097774D" w:rsidRPr="00B85D62">
        <w:rPr>
          <w:rFonts w:eastAsia="Calibri" w:cs="Arial"/>
        </w:rPr>
        <w:t xml:space="preserve"> </w:t>
      </w:r>
      <w:r w:rsidRPr="00B85D62">
        <w:rPr>
          <w:rFonts w:eastAsia="Calibri" w:cs="Arial"/>
        </w:rPr>
        <w:t>study variables, and</w:t>
      </w:r>
      <w:r w:rsidR="00B85D62" w:rsidRPr="00B85D62">
        <w:rPr>
          <w:rFonts w:eastAsia="Calibri" w:cs="Arial"/>
        </w:rPr>
        <w:t xml:space="preserve"> </w:t>
      </w:r>
      <w:r w:rsidRPr="00B85D62">
        <w:rPr>
          <w:rFonts w:eastAsia="Calibri" w:cs="Arial"/>
        </w:rPr>
        <w:t>the linkage</w:t>
      </w:r>
      <w:r w:rsidR="00C35B5E" w:rsidRPr="00B85D62">
        <w:rPr>
          <w:rFonts w:eastAsia="Calibri" w:cs="Arial"/>
          <w:noProof/>
          <w:vertAlign w:val="superscript"/>
        </w:rPr>
        <w:t>101</w:t>
      </w:r>
      <w:r w:rsidRPr="00B85D62">
        <w:rPr>
          <w:rFonts w:eastAsia="Calibri" w:cs="Arial"/>
        </w:rPr>
        <w:t>.</w:t>
      </w:r>
      <w:bookmarkStart w:id="90" w:name="_Toc76461046"/>
      <w:bookmarkEnd w:id="90"/>
    </w:p>
    <w:p w14:paraId="3ED06B93" w14:textId="2611EA90" w:rsidR="00B85D62" w:rsidRPr="00B85D62" w:rsidRDefault="2E2C3347" w:rsidP="0066232B">
      <w:pPr>
        <w:rPr>
          <w:rFonts w:cs="Arial"/>
        </w:rPr>
      </w:pPr>
      <w:r w:rsidRPr="00B85D62">
        <w:rPr>
          <w:rFonts w:cs="Arial"/>
        </w:rPr>
        <w:t xml:space="preserve">This routine LIMS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which comprises partial dates of birth and death, gender, reason for test, </w:t>
      </w:r>
      <w:r w:rsidR="18D90C16" w:rsidRPr="00B85D62">
        <w:rPr>
          <w:rFonts w:cs="Arial"/>
        </w:rPr>
        <w:t>VUS</w:t>
      </w:r>
      <w:r w:rsidR="00895586" w:rsidRPr="00B85D62">
        <w:rPr>
          <w:rFonts w:cs="Arial"/>
        </w:rPr>
        <w:t xml:space="preserve"> </w:t>
      </w:r>
      <w:r w:rsidRPr="00B85D62">
        <w:rPr>
          <w:rFonts w:cs="Arial"/>
        </w:rPr>
        <w:t xml:space="preserve">and mutation along with linked national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s forms the baseline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This was further merged with NHS Grampian Biochemistry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(study period from 1981</w:t>
      </w:r>
      <w:r w:rsidR="00B85D62" w:rsidRPr="00B85D62">
        <w:rPr>
          <w:rFonts w:cs="Arial"/>
          <w:color w:val="00B0F0"/>
        </w:rPr>
        <w:t>–</w:t>
      </w:r>
      <w:r w:rsidR="00B85D62" w:rsidRPr="00B85D62">
        <w:rPr>
          <w:rFonts w:cs="Arial"/>
          <w:color w:val="00B0F0"/>
        </w:rPr>
        <w:t>2</w:t>
      </w:r>
      <w:r w:rsidRPr="00B85D62">
        <w:rPr>
          <w:rFonts w:cs="Arial"/>
        </w:rPr>
        <w:t>016) which comprises all cholesterol measurements such as total cholesterol, HDL-C, LDL-C and triglycerides</w:t>
      </w:r>
      <w:r w:rsidR="00280573" w:rsidRPr="00B85D62">
        <w:rPr>
          <w:rFonts w:cs="Arial"/>
        </w:rPr>
        <w:t>,</w:t>
      </w:r>
      <w:r w:rsidRPr="00B85D62">
        <w:rPr>
          <w:rFonts w:cs="Arial"/>
        </w:rPr>
        <w:t xml:space="preserve"> and test date. The total number of patients represented in the baseline </w:t>
      </w:r>
      <w:r w:rsidR="00B85D62" w:rsidRPr="00B85D62">
        <w:rPr>
          <w:rFonts w:cs="Arial"/>
          <w:color w:val="00B0F0"/>
          <w:highlight w:val="magenta"/>
        </w:rPr>
        <w:t>data</w:t>
      </w:r>
      <w:r w:rsidR="00B85D62" w:rsidRPr="00B85D62">
        <w:rPr>
          <w:rFonts w:cs="Arial"/>
          <w:color w:val="00B0F0"/>
        </w:rPr>
        <w:t xml:space="preserve"> are</w:t>
      </w:r>
      <w:r w:rsidRPr="00B85D62">
        <w:rPr>
          <w:rFonts w:cs="Arial"/>
        </w:rPr>
        <w:t xml:space="preserve"> made up of 4282 index cases</w:t>
      </w:r>
      <w:r w:rsidR="00280573" w:rsidRPr="00B85D62">
        <w:rPr>
          <w:rFonts w:cs="Arial"/>
        </w:rPr>
        <w:t xml:space="preserve"> and</w:t>
      </w:r>
      <w:r w:rsidRPr="00B85D62">
        <w:rPr>
          <w:rFonts w:cs="Arial"/>
        </w:rPr>
        <w:t xml:space="preserve"> 1065 cascade cases. The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has been updated since 2016.</w:t>
      </w:r>
    </w:p>
    <w:p w14:paraId="21413266" w14:textId="730FC39E" w:rsidR="00201D4F" w:rsidRPr="00B85D62" w:rsidRDefault="39A68BBB" w:rsidP="006C7E71">
      <w:pPr>
        <w:pStyle w:val="Heading2"/>
        <w:rPr>
          <w:rFonts w:eastAsia="Yu Gothic Light"/>
          <w:bCs/>
        </w:rPr>
      </w:pPr>
      <w:bookmarkStart w:id="91" w:name="_Toc107157461"/>
      <w:r w:rsidRPr="00B85D62">
        <w:t>Conclusion</w:t>
      </w:r>
      <w:bookmarkEnd w:id="91"/>
    </w:p>
    <w:p w14:paraId="0EBF3F7D" w14:textId="1A430727" w:rsidR="00B85D62" w:rsidRPr="00B85D62" w:rsidRDefault="7D5728B3" w:rsidP="0066232B">
      <w:pPr>
        <w:rPr>
          <w:rFonts w:cs="Arial"/>
          <w:b/>
          <w:bCs/>
        </w:rPr>
      </w:pPr>
      <w:r w:rsidRPr="00B85D62">
        <w:rPr>
          <w:rFonts w:cs="Arial"/>
        </w:rPr>
        <w:t xml:space="preserve">The most comprehensive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s for the cost-effectiveness analysis </w:t>
      </w:r>
      <w:r w:rsidR="00A90556" w:rsidRPr="00B85D62">
        <w:rPr>
          <w:rFonts w:cs="Arial"/>
        </w:rPr>
        <w:t>were</w:t>
      </w:r>
      <w:r w:rsidRPr="00B85D62">
        <w:rPr>
          <w:rFonts w:cs="Arial"/>
        </w:rPr>
        <w:t xml:space="preserve"> the CPRD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linked to hospital episode and mortality </w:t>
      </w:r>
      <w:r w:rsidRPr="00B85D62">
        <w:rPr>
          <w:rFonts w:cs="Arial"/>
          <w:highlight w:val="magenta"/>
        </w:rPr>
        <w:t>data</w:t>
      </w:r>
      <w:r w:rsidRPr="00B85D62">
        <w:rPr>
          <w:rFonts w:cs="Arial"/>
        </w:rPr>
        <w:t xml:space="preserve"> and the routine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from the Wales and Wessex FH service, housed on the PASS server.</w:t>
      </w:r>
      <w:r w:rsidR="00895586" w:rsidRPr="00B85D62">
        <w:rPr>
          <w:rFonts w:cs="Arial"/>
        </w:rPr>
        <w:t xml:space="preserve"> </w:t>
      </w:r>
      <w:r w:rsidRPr="00B85D62">
        <w:rPr>
          <w:rFonts w:cs="Arial"/>
        </w:rPr>
        <w:t>The linked Simon-Broome FH Disease Register</w:t>
      </w:r>
      <w:r w:rsidR="00895586" w:rsidRPr="00B85D62">
        <w:rPr>
          <w:rFonts w:cs="Arial"/>
        </w:rPr>
        <w:t xml:space="preserve"> </w:t>
      </w:r>
      <w:r w:rsidRPr="00B85D62">
        <w:rPr>
          <w:rFonts w:cs="Arial"/>
        </w:rPr>
        <w:t xml:space="preserve">was </w:t>
      </w:r>
      <w:r w:rsidR="00280573" w:rsidRPr="00B85D62">
        <w:rPr>
          <w:rFonts w:cs="Arial"/>
        </w:rPr>
        <w:t xml:space="preserve">also </w:t>
      </w:r>
      <w:r w:rsidRPr="00B85D62">
        <w:rPr>
          <w:rFonts w:cs="Arial"/>
        </w:rPr>
        <w:t xml:space="preserve">accessible for epidemiological analysis. As mentioned in </w:t>
      </w:r>
      <w:r w:rsidR="26C9C6FD" w:rsidRPr="00B85D62">
        <w:rPr>
          <w:rFonts w:cs="Arial"/>
        </w:rPr>
        <w:t>Section 7.3</w:t>
      </w:r>
      <w:r w:rsidRPr="00B85D62">
        <w:rPr>
          <w:rFonts w:cs="Arial"/>
        </w:rPr>
        <w:t xml:space="preserve">, although the Scottish FH </w:t>
      </w:r>
      <w:r w:rsidR="00B85D62" w:rsidRPr="00B85D62">
        <w:rPr>
          <w:rFonts w:cs="Arial"/>
          <w:color w:val="00B0F0"/>
          <w:highlight w:val="magenta"/>
        </w:rPr>
        <w:t>data</w:t>
      </w:r>
      <w:r w:rsidR="00B85D62" w:rsidRPr="00B85D62">
        <w:rPr>
          <w:rFonts w:cs="Arial"/>
          <w:color w:val="00B0F0"/>
        </w:rPr>
        <w:t xml:space="preserve"> were</w:t>
      </w:r>
      <w:r w:rsidRPr="00B85D62">
        <w:rPr>
          <w:rFonts w:cs="Arial"/>
        </w:rPr>
        <w:t xml:space="preserve"> extracted from the </w:t>
      </w:r>
      <w:r w:rsidR="00E523AE" w:rsidRPr="00B85D62">
        <w:rPr>
          <w:rFonts w:cs="Arial"/>
        </w:rPr>
        <w:t>safe haven</w:t>
      </w:r>
      <w:r w:rsidRPr="00B85D62">
        <w:rPr>
          <w:rFonts w:cs="Arial"/>
        </w:rPr>
        <w:t xml:space="preserve">, </w:t>
      </w:r>
      <w:r w:rsidR="00B85D62" w:rsidRPr="00B85D62">
        <w:rPr>
          <w:rFonts w:cs="Arial"/>
          <w:color w:val="00B0F0"/>
        </w:rPr>
        <w:t>t</w:t>
      </w:r>
      <w:r w:rsidR="00B85D62" w:rsidRPr="00B85D62">
        <w:rPr>
          <w:rFonts w:cs="Arial"/>
          <w:color w:val="00B0F0"/>
        </w:rPr>
        <w:t xml:space="preserve">hese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did not provide appropriate </w:t>
      </w:r>
      <w:r w:rsidRPr="00B85D62">
        <w:rPr>
          <w:rFonts w:cs="Arial"/>
          <w:highlight w:val="magenta"/>
        </w:rPr>
        <w:t>data</w:t>
      </w:r>
      <w:r w:rsidRPr="00B85D62">
        <w:rPr>
          <w:rFonts w:cs="Arial"/>
        </w:rPr>
        <w:t xml:space="preserve"> to parameterise the economic model.</w:t>
      </w:r>
      <w:r w:rsidR="00254CB5" w:rsidRPr="00B85D62">
        <w:rPr>
          <w:rFonts w:cs="Arial"/>
        </w:rPr>
        <w:t xml:space="preserve"> There was very limited recording of the ethnic origin of the FH patients in any of these </w:t>
      </w:r>
      <w:r w:rsidR="00B85D62" w:rsidRPr="00B85D62">
        <w:rPr>
          <w:rFonts w:cs="Arial"/>
          <w:color w:val="00B0F0"/>
          <w:highlight w:val="magenta"/>
        </w:rPr>
        <w:t>data</w:t>
      </w:r>
      <w:r w:rsidR="00B85D62" w:rsidRPr="00B85D62">
        <w:rPr>
          <w:rFonts w:cs="Arial"/>
          <w:color w:val="00B0F0"/>
        </w:rPr>
        <w:t xml:space="preserve"> set</w:t>
      </w:r>
      <w:r w:rsidR="00254CB5" w:rsidRPr="00B85D62">
        <w:rPr>
          <w:rFonts w:cs="Arial"/>
        </w:rPr>
        <w:t>s.</w:t>
      </w:r>
    </w:p>
    <w:p w14:paraId="3A24C3F9" w14:textId="5D9A97D2" w:rsidR="00B85D62" w:rsidRPr="00B85D62" w:rsidRDefault="2A76D8D7" w:rsidP="00CA7E90">
      <w:pPr>
        <w:pStyle w:val="Heading1"/>
      </w:pPr>
      <w:bookmarkStart w:id="92" w:name="_Toc61283511"/>
      <w:bookmarkStart w:id="93" w:name="_Toc76461047"/>
      <w:bookmarkStart w:id="94" w:name="_Toc107157462"/>
      <w:r w:rsidRPr="00B85D62">
        <w:t>Epidemiological analysis of longitudinal databases</w:t>
      </w:r>
      <w:bookmarkEnd w:id="92"/>
      <w:bookmarkEnd w:id="93"/>
      <w:bookmarkEnd w:id="94"/>
    </w:p>
    <w:p w14:paraId="167736EE" w14:textId="7DEE4D9F" w:rsidR="00201D4F" w:rsidRPr="00B85D62" w:rsidRDefault="62E16D3F" w:rsidP="006C7E71">
      <w:pPr>
        <w:pStyle w:val="Heading2"/>
      </w:pPr>
      <w:bookmarkStart w:id="95" w:name="_Toc61283512"/>
      <w:bookmarkStart w:id="96" w:name="_Toc76461048"/>
      <w:bookmarkStart w:id="97" w:name="_Toc107157463"/>
      <w:r w:rsidRPr="00B85D62">
        <w:t>Risk of cardiovascular disease in FH from primary care</w:t>
      </w:r>
      <w:bookmarkEnd w:id="95"/>
      <w:bookmarkEnd w:id="96"/>
      <w:bookmarkEnd w:id="97"/>
    </w:p>
    <w:p w14:paraId="6BD3D450" w14:textId="75BC93F8" w:rsidR="00C90545" w:rsidRPr="00B85D62" w:rsidRDefault="2C767C69" w:rsidP="0066232B">
      <w:pPr>
        <w:rPr>
          <w:rFonts w:cs="Arial"/>
        </w:rPr>
      </w:pPr>
      <w:r w:rsidRPr="00B85D62">
        <w:rPr>
          <w:rFonts w:cs="Arial"/>
        </w:rPr>
        <w:t>(Sections of this chapter have been reproduced from Iyen</w:t>
      </w:r>
      <w:r w:rsidRPr="00B85D62">
        <w:rPr>
          <w:rFonts w:cs="Arial"/>
          <w:i/>
          <w:color w:val="00B0F0"/>
        </w:rPr>
        <w:t xml:space="preserve"> et al</w:t>
      </w:r>
      <w:r w:rsidRPr="00B85D62">
        <w:rPr>
          <w:rFonts w:cs="Arial"/>
        </w:rPr>
        <w:t xml:space="preserve"> (</w:t>
      </w:r>
      <w:r w:rsidR="007F7739" w:rsidRPr="00B85D62">
        <w:rPr>
          <w:rFonts w:cs="Arial"/>
        </w:rPr>
        <w:t>96</w:t>
      </w:r>
      <w:r w:rsidRPr="00B85D62">
        <w:rPr>
          <w:rFonts w:cs="Arial"/>
        </w:rPr>
        <w:t>) and from Iyen</w:t>
      </w:r>
      <w:r w:rsidRPr="00B85D62">
        <w:rPr>
          <w:rFonts w:cs="Arial"/>
          <w:i/>
          <w:color w:val="00B0F0"/>
        </w:rPr>
        <w:t xml:space="preserve"> et al</w:t>
      </w:r>
      <w:r w:rsidRPr="00B85D62">
        <w:rPr>
          <w:rFonts w:cs="Arial"/>
        </w:rPr>
        <w:t xml:space="preserve"> (</w:t>
      </w:r>
      <w:r w:rsidR="007F7739" w:rsidRPr="00B85D62">
        <w:rPr>
          <w:rFonts w:cs="Arial"/>
        </w:rPr>
        <w:t>97</w:t>
      </w:r>
      <w:r w:rsidRPr="00B85D62">
        <w:rPr>
          <w:rFonts w:cs="Arial"/>
        </w:rPr>
        <w:t xml:space="preserve">) under </w:t>
      </w:r>
      <w:r w:rsidRPr="00B85D62">
        <w:rPr>
          <w:rFonts w:cs="Arial"/>
          <w:highlight w:val="magenta"/>
        </w:rPr>
        <w:t>licence</w:t>
      </w:r>
      <w:r w:rsidRPr="00B85D62">
        <w:rPr>
          <w:rFonts w:cs="Arial"/>
        </w:rPr>
        <w:t xml:space="preserve"> cc-b</w:t>
      </w:r>
      <w:r w:rsidR="00B85D62" w:rsidRPr="00B85D62">
        <w:rPr>
          <w:rFonts w:cs="Arial"/>
          <w:color w:val="00B0F0"/>
        </w:rPr>
        <w:t>y</w:t>
      </w:r>
      <w:r w:rsidR="00B85D62" w:rsidRPr="00B85D62">
        <w:rPr>
          <w:rFonts w:cs="Arial"/>
          <w:color w:val="00B0F0"/>
        </w:rPr>
        <w:t>-</w:t>
      </w:r>
      <w:r w:rsidR="00B85D62" w:rsidRPr="00B85D62">
        <w:rPr>
          <w:rFonts w:cs="Arial"/>
          <w:color w:val="00B0F0"/>
        </w:rPr>
        <w:t>4</w:t>
      </w:r>
      <w:r w:rsidRPr="00B85D62">
        <w:rPr>
          <w:rFonts w:cs="Arial"/>
        </w:rPr>
        <w:t>.0)</w:t>
      </w:r>
    </w:p>
    <w:p w14:paraId="76830F44" w14:textId="758F67DE" w:rsidR="00201D4F" w:rsidRPr="00B85D62" w:rsidRDefault="62E16D3F" w:rsidP="006C7E71">
      <w:pPr>
        <w:pStyle w:val="Heading3"/>
        <w:rPr>
          <w:rFonts w:eastAsia="Yu Gothic Light"/>
          <w:bCs/>
        </w:rPr>
      </w:pPr>
      <w:bookmarkStart w:id="98" w:name="_Toc61283513"/>
      <w:bookmarkStart w:id="99" w:name="_Toc76461049"/>
      <w:bookmarkStart w:id="100" w:name="_Toc107157464"/>
      <w:r w:rsidRPr="00B85D62">
        <w:t>Context</w:t>
      </w:r>
      <w:bookmarkEnd w:id="98"/>
      <w:bookmarkEnd w:id="99"/>
      <w:bookmarkEnd w:id="100"/>
    </w:p>
    <w:p w14:paraId="1CED967F" w14:textId="14B01788" w:rsidR="00201D4F" w:rsidRPr="00B85D62" w:rsidRDefault="1EF1C9BC" w:rsidP="0066232B">
      <w:pPr>
        <w:rPr>
          <w:rFonts w:eastAsia="Calibri" w:cs="Arial"/>
        </w:rPr>
      </w:pPr>
      <w:r w:rsidRPr="00B85D62">
        <w:rPr>
          <w:rFonts w:eastAsia="Calibri" w:cs="Arial"/>
        </w:rPr>
        <w:t>While the association of FH with premature coronary heart disease (CHD) is well known, the risk of atherosclerotic disease in other vascular regions among patients with FH is less clear, and evidence from previous studies is conflicting</w:t>
      </w:r>
      <w:r w:rsidR="00C35B5E" w:rsidRPr="00B85D62">
        <w:rPr>
          <w:rFonts w:eastAsia="Calibri" w:cs="Arial"/>
          <w:noProof/>
          <w:color w:val="2B579A"/>
          <w:shd w:val="clear" w:color="auto" w:fill="E6E6E6"/>
          <w:vertAlign w:val="superscript"/>
        </w:rPr>
        <w:t>6, 102</w:t>
      </w:r>
      <w:r w:rsidR="00B85D62" w:rsidRPr="00B85D62">
        <w:rPr>
          <w:rFonts w:eastAsia="Calibri" w:cs="Arial"/>
          <w:noProof/>
          <w:color w:val="00B0F0"/>
          <w:shd w:val="clear" w:color="auto" w:fill="E6E6E6"/>
          <w:vertAlign w:val="superscript"/>
        </w:rPr>
        <w:t>–</w:t>
      </w:r>
      <w:r w:rsidR="00B85D62" w:rsidRPr="00B85D62">
        <w:rPr>
          <w:rFonts w:eastAsia="Calibri" w:cs="Arial"/>
          <w:noProof/>
          <w:color w:val="00B0F0"/>
          <w:shd w:val="clear" w:color="auto" w:fill="E6E6E6"/>
          <w:vertAlign w:val="superscript"/>
        </w:rPr>
        <w:t>1</w:t>
      </w:r>
      <w:r w:rsidR="00C35B5E" w:rsidRPr="00B85D62">
        <w:rPr>
          <w:rFonts w:eastAsia="Calibri" w:cs="Arial"/>
          <w:noProof/>
          <w:color w:val="2B579A"/>
          <w:shd w:val="clear" w:color="auto" w:fill="E6E6E6"/>
          <w:vertAlign w:val="superscript"/>
        </w:rPr>
        <w:t>04</w:t>
      </w:r>
      <w:r w:rsidR="36C29E7F" w:rsidRPr="00B85D62">
        <w:rPr>
          <w:rFonts w:eastAsia="Calibri" w:cs="Arial"/>
        </w:rPr>
        <w:t xml:space="preserve">. </w:t>
      </w:r>
      <w:r w:rsidRPr="00B85D62">
        <w:rPr>
          <w:rFonts w:eastAsia="Calibri" w:cs="Arial"/>
        </w:rPr>
        <w:t xml:space="preserve">This chapter sought to determine the cardiovascular risk profile of patients with FH in the general population using longitudinal </w:t>
      </w:r>
      <w:r w:rsidRPr="00B85D62">
        <w:rPr>
          <w:rFonts w:eastAsia="Calibri" w:cs="Arial"/>
          <w:highlight w:val="magenta"/>
        </w:rPr>
        <w:t>data</w:t>
      </w:r>
      <w:r w:rsidRPr="00B85D62">
        <w:rPr>
          <w:rFonts w:eastAsia="Calibri" w:cs="Arial"/>
        </w:rPr>
        <w:t xml:space="preserve"> from patients</w:t>
      </w:r>
      <w:r w:rsidR="00B85D62" w:rsidRPr="00B85D62">
        <w:rPr>
          <w:rFonts w:eastAsia="Calibri" w:cs="Arial"/>
        </w:rPr>
        <w:t>’</w:t>
      </w:r>
      <w:r w:rsidRPr="00B85D62">
        <w:rPr>
          <w:rFonts w:eastAsia="Calibri" w:cs="Arial"/>
        </w:rPr>
        <w:t xml:space="preserve"> primary care electronic health </w:t>
      </w:r>
      <w:r w:rsidRPr="00B85D62">
        <w:rPr>
          <w:rFonts w:eastAsia="Calibri" w:cs="Arial"/>
        </w:rPr>
        <w:lastRenderedPageBreak/>
        <w:t xml:space="preserve">records. We assessed the </w:t>
      </w:r>
      <w:r w:rsidRPr="00B85D62">
        <w:rPr>
          <w:rFonts w:eastAsia="Calibri" w:cs="Arial"/>
          <w:highlight w:val="magenta"/>
        </w:rPr>
        <w:t>incidence</w:t>
      </w:r>
      <w:r w:rsidRPr="00B85D62">
        <w:rPr>
          <w:rFonts w:eastAsia="Calibri" w:cs="Arial"/>
        </w:rPr>
        <w:t xml:space="preserve"> and risks of CHD, stroke/</w:t>
      </w:r>
      <w:r w:rsidR="005E759F" w:rsidRPr="00B85D62">
        <w:rPr>
          <w:rFonts w:eastAsia="Calibri" w:cs="Arial"/>
        </w:rPr>
        <w:t>TIA</w:t>
      </w:r>
      <w:r w:rsidRPr="00B85D62">
        <w:rPr>
          <w:rFonts w:eastAsia="Calibri" w:cs="Arial"/>
        </w:rPr>
        <w:t xml:space="preserve"> and </w:t>
      </w:r>
      <w:r w:rsidR="004F3C61" w:rsidRPr="00B85D62">
        <w:rPr>
          <w:rFonts w:eastAsia="Calibri" w:cs="Arial"/>
        </w:rPr>
        <w:t>peripheral vascular disease (</w:t>
      </w:r>
      <w:r w:rsidR="005E759F" w:rsidRPr="00B85D62">
        <w:rPr>
          <w:rFonts w:eastAsia="Calibri" w:cs="Arial"/>
        </w:rPr>
        <w:t>PVD</w:t>
      </w:r>
      <w:r w:rsidR="004F3C61" w:rsidRPr="00B85D62">
        <w:rPr>
          <w:rFonts w:eastAsia="Calibri" w:cs="Arial"/>
        </w:rPr>
        <w:t>)</w:t>
      </w:r>
      <w:r w:rsidRPr="00B85D62">
        <w:rPr>
          <w:rFonts w:eastAsia="Calibri" w:cs="Arial"/>
        </w:rPr>
        <w:t xml:space="preserve"> in</w:t>
      </w:r>
      <w:r w:rsidR="00895586" w:rsidRPr="00B85D62">
        <w:rPr>
          <w:rFonts w:eastAsia="Calibri" w:cs="Arial"/>
        </w:rPr>
        <w:t xml:space="preserve"> </w:t>
      </w:r>
      <w:r w:rsidRPr="00B85D62">
        <w:rPr>
          <w:rFonts w:eastAsia="Calibri" w:cs="Arial"/>
        </w:rPr>
        <w:t>patients</w:t>
      </w:r>
      <w:r w:rsidR="00895586" w:rsidRPr="00B85D62">
        <w:rPr>
          <w:rFonts w:eastAsia="Calibri" w:cs="Arial"/>
        </w:rPr>
        <w:t xml:space="preserve"> </w:t>
      </w:r>
      <w:r w:rsidRPr="00B85D62">
        <w:rPr>
          <w:rFonts w:eastAsia="Calibri" w:cs="Arial"/>
        </w:rPr>
        <w:t>with clinical diagnoses of FH</w:t>
      </w:r>
      <w:r w:rsidR="0A79FEF3" w:rsidRPr="00B85D62">
        <w:rPr>
          <w:rFonts w:eastAsia="Calibri" w:cs="Arial"/>
        </w:rPr>
        <w:t xml:space="preserve"> identified in primary care</w:t>
      </w:r>
      <w:r w:rsidRPr="00B85D62">
        <w:rPr>
          <w:rFonts w:eastAsia="Calibri" w:cs="Arial"/>
        </w:rPr>
        <w:t>.</w:t>
      </w:r>
    </w:p>
    <w:p w14:paraId="61B3441A" w14:textId="4D4B57BC" w:rsidR="00201D4F" w:rsidRPr="00B85D62" w:rsidRDefault="62E16D3F" w:rsidP="006C7E71">
      <w:pPr>
        <w:pStyle w:val="Heading3"/>
        <w:rPr>
          <w:rFonts w:eastAsia="Yu Gothic Light"/>
          <w:bCs/>
        </w:rPr>
      </w:pPr>
      <w:bookmarkStart w:id="101" w:name="_Toc61283514"/>
      <w:bookmarkStart w:id="102" w:name="_Toc76461050"/>
      <w:bookmarkStart w:id="103" w:name="_Toc107157465"/>
      <w:r w:rsidRPr="00B85D62">
        <w:t>Research Objectives</w:t>
      </w:r>
      <w:bookmarkEnd w:id="101"/>
      <w:bookmarkEnd w:id="102"/>
      <w:bookmarkEnd w:id="103"/>
    </w:p>
    <w:p w14:paraId="35487B9A" w14:textId="0D4DC0B1" w:rsidR="00201D4F" w:rsidRPr="00B85D62" w:rsidRDefault="00201D4F" w:rsidP="0066232B">
      <w:pPr>
        <w:rPr>
          <w:rFonts w:eastAsia="Calibri" w:cs="Arial"/>
        </w:rPr>
      </w:pPr>
      <w:r w:rsidRPr="00B85D62">
        <w:rPr>
          <w:rFonts w:eastAsia="Calibri" w:cs="Arial"/>
        </w:rPr>
        <w:t>To determine the cardiovascular risk profile of patients with FH in the general population</w:t>
      </w:r>
    </w:p>
    <w:p w14:paraId="3D4D65C4" w14:textId="77777777" w:rsidR="00B85D62" w:rsidRPr="00B85D62" w:rsidRDefault="0B4BB477" w:rsidP="006C7E71">
      <w:pPr>
        <w:pStyle w:val="Heading3"/>
      </w:pPr>
      <w:bookmarkStart w:id="104" w:name="_Toc61283515"/>
      <w:bookmarkStart w:id="105" w:name="_Toc76461051"/>
      <w:bookmarkStart w:id="106" w:name="_Toc107157466"/>
      <w:r w:rsidRPr="00B85D62">
        <w:t>Methodology</w:t>
      </w:r>
      <w:bookmarkEnd w:id="104"/>
      <w:bookmarkEnd w:id="105"/>
      <w:bookmarkEnd w:id="106"/>
    </w:p>
    <w:p w14:paraId="59EA4A88" w14:textId="28617189" w:rsidR="00201D4F" w:rsidRPr="00B85D62" w:rsidRDefault="00201D4F" w:rsidP="0066232B">
      <w:pPr>
        <w:rPr>
          <w:rFonts w:cs="Arial"/>
        </w:rPr>
      </w:pPr>
      <w:r w:rsidRPr="00B85D62">
        <w:rPr>
          <w:rFonts w:cs="Arial"/>
        </w:rPr>
        <w:t xml:space="preserve">We conducted a retrospective matched cohort study using </w:t>
      </w:r>
      <w:r w:rsidRPr="00B85D62">
        <w:rPr>
          <w:rFonts w:cs="Arial"/>
          <w:highlight w:val="magenta"/>
        </w:rPr>
        <w:t>data</w:t>
      </w:r>
      <w:r w:rsidRPr="00B85D62">
        <w:rPr>
          <w:rFonts w:cs="Arial"/>
        </w:rPr>
        <w:t xml:space="preserve"> from the Clinical </w:t>
      </w:r>
      <w:r w:rsidRPr="00B85D62">
        <w:rPr>
          <w:rFonts w:cs="Arial"/>
          <w:highlight w:val="magenta"/>
        </w:rPr>
        <w:t>Practice</w:t>
      </w:r>
      <w:r w:rsidRPr="00B85D62">
        <w:rPr>
          <w:rFonts w:cs="Arial"/>
        </w:rPr>
        <w:t xml:space="preserve"> Research Datalink (CPRD). For each patient with clinical diagnosis of FH, we randomly identified three patients without FH and individually matched on age, sex and general </w:t>
      </w:r>
      <w:r w:rsidRPr="00B85D62">
        <w:rPr>
          <w:rFonts w:cs="Arial"/>
          <w:highlight w:val="magenta"/>
        </w:rPr>
        <w:t>practice</w:t>
      </w:r>
      <w:r w:rsidRPr="00B85D62">
        <w:rPr>
          <w:rFonts w:cs="Arial"/>
        </w:rPr>
        <w:t xml:space="preserve">. Those without FH had cholesterol testing done within six months of the start date of their matched FH case, no documented diagnosis of FH and no pre-existing CVD. Patients who had disease (Read) codes suggesting pre-existing CVD (coronary heart disease, stroke, transient ischaemic </w:t>
      </w:r>
      <w:r w:rsidR="00E5553F" w:rsidRPr="00B85D62">
        <w:rPr>
          <w:rFonts w:cs="Arial"/>
        </w:rPr>
        <w:t>attack,</w:t>
      </w:r>
      <w:r w:rsidRPr="00B85D62">
        <w:rPr>
          <w:rFonts w:cs="Arial"/>
        </w:rPr>
        <w:t xml:space="preserve"> or peripheral vascular disease) prior to study entry were excluded.</w:t>
      </w:r>
    </w:p>
    <w:p w14:paraId="0C3A2E42" w14:textId="77777777" w:rsidR="00201D4F" w:rsidRPr="00B85D62" w:rsidRDefault="62E16D3F" w:rsidP="006C7E71">
      <w:pPr>
        <w:pStyle w:val="Heading4"/>
        <w:numPr>
          <w:ilvl w:val="0"/>
          <w:numId w:val="0"/>
        </w:numPr>
        <w:rPr>
          <w:rFonts w:eastAsia="Yu Gothic Light"/>
          <w:bCs/>
        </w:rPr>
      </w:pPr>
      <w:bookmarkStart w:id="107" w:name="_Toc61283516"/>
      <w:bookmarkStart w:id="108" w:name="_Toc76461052"/>
      <w:r w:rsidRPr="00B85D62">
        <w:t>Outcomes</w:t>
      </w:r>
      <w:bookmarkEnd w:id="107"/>
      <w:bookmarkEnd w:id="108"/>
    </w:p>
    <w:p w14:paraId="2F0D4E34" w14:textId="4EE65DF7" w:rsidR="00201D4F" w:rsidRPr="00B85D62" w:rsidRDefault="1EF1C9BC" w:rsidP="0066232B">
      <w:pPr>
        <w:rPr>
          <w:rFonts w:cs="Arial"/>
        </w:rPr>
      </w:pPr>
      <w:r w:rsidRPr="00B85D62">
        <w:rPr>
          <w:rFonts w:cs="Arial"/>
        </w:rPr>
        <w:t xml:space="preserve">Incident </w:t>
      </w:r>
      <w:r w:rsidR="00A856CD" w:rsidRPr="00B85D62">
        <w:rPr>
          <w:rFonts w:cs="Arial"/>
        </w:rPr>
        <w:t>CVD</w:t>
      </w:r>
      <w:r w:rsidRPr="00B85D62">
        <w:rPr>
          <w:rFonts w:cs="Arial"/>
        </w:rPr>
        <w:t xml:space="preserve"> was defined as any new clinical diagnosis of coronary heart disease, stroke/TIA or </w:t>
      </w:r>
      <w:r w:rsidR="005E759F" w:rsidRPr="00B85D62">
        <w:rPr>
          <w:rFonts w:cs="Arial"/>
        </w:rPr>
        <w:t>PVD</w:t>
      </w:r>
      <w:r w:rsidRPr="00B85D62">
        <w:rPr>
          <w:rFonts w:cs="Arial"/>
        </w:rPr>
        <w:t>. These were identified from patients</w:t>
      </w:r>
      <w:r w:rsidR="00B85D62" w:rsidRPr="00B85D62">
        <w:rPr>
          <w:rFonts w:cs="Arial"/>
        </w:rPr>
        <w:t>’</w:t>
      </w:r>
      <w:r w:rsidRPr="00B85D62">
        <w:rPr>
          <w:rFonts w:cs="Arial"/>
        </w:rPr>
        <w:t xml:space="preserve"> primary care </w:t>
      </w:r>
      <w:r w:rsidR="004F3C61" w:rsidRPr="00B85D62">
        <w:rPr>
          <w:rFonts w:cs="Arial"/>
        </w:rPr>
        <w:t>electronic health records (</w:t>
      </w:r>
      <w:r w:rsidRPr="00B85D62">
        <w:rPr>
          <w:rFonts w:cs="Arial"/>
        </w:rPr>
        <w:t>EHRs</w:t>
      </w:r>
      <w:r w:rsidR="004F3C61" w:rsidRPr="00B85D62">
        <w:rPr>
          <w:rFonts w:cs="Arial"/>
        </w:rPr>
        <w:t>)</w:t>
      </w:r>
      <w:r w:rsidRPr="00B85D62">
        <w:rPr>
          <w:rFonts w:cs="Arial"/>
        </w:rPr>
        <w:t xml:space="preserve"> during the study period, as were mortality and date of death. Disease codes used for </w:t>
      </w:r>
      <w:r w:rsidR="00A856CD" w:rsidRPr="00B85D62">
        <w:rPr>
          <w:rFonts w:cs="Arial"/>
        </w:rPr>
        <w:t>CVD</w:t>
      </w:r>
      <w:r w:rsidRPr="00B85D62">
        <w:rPr>
          <w:rFonts w:cs="Arial"/>
        </w:rPr>
        <w:t xml:space="preserve"> are shown </w:t>
      </w:r>
      <w:r w:rsidR="00BF46C1" w:rsidRPr="00B85D62">
        <w:rPr>
          <w:rFonts w:eastAsia="Arial" w:cs="Arial"/>
        </w:rPr>
        <w:t>Appendix 4</w:t>
      </w:r>
      <w:r w:rsidR="006A155D" w:rsidRPr="00B85D62">
        <w:rPr>
          <w:rFonts w:eastAsia="Arial" w:cs="Arial"/>
        </w:rPr>
        <w:t xml:space="preserve"> </w:t>
      </w:r>
      <w:r w:rsidR="00EF7047" w:rsidRPr="00B85D62">
        <w:rPr>
          <w:rFonts w:eastAsia="Arial" w:cs="Arial"/>
        </w:rPr>
        <w:t xml:space="preserve">for </w:t>
      </w:r>
      <w:r w:rsidR="00EF7047" w:rsidRPr="00B85D62">
        <w:rPr>
          <w:rFonts w:eastAsia="Arial" w:cs="Arial"/>
          <w:color w:val="000000" w:themeColor="text1"/>
        </w:rPr>
        <w:t>further details</w:t>
      </w:r>
      <w:r w:rsidRPr="00B85D62">
        <w:rPr>
          <w:rFonts w:cs="Arial"/>
        </w:rPr>
        <w:t>.</w:t>
      </w:r>
    </w:p>
    <w:p w14:paraId="2C7DEB85" w14:textId="77777777" w:rsidR="00201D4F" w:rsidRPr="00B85D62" w:rsidRDefault="62E16D3F" w:rsidP="006C7E71">
      <w:pPr>
        <w:pStyle w:val="Heading4"/>
        <w:numPr>
          <w:ilvl w:val="0"/>
          <w:numId w:val="0"/>
        </w:numPr>
        <w:rPr>
          <w:rFonts w:eastAsia="Yu Gothic Light"/>
          <w:bCs/>
        </w:rPr>
      </w:pPr>
      <w:bookmarkStart w:id="109" w:name="_Toc61283517"/>
      <w:bookmarkStart w:id="110" w:name="_Toc76461053"/>
      <w:r w:rsidRPr="00B85D62">
        <w:t>Sample size calculation</w:t>
      </w:r>
      <w:bookmarkEnd w:id="109"/>
      <w:bookmarkEnd w:id="110"/>
    </w:p>
    <w:p w14:paraId="75C123DB" w14:textId="578C0445" w:rsidR="00201D4F" w:rsidRPr="00B85D62" w:rsidRDefault="00201D4F" w:rsidP="0066232B">
      <w:pPr>
        <w:rPr>
          <w:rFonts w:cs="Arial"/>
        </w:rPr>
      </w:pPr>
      <w:r w:rsidRPr="00B85D62">
        <w:rPr>
          <w:rFonts w:cs="Arial"/>
        </w:rPr>
        <w:t xml:space="preserve">Based on findings from previous research </w:t>
      </w:r>
      <w:r w:rsidR="00C35B5E" w:rsidRPr="00B85D62">
        <w:rPr>
          <w:rFonts w:cs="Arial"/>
          <w:noProof/>
          <w:color w:val="2B579A"/>
          <w:shd w:val="clear" w:color="auto" w:fill="E6E6E6"/>
          <w:vertAlign w:val="superscript"/>
        </w:rPr>
        <w:t>105</w:t>
      </w:r>
      <w:r w:rsidRPr="00B85D62">
        <w:rPr>
          <w:rFonts w:cs="Arial"/>
        </w:rPr>
        <w:t xml:space="preserve">, we estimated a minimum hazard ratio of 1.2 for overall atherosclerotic </w:t>
      </w:r>
      <w:r w:rsidR="00E7573F" w:rsidRPr="00B85D62">
        <w:rPr>
          <w:rFonts w:cs="Arial"/>
        </w:rPr>
        <w:t>cardiovascular</w:t>
      </w:r>
      <w:r w:rsidRPr="00B85D62">
        <w:rPr>
          <w:rFonts w:cs="Arial"/>
        </w:rPr>
        <w:t xml:space="preserve"> risk. To achieve this, a minimum total cohort size of 9,450 individuals was required with an expectation of 1,265 </w:t>
      </w:r>
      <w:r w:rsidR="00A93DA3" w:rsidRPr="00B85D62">
        <w:rPr>
          <w:rFonts w:cs="Arial"/>
        </w:rPr>
        <w:t xml:space="preserve">cardiovascular </w:t>
      </w:r>
      <w:r w:rsidRPr="00B85D62">
        <w:rPr>
          <w:rFonts w:cs="Arial"/>
        </w:rPr>
        <w:t>events at 90% power and significance level of 0.05 (two-sided test of significance).</w:t>
      </w:r>
    </w:p>
    <w:p w14:paraId="0D8980E6" w14:textId="77777777" w:rsidR="00201D4F" w:rsidRPr="00B85D62" w:rsidRDefault="62E16D3F" w:rsidP="006C7E71">
      <w:pPr>
        <w:pStyle w:val="Heading4"/>
        <w:numPr>
          <w:ilvl w:val="0"/>
          <w:numId w:val="0"/>
        </w:numPr>
        <w:rPr>
          <w:rFonts w:eastAsia="Yu Gothic Light"/>
          <w:bCs/>
        </w:rPr>
      </w:pPr>
      <w:bookmarkStart w:id="111" w:name="_Toc61283518"/>
      <w:bookmarkStart w:id="112" w:name="_Toc76461054"/>
      <w:r w:rsidRPr="00B85D62">
        <w:t>Statistical analysis</w:t>
      </w:r>
      <w:bookmarkEnd w:id="111"/>
      <w:bookmarkEnd w:id="112"/>
    </w:p>
    <w:p w14:paraId="6F22A03D" w14:textId="4DEAFC90" w:rsidR="00201D4F" w:rsidRPr="00B85D62" w:rsidRDefault="00201D4F" w:rsidP="0066232B">
      <w:pPr>
        <w:rPr>
          <w:rFonts w:cs="Arial"/>
        </w:rPr>
      </w:pPr>
      <w:r w:rsidRPr="00B85D62">
        <w:rPr>
          <w:rFonts w:cs="Arial"/>
        </w:rPr>
        <w:t xml:space="preserve">Baseline descriptive analyses were performed for all patients in the cohort and results were represented as number (%), mean (SD) and median (IQR) for categorical, normal continuous and non-normal continuous variables respectively. Missing variables were presented in result tables. Appropriate statistical tests such as chi-squared, t-tests and analyses of variance tests (ANOVA) were used to assess differences between the groups of interest. The </w:t>
      </w:r>
      <w:r w:rsidRPr="00B85D62">
        <w:rPr>
          <w:rFonts w:cs="Arial"/>
          <w:highlight w:val="magenta"/>
        </w:rPr>
        <w:t>incidence</w:t>
      </w:r>
      <w:r w:rsidRPr="00B85D62">
        <w:rPr>
          <w:rFonts w:cs="Arial"/>
        </w:rPr>
        <w:t xml:space="preserve"> rates of CVD were determined for FH and non-FH groups, presented per 1,000-person years at risk. Cox proportional hazards regression was used to derive hazards ratios for first onset of any CVD and secondarily, hazards ratios for the various major CVD subtypes</w:t>
      </w:r>
      <w:r w:rsidR="00B85D62" w:rsidRPr="00B85D62">
        <w:rPr>
          <w:rFonts w:cs="Arial"/>
          <w:color w:val="00B0F0"/>
        </w:rPr>
        <w:t xml:space="preserve"> – </w:t>
      </w:r>
      <w:r w:rsidRPr="00B85D62">
        <w:rPr>
          <w:rFonts w:cs="Arial"/>
        </w:rPr>
        <w:t xml:space="preserve">CHD, stroke/TIA and </w:t>
      </w:r>
      <w:r w:rsidR="009E48EF" w:rsidRPr="00B85D62">
        <w:rPr>
          <w:rFonts w:cs="Arial"/>
        </w:rPr>
        <w:t>PVD</w:t>
      </w:r>
      <w:r w:rsidRPr="00B85D62">
        <w:rPr>
          <w:rFonts w:cs="Arial"/>
        </w:rPr>
        <w:t>, for patients with and without FH. Analyses were stratified on the matched variables and adjusted for individuals</w:t>
      </w:r>
      <w:r w:rsidR="00B85D62" w:rsidRPr="00B85D62">
        <w:rPr>
          <w:rFonts w:cs="Arial"/>
        </w:rPr>
        <w:t>’</w:t>
      </w:r>
      <w:r w:rsidRPr="00B85D62">
        <w:rPr>
          <w:rFonts w:cs="Arial"/>
        </w:rPr>
        <w:t xml:space="preserve"> demographics, lifestyle factors, comorbidities and prescribed medication use as listed above. Confounder selection used the change-in-estimate criteria </w:t>
      </w:r>
      <w:r w:rsidR="00C35B5E" w:rsidRPr="00B85D62">
        <w:rPr>
          <w:rFonts w:cs="Arial"/>
          <w:noProof/>
          <w:color w:val="2B579A"/>
          <w:shd w:val="clear" w:color="auto" w:fill="E6E6E6"/>
          <w:vertAlign w:val="superscript"/>
        </w:rPr>
        <w:t>106</w:t>
      </w:r>
      <w:r w:rsidRPr="00B85D62">
        <w:rPr>
          <w:rFonts w:cs="Arial"/>
        </w:rPr>
        <w:t xml:space="preserve">, and any covariate which changed the effect size of the univariate exposure-outcome model by 10% was considered an important confounder and included in the fully-adjusted model. Statistical tests of the proportional hazards assumption found the Cox proportional hazards regression to be suitable for the analyses. In patients with missing or unrecorded categorical clinical variables, the common assumption was made that these individuals did not have the condition. Multiple imputation techniques </w:t>
      </w:r>
      <w:r w:rsidR="00C35B5E" w:rsidRPr="00B85D62">
        <w:rPr>
          <w:rFonts w:cs="Arial"/>
          <w:noProof/>
          <w:color w:val="2B579A"/>
          <w:shd w:val="clear" w:color="auto" w:fill="E6E6E6"/>
          <w:vertAlign w:val="superscript"/>
        </w:rPr>
        <w:t>107</w:t>
      </w:r>
      <w:r w:rsidRPr="00B85D62">
        <w:rPr>
          <w:rFonts w:cs="Arial"/>
        </w:rPr>
        <w:t xml:space="preserve"> were used to substitute missing lifestyle </w:t>
      </w:r>
      <w:r w:rsidRPr="00B85D62">
        <w:rPr>
          <w:rFonts w:cs="Arial"/>
          <w:highlight w:val="magenta"/>
        </w:rPr>
        <w:t>data</w:t>
      </w:r>
      <w:r w:rsidRPr="00B85D62">
        <w:rPr>
          <w:rFonts w:cs="Arial"/>
        </w:rPr>
        <w:t xml:space="preserve"> where necessary. All analyses were performed using STATA SE15.</w:t>
      </w:r>
    </w:p>
    <w:p w14:paraId="1E6A3634" w14:textId="413F0B51" w:rsidR="00201D4F" w:rsidRPr="00B85D62" w:rsidRDefault="62E16D3F" w:rsidP="006C7E71">
      <w:pPr>
        <w:pStyle w:val="Heading3"/>
        <w:rPr>
          <w:rFonts w:eastAsia="Yu Gothic Light"/>
          <w:bCs/>
        </w:rPr>
      </w:pPr>
      <w:bookmarkStart w:id="113" w:name="_Toc61283519"/>
      <w:bookmarkStart w:id="114" w:name="_Toc76461055"/>
      <w:bookmarkStart w:id="115" w:name="_Toc107157467"/>
      <w:r w:rsidRPr="00B85D62">
        <w:t>Results</w:t>
      </w:r>
      <w:bookmarkEnd w:id="113"/>
      <w:bookmarkEnd w:id="114"/>
      <w:bookmarkEnd w:id="115"/>
    </w:p>
    <w:p w14:paraId="6BAE2E0C" w14:textId="185ADD00" w:rsidR="00201D4F" w:rsidRPr="00B85D62" w:rsidRDefault="1EF1C9BC" w:rsidP="0066232B">
      <w:pPr>
        <w:rPr>
          <w:rFonts w:eastAsia="Calibri" w:cs="Arial"/>
        </w:rPr>
      </w:pPr>
      <w:r w:rsidRPr="00B85D62">
        <w:rPr>
          <w:rFonts w:eastAsia="Calibri" w:cs="Arial"/>
        </w:rPr>
        <w:t xml:space="preserve">There were 3,936,934 patients in CPRD with records of either a total or LDL-cholesterol measurement between 1 January 1999 and 22 July 2016. Among these, 14,097 patients had clinical FH and no prior history of </w:t>
      </w:r>
      <w:r w:rsidR="00E7573F" w:rsidRPr="00B85D62">
        <w:rPr>
          <w:rFonts w:eastAsia="Calibri" w:cs="Arial"/>
        </w:rPr>
        <w:t>CVD</w:t>
      </w:r>
      <w:r w:rsidRPr="00B85D62">
        <w:rPr>
          <w:rFonts w:eastAsia="Calibri" w:cs="Arial"/>
        </w:rPr>
        <w:t xml:space="preserve"> at baseline. This </w:t>
      </w:r>
      <w:r w:rsidRPr="00B85D62">
        <w:rPr>
          <w:rFonts w:eastAsia="Calibri" w:cs="Arial"/>
          <w:highlight w:val="magenta"/>
        </w:rPr>
        <w:t>comprised of</w:t>
      </w:r>
      <w:r w:rsidRPr="00B85D62">
        <w:rPr>
          <w:rFonts w:eastAsia="Calibri" w:cs="Arial"/>
        </w:rPr>
        <w:t xml:space="preserve"> 5,152 patients with documented diagnosis of FH in the EHR, and 8,945 patients who had no documented FH diagnosis but had the clinical phenotype of FH based on the S</w:t>
      </w:r>
      <w:r w:rsidR="00082A91" w:rsidRPr="00B85D62">
        <w:rPr>
          <w:rFonts w:eastAsia="Calibri" w:cs="Arial"/>
        </w:rPr>
        <w:t>imon-</w:t>
      </w:r>
      <w:r w:rsidRPr="00B85D62">
        <w:rPr>
          <w:rFonts w:eastAsia="Calibri" w:cs="Arial"/>
        </w:rPr>
        <w:t>B</w:t>
      </w:r>
      <w:r w:rsidR="00082A91" w:rsidRPr="00B85D62">
        <w:rPr>
          <w:rFonts w:eastAsia="Calibri" w:cs="Arial"/>
        </w:rPr>
        <w:t>roome</w:t>
      </w:r>
      <w:r w:rsidRPr="00B85D62">
        <w:rPr>
          <w:rFonts w:eastAsia="Calibri" w:cs="Arial"/>
        </w:rPr>
        <w:t xml:space="preserve"> or DLCN diagnostic criteria for definite FH. Of these identified patients, 53.3% were females, the mean age at the start of follow-up was 42 years and mean body-mass index was 27.3kg/m</w:t>
      </w:r>
      <w:r w:rsidRPr="00B85D62">
        <w:rPr>
          <w:rFonts w:eastAsia="Calibri" w:cs="Arial"/>
          <w:vertAlign w:val="superscript"/>
        </w:rPr>
        <w:t>2</w:t>
      </w:r>
      <w:r w:rsidRPr="00B85D62">
        <w:rPr>
          <w:rFonts w:eastAsia="Calibri" w:cs="Arial"/>
        </w:rPr>
        <w:t>. FH patients were matched with 42,506 non-FH patients. As individuals with and without FH were matched on age and sex, the distribution of these characteristics were similar in both groups. The median follow-up time for FH and non-FH patients was 13.8 years (IQR 8.4</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7.7 years) and the average follow-up in person-years for patients with and without FH were 174,950 and 588,470 person-years respectively.</w:t>
      </w:r>
    </w:p>
    <w:p w14:paraId="6038C242" w14:textId="48843AFB" w:rsidR="00B85D62" w:rsidRPr="00B85D62" w:rsidRDefault="1EF1C9BC" w:rsidP="0066232B">
      <w:pPr>
        <w:rPr>
          <w:rFonts w:eastAsia="Calibri" w:cs="Arial"/>
        </w:rPr>
      </w:pPr>
      <w:r w:rsidRPr="00B85D62">
        <w:rPr>
          <w:rFonts w:eastAsia="Calibri" w:cs="Arial"/>
        </w:rPr>
        <w:t>The baseline demographic and clinical characteristics of patients with and without FH are shown in</w:t>
      </w:r>
      <w:r w:rsidR="00520C37" w:rsidRPr="00B85D62">
        <w:rPr>
          <w:rFonts w:eastAsia="Calibri"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2</w:t>
      </w:r>
      <w:r w:rsidRPr="00B85D62">
        <w:rPr>
          <w:rFonts w:eastAsia="Calibri" w:cs="Arial"/>
        </w:rPr>
        <w:t xml:space="preserve">. As expected, there was a significantly higher proportion of FH patients with a family history of premature coronary heart disease than non-FH patients (5.1% vs 2.7%, </w:t>
      </w:r>
      <w:r w:rsidRPr="00B85D62">
        <w:rPr>
          <w:rFonts w:eastAsia="Calibri" w:cs="Arial"/>
          <w:i/>
          <w:color w:val="00B0F0"/>
        </w:rPr>
        <w:t>p</w:t>
      </w:r>
      <w:r w:rsidRPr="00B85D62">
        <w:rPr>
          <w:rFonts w:eastAsia="Calibri" w:cs="Arial"/>
        </w:rPr>
        <w:t xml:space="preserve"> </w:t>
      </w:r>
      <w:r w:rsidR="00B85D62" w:rsidRPr="00B85D62">
        <w:rPr>
          <w:rFonts w:eastAsia="Calibri" w:cs="Arial"/>
          <w:color w:val="00B0F0"/>
        </w:rPr>
        <w:t>&lt;</w:t>
      </w:r>
      <w:r w:rsidR="00B85D62" w:rsidRPr="00B85D62">
        <w:rPr>
          <w:rFonts w:eastAsia="Calibri" w:cs="Arial"/>
          <w:color w:val="00B0F0"/>
        </w:rPr>
        <w:t> </w:t>
      </w:r>
      <w:r w:rsidR="00B85D62" w:rsidRPr="00B85D62">
        <w:rPr>
          <w:rFonts w:eastAsia="Calibri" w:cs="Arial"/>
          <w:color w:val="00B0F0"/>
        </w:rPr>
        <w:t>0</w:t>
      </w:r>
      <w:r w:rsidRPr="00B85D62">
        <w:rPr>
          <w:rFonts w:eastAsia="Calibri" w:cs="Arial"/>
        </w:rPr>
        <w:t xml:space="preserve">.001); and more FH than non-FH patients were on lipid-lowering medication at the start of the study (19.1% vs 4.7%, </w:t>
      </w:r>
      <w:r w:rsidRPr="00B85D62">
        <w:rPr>
          <w:rFonts w:eastAsia="Calibri" w:cs="Arial"/>
          <w:i/>
          <w:color w:val="00B0F0"/>
        </w:rPr>
        <w:t>p</w:t>
      </w:r>
      <w:r w:rsidR="00B85D62" w:rsidRPr="00B85D62">
        <w:rPr>
          <w:rFonts w:eastAsia="Calibri" w:cs="Arial"/>
          <w:color w:val="00B0F0"/>
        </w:rPr>
        <w:t>&lt;</w:t>
      </w:r>
      <w:r w:rsidR="00B85D62" w:rsidRPr="00B85D62">
        <w:rPr>
          <w:rFonts w:eastAsia="Calibri" w:cs="Arial"/>
          <w:color w:val="00B0F0"/>
        </w:rPr>
        <w:t> </w:t>
      </w:r>
      <w:r w:rsidR="00B85D62" w:rsidRPr="00B85D62">
        <w:rPr>
          <w:rFonts w:eastAsia="Calibri" w:cs="Arial"/>
          <w:color w:val="00B0F0"/>
        </w:rPr>
        <w:t>0</w:t>
      </w:r>
      <w:r w:rsidRPr="00B85D62">
        <w:rPr>
          <w:rFonts w:eastAsia="Calibri" w:cs="Arial"/>
        </w:rPr>
        <w:t>.001). Ethnicity records were missing in 85% of patients, but in those where it was recorded, 80% were White Caucasian. BMI records were available for 40% of patients, so multiple imputation with chained equations was used to estimate missing BMI values.</w:t>
      </w:r>
    </w:p>
    <w:p w14:paraId="097C5F8F" w14:textId="02306C1C" w:rsidR="00520C37" w:rsidRPr="00B85D62" w:rsidRDefault="00B85D62" w:rsidP="00520C37">
      <w:pPr>
        <w:pStyle w:val="Caption"/>
        <w:keepNext/>
        <w:rPr>
          <w:rFonts w:cs="Arial"/>
        </w:rPr>
      </w:pPr>
      <w:bookmarkStart w:id="116" w:name="_Toc79495147"/>
      <w:bookmarkStart w:id="117" w:name="_Toc79740197"/>
      <w:bookmarkStart w:id="118" w:name="_Toc107157356"/>
      <w:r w:rsidRPr="00B85D62">
        <w:rPr>
          <w:rFonts w:cs="Arial"/>
          <w:i/>
          <w:color w:val="FF0000"/>
        </w:rPr>
        <w:lastRenderedPageBreak/>
        <w:t>T</w:t>
      </w:r>
      <w:r w:rsidRPr="00B85D62">
        <w:rPr>
          <w:rFonts w:cs="Arial"/>
          <w:i/>
          <w:color w:val="FF0000"/>
        </w:rPr>
        <w:t>able</w:t>
      </w:r>
      <w:r w:rsidRPr="00B85D62">
        <w:rPr>
          <w:rFonts w:cs="Arial"/>
          <w:i/>
          <w:color w:val="FF0000"/>
        </w:rPr>
        <w:t xml:space="preserve"> </w:t>
      </w:r>
      <w:r w:rsidRPr="00B85D62">
        <w:rPr>
          <w:rFonts w:cs="Arial"/>
          <w:i/>
          <w:noProof/>
          <w:color w:val="FF0000"/>
        </w:rPr>
        <w:t>2</w:t>
      </w:r>
      <w:r w:rsidR="00520C37" w:rsidRPr="00B85D62">
        <w:rPr>
          <w:rFonts w:cs="Arial"/>
        </w:rPr>
        <w:t xml:space="preserve"> Baseline demographic and clinical characteristics of clinical FH and non-FH </w:t>
      </w:r>
      <w:bookmarkEnd w:id="116"/>
      <w:r w:rsidR="00895586" w:rsidRPr="00B85D62">
        <w:rPr>
          <w:rFonts w:cs="Arial"/>
        </w:rPr>
        <w:t>patients</w:t>
      </w:r>
      <w:bookmarkEnd w:id="117"/>
      <w:bookmarkEnd w:id="118"/>
    </w:p>
    <w:tbl>
      <w:tblPr>
        <w:tblStyle w:val="TableGrid1"/>
        <w:tblW w:w="0" w:type="auto"/>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657"/>
        <w:gridCol w:w="1053"/>
        <w:gridCol w:w="1583"/>
        <w:gridCol w:w="1858"/>
        <w:gridCol w:w="740"/>
      </w:tblGrid>
      <w:tr w:rsidR="00201D4F" w:rsidRPr="00B85D62" w14:paraId="66E2E309" w14:textId="77777777" w:rsidTr="00B85D62">
        <w:trPr>
          <w:cantSplit/>
        </w:trPr>
        <w:tc>
          <w:tcPr>
            <w:tcW w:w="0" w:type="auto"/>
            <w:shd w:val="clear" w:color="auto" w:fill="auto"/>
          </w:tcPr>
          <w:p w14:paraId="079E8E1F" w14:textId="77777777" w:rsidR="00B85D62" w:rsidRPr="00B85D62" w:rsidRDefault="00B85D62" w:rsidP="0066232B">
            <w:pPr>
              <w:rPr>
                <w:rFonts w:cs="Arial"/>
                <w:b/>
                <w:bCs/>
              </w:rPr>
            </w:pPr>
          </w:p>
          <w:p w14:paraId="1A76A84F" w14:textId="77777777" w:rsidR="00201D4F" w:rsidRPr="00B85D62" w:rsidRDefault="00201D4F" w:rsidP="0066232B">
            <w:pPr>
              <w:rPr>
                <w:rFonts w:cs="Arial"/>
              </w:rPr>
            </w:pPr>
            <w:r w:rsidRPr="00B85D62">
              <w:rPr>
                <w:rFonts w:cs="Arial"/>
                <w:b/>
                <w:bCs/>
              </w:rPr>
              <w:t>Risk factor variable</w:t>
            </w:r>
          </w:p>
        </w:tc>
        <w:tc>
          <w:tcPr>
            <w:tcW w:w="0" w:type="auto"/>
            <w:shd w:val="clear" w:color="auto" w:fill="auto"/>
          </w:tcPr>
          <w:p w14:paraId="68BEF913" w14:textId="77777777" w:rsidR="00B85D62" w:rsidRPr="00B85D62" w:rsidRDefault="00B85D62" w:rsidP="0066232B">
            <w:pPr>
              <w:rPr>
                <w:rFonts w:cs="Arial"/>
                <w:b/>
                <w:bCs/>
              </w:rPr>
            </w:pPr>
          </w:p>
          <w:p w14:paraId="5019009D" w14:textId="77777777" w:rsidR="00201D4F" w:rsidRPr="00B85D62" w:rsidRDefault="00201D4F" w:rsidP="0066232B">
            <w:pPr>
              <w:rPr>
                <w:rFonts w:cs="Arial"/>
              </w:rPr>
            </w:pPr>
            <w:r w:rsidRPr="00B85D62">
              <w:rPr>
                <w:rFonts w:cs="Arial"/>
                <w:b/>
                <w:bCs/>
              </w:rPr>
              <w:t xml:space="preserve">Unit </w:t>
            </w:r>
          </w:p>
        </w:tc>
        <w:tc>
          <w:tcPr>
            <w:tcW w:w="0" w:type="auto"/>
            <w:shd w:val="clear" w:color="auto" w:fill="auto"/>
          </w:tcPr>
          <w:p w14:paraId="0166487D" w14:textId="77777777" w:rsidR="00B85D62" w:rsidRPr="00B85D62" w:rsidRDefault="00B85D62" w:rsidP="0066232B">
            <w:pPr>
              <w:jc w:val="center"/>
              <w:rPr>
                <w:rFonts w:cs="Arial"/>
                <w:b/>
                <w:bCs/>
              </w:rPr>
            </w:pPr>
          </w:p>
          <w:p w14:paraId="38F54424" w14:textId="5238515F" w:rsidR="00201D4F" w:rsidRPr="00B85D62" w:rsidRDefault="00201D4F" w:rsidP="0066232B">
            <w:pPr>
              <w:jc w:val="center"/>
              <w:rPr>
                <w:rFonts w:cs="Arial"/>
                <w:b/>
                <w:bCs/>
              </w:rPr>
            </w:pPr>
            <w:r w:rsidRPr="00B85D62">
              <w:rPr>
                <w:rFonts w:cs="Arial"/>
                <w:b/>
                <w:bCs/>
              </w:rPr>
              <w:t xml:space="preserve">FH </w:t>
            </w:r>
            <w:r w:rsidR="001066FA" w:rsidRPr="00B85D62">
              <w:rPr>
                <w:rFonts w:cs="Arial"/>
                <w:b/>
                <w:bCs/>
              </w:rPr>
              <w:t>patients</w:t>
            </w:r>
            <w:r w:rsidRPr="00B85D62">
              <w:rPr>
                <w:rFonts w:cs="Arial"/>
                <w:b/>
                <w:bCs/>
              </w:rPr>
              <w:t xml:space="preserve"> </w:t>
            </w:r>
            <w:r w:rsidRPr="00B85D62">
              <w:rPr>
                <w:rFonts w:cs="Arial"/>
                <w:b/>
                <w:bCs/>
                <w:i/>
                <w:color w:val="00B0F0"/>
              </w:rPr>
              <w:t>n</w:t>
            </w:r>
            <w:r w:rsidRPr="00B85D62">
              <w:rPr>
                <w:rFonts w:cs="Arial"/>
                <w:b/>
                <w:bCs/>
              </w:rPr>
              <w:t>=14,097</w:t>
            </w:r>
          </w:p>
        </w:tc>
        <w:tc>
          <w:tcPr>
            <w:tcW w:w="0" w:type="auto"/>
            <w:shd w:val="clear" w:color="auto" w:fill="auto"/>
          </w:tcPr>
          <w:p w14:paraId="4BF79D2E" w14:textId="77777777" w:rsidR="00B85D62" w:rsidRPr="00B85D62" w:rsidRDefault="00B85D62" w:rsidP="0066232B">
            <w:pPr>
              <w:jc w:val="center"/>
              <w:rPr>
                <w:rFonts w:cs="Arial"/>
                <w:b/>
                <w:bCs/>
              </w:rPr>
            </w:pPr>
          </w:p>
          <w:p w14:paraId="29DA0070" w14:textId="7189ACB4" w:rsidR="00201D4F" w:rsidRPr="00B85D62" w:rsidRDefault="00201D4F" w:rsidP="0066232B">
            <w:pPr>
              <w:jc w:val="center"/>
              <w:rPr>
                <w:rFonts w:cs="Arial"/>
                <w:b/>
                <w:bCs/>
              </w:rPr>
            </w:pPr>
            <w:r w:rsidRPr="00B85D62">
              <w:rPr>
                <w:rFonts w:cs="Arial"/>
                <w:b/>
                <w:bCs/>
              </w:rPr>
              <w:t xml:space="preserve">Non-FH </w:t>
            </w:r>
            <w:r w:rsidR="001066FA" w:rsidRPr="00B85D62">
              <w:rPr>
                <w:rFonts w:cs="Arial"/>
                <w:b/>
                <w:bCs/>
              </w:rPr>
              <w:t>patients</w:t>
            </w:r>
            <w:r w:rsidRPr="00B85D62">
              <w:rPr>
                <w:rFonts w:cs="Arial"/>
                <w:b/>
                <w:bCs/>
              </w:rPr>
              <w:t xml:space="preserve"> </w:t>
            </w:r>
            <w:r w:rsidRPr="00B85D62">
              <w:rPr>
                <w:rFonts w:cs="Arial"/>
                <w:b/>
                <w:bCs/>
                <w:i/>
                <w:color w:val="00B0F0"/>
              </w:rPr>
              <w:t>n</w:t>
            </w:r>
            <w:r w:rsidRPr="00B85D62">
              <w:rPr>
                <w:rFonts w:cs="Arial"/>
                <w:b/>
                <w:bCs/>
              </w:rPr>
              <w:t>=42,506</w:t>
            </w:r>
          </w:p>
        </w:tc>
        <w:tc>
          <w:tcPr>
            <w:tcW w:w="0" w:type="auto"/>
            <w:shd w:val="clear" w:color="auto" w:fill="auto"/>
          </w:tcPr>
          <w:p w14:paraId="7555C946" w14:textId="77777777" w:rsidR="00B85D62" w:rsidRPr="00B85D62" w:rsidRDefault="00B85D62" w:rsidP="0066232B">
            <w:pPr>
              <w:jc w:val="center"/>
              <w:rPr>
                <w:rFonts w:cs="Arial"/>
                <w:b/>
                <w:bCs/>
              </w:rPr>
            </w:pPr>
          </w:p>
          <w:p w14:paraId="27579B05" w14:textId="77777777" w:rsidR="00201D4F" w:rsidRPr="00B85D62" w:rsidRDefault="00201D4F" w:rsidP="0066232B">
            <w:pPr>
              <w:jc w:val="center"/>
              <w:rPr>
                <w:rFonts w:cs="Arial"/>
                <w:b/>
                <w:bCs/>
              </w:rPr>
            </w:pPr>
            <w:r w:rsidRPr="00B85D62">
              <w:rPr>
                <w:rFonts w:cs="Arial"/>
                <w:b/>
                <w:bCs/>
                <w:i/>
                <w:color w:val="00B0F0"/>
              </w:rPr>
              <w:t>p</w:t>
            </w:r>
            <w:r w:rsidRPr="00B85D62">
              <w:rPr>
                <w:rFonts w:cs="Arial"/>
                <w:b/>
                <w:bCs/>
              </w:rPr>
              <w:t>-value</w:t>
            </w:r>
          </w:p>
        </w:tc>
      </w:tr>
      <w:tr w:rsidR="00201D4F" w:rsidRPr="00B85D62" w14:paraId="4537F511" w14:textId="77777777" w:rsidTr="00B85D62">
        <w:trPr>
          <w:cantSplit/>
        </w:trPr>
        <w:tc>
          <w:tcPr>
            <w:tcW w:w="0" w:type="auto"/>
            <w:shd w:val="clear" w:color="auto" w:fill="auto"/>
          </w:tcPr>
          <w:p w14:paraId="292CB067" w14:textId="77777777" w:rsidR="00201D4F" w:rsidRPr="00B85D62" w:rsidRDefault="00201D4F" w:rsidP="0066232B">
            <w:pPr>
              <w:rPr>
                <w:rFonts w:cs="Arial"/>
              </w:rPr>
            </w:pPr>
            <w:r w:rsidRPr="00B85D62">
              <w:rPr>
                <w:rFonts w:cs="Arial"/>
                <w:b/>
                <w:bCs/>
              </w:rPr>
              <w:t>Age at start of study</w:t>
            </w:r>
          </w:p>
        </w:tc>
        <w:tc>
          <w:tcPr>
            <w:tcW w:w="0" w:type="auto"/>
            <w:shd w:val="clear" w:color="auto" w:fill="auto"/>
          </w:tcPr>
          <w:p w14:paraId="32783AFB" w14:textId="77777777" w:rsidR="00201D4F" w:rsidRPr="00B85D62" w:rsidRDefault="00201D4F" w:rsidP="0066232B">
            <w:pPr>
              <w:rPr>
                <w:rFonts w:cs="Arial"/>
              </w:rPr>
            </w:pPr>
            <w:r w:rsidRPr="00B85D62">
              <w:rPr>
                <w:rFonts w:cs="Arial"/>
              </w:rPr>
              <w:t>mean (SD)</w:t>
            </w:r>
          </w:p>
        </w:tc>
        <w:tc>
          <w:tcPr>
            <w:tcW w:w="0" w:type="auto"/>
            <w:shd w:val="clear" w:color="auto" w:fill="auto"/>
          </w:tcPr>
          <w:p w14:paraId="497B87AC" w14:textId="77777777" w:rsidR="00201D4F" w:rsidRPr="00B85D62" w:rsidRDefault="00201D4F" w:rsidP="0066232B">
            <w:pPr>
              <w:jc w:val="center"/>
              <w:rPr>
                <w:rFonts w:cs="Arial"/>
              </w:rPr>
            </w:pPr>
            <w:r w:rsidRPr="00B85D62">
              <w:rPr>
                <w:rFonts w:cs="Arial"/>
              </w:rPr>
              <w:t>42.5 (11.7)</w:t>
            </w:r>
          </w:p>
        </w:tc>
        <w:tc>
          <w:tcPr>
            <w:tcW w:w="0" w:type="auto"/>
            <w:shd w:val="clear" w:color="auto" w:fill="auto"/>
          </w:tcPr>
          <w:p w14:paraId="2310BF2E" w14:textId="77777777" w:rsidR="00201D4F" w:rsidRPr="00B85D62" w:rsidRDefault="00201D4F" w:rsidP="0066232B">
            <w:pPr>
              <w:jc w:val="center"/>
              <w:rPr>
                <w:rFonts w:cs="Arial"/>
              </w:rPr>
            </w:pPr>
            <w:r w:rsidRPr="00B85D62">
              <w:rPr>
                <w:rFonts w:cs="Arial"/>
              </w:rPr>
              <w:t>41.6 (12.5)</w:t>
            </w:r>
          </w:p>
        </w:tc>
        <w:tc>
          <w:tcPr>
            <w:tcW w:w="0" w:type="auto"/>
            <w:shd w:val="clear" w:color="auto" w:fill="auto"/>
          </w:tcPr>
          <w:p w14:paraId="54831E8D" w14:textId="77777777" w:rsidR="00201D4F" w:rsidRPr="00B85D62" w:rsidRDefault="00201D4F" w:rsidP="0066232B">
            <w:pPr>
              <w:jc w:val="center"/>
              <w:rPr>
                <w:rFonts w:cs="Arial"/>
              </w:rPr>
            </w:pPr>
            <w:r w:rsidRPr="00B85D62">
              <w:rPr>
                <w:rFonts w:cs="Arial"/>
              </w:rPr>
              <w:t xml:space="preserve"> </w:t>
            </w:r>
          </w:p>
        </w:tc>
      </w:tr>
      <w:tr w:rsidR="00201D4F" w:rsidRPr="00B85D62" w14:paraId="702BA7F0" w14:textId="77777777" w:rsidTr="00B85D62">
        <w:trPr>
          <w:cantSplit/>
        </w:trPr>
        <w:tc>
          <w:tcPr>
            <w:tcW w:w="0" w:type="auto"/>
            <w:shd w:val="clear" w:color="auto" w:fill="auto"/>
          </w:tcPr>
          <w:p w14:paraId="0EC171F5" w14:textId="77777777" w:rsidR="00201D4F" w:rsidRPr="00B85D62" w:rsidRDefault="00201D4F" w:rsidP="0066232B">
            <w:pPr>
              <w:rPr>
                <w:rFonts w:cs="Arial"/>
              </w:rPr>
            </w:pPr>
            <w:r w:rsidRPr="00B85D62">
              <w:rPr>
                <w:rFonts w:cs="Arial"/>
                <w:b/>
                <w:bCs/>
              </w:rPr>
              <w:t>Sex</w:t>
            </w:r>
          </w:p>
          <w:p w14:paraId="2E3D833F" w14:textId="77777777" w:rsidR="00201D4F" w:rsidRPr="00B85D62" w:rsidRDefault="00201D4F" w:rsidP="0066232B">
            <w:pPr>
              <w:ind w:firstLine="171"/>
              <w:rPr>
                <w:rFonts w:cs="Arial"/>
                <w:b/>
                <w:bCs/>
              </w:rPr>
            </w:pPr>
            <w:r w:rsidRPr="00B85D62">
              <w:rPr>
                <w:rFonts w:cs="Arial"/>
                <w:b/>
                <w:bCs/>
              </w:rPr>
              <w:t>Male</w:t>
            </w:r>
          </w:p>
          <w:p w14:paraId="08E0C70E" w14:textId="77777777" w:rsidR="00201D4F" w:rsidRPr="00B85D62" w:rsidRDefault="00201D4F" w:rsidP="0066232B">
            <w:pPr>
              <w:ind w:firstLine="171"/>
              <w:rPr>
                <w:rFonts w:cs="Arial"/>
                <w:b/>
                <w:bCs/>
              </w:rPr>
            </w:pPr>
            <w:r w:rsidRPr="00B85D62">
              <w:rPr>
                <w:rFonts w:cs="Arial"/>
                <w:b/>
                <w:bCs/>
              </w:rPr>
              <w:t>Female</w:t>
            </w:r>
          </w:p>
        </w:tc>
        <w:tc>
          <w:tcPr>
            <w:tcW w:w="0" w:type="auto"/>
            <w:shd w:val="clear" w:color="auto" w:fill="auto"/>
          </w:tcPr>
          <w:p w14:paraId="77176662" w14:textId="77777777" w:rsidR="00B85D62" w:rsidRPr="00B85D62" w:rsidRDefault="00B85D62" w:rsidP="0066232B">
            <w:pPr>
              <w:rPr>
                <w:rFonts w:cs="Arial"/>
              </w:rPr>
            </w:pPr>
          </w:p>
          <w:p w14:paraId="06E6D8D7"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61196C0C" w14:textId="77777777" w:rsidR="00201D4F" w:rsidRPr="00B85D62" w:rsidRDefault="00201D4F" w:rsidP="0066232B">
            <w:pPr>
              <w:jc w:val="center"/>
              <w:rPr>
                <w:rFonts w:cs="Arial"/>
                <w:color w:val="FF0000"/>
              </w:rPr>
            </w:pPr>
            <w:r w:rsidRPr="00B85D62">
              <w:rPr>
                <w:rFonts w:cs="Arial"/>
                <w:color w:val="FF0000"/>
              </w:rPr>
              <w:t xml:space="preserve"> </w:t>
            </w:r>
          </w:p>
          <w:p w14:paraId="2752EE30" w14:textId="77777777" w:rsidR="00201D4F" w:rsidRPr="00B85D62" w:rsidRDefault="00201D4F" w:rsidP="0066232B">
            <w:pPr>
              <w:jc w:val="center"/>
              <w:rPr>
                <w:rFonts w:cs="Arial"/>
              </w:rPr>
            </w:pPr>
            <w:r w:rsidRPr="00B85D62">
              <w:rPr>
                <w:rFonts w:cs="Arial"/>
              </w:rPr>
              <w:t>6,578 (46.7)</w:t>
            </w:r>
          </w:p>
          <w:p w14:paraId="33887B82" w14:textId="77777777" w:rsidR="00201D4F" w:rsidRPr="00B85D62" w:rsidRDefault="00201D4F" w:rsidP="0066232B">
            <w:pPr>
              <w:jc w:val="center"/>
              <w:rPr>
                <w:rFonts w:cs="Arial"/>
              </w:rPr>
            </w:pPr>
            <w:r w:rsidRPr="00B85D62">
              <w:rPr>
                <w:rFonts w:cs="Arial"/>
              </w:rPr>
              <w:t>7,519 (53.3)</w:t>
            </w:r>
          </w:p>
        </w:tc>
        <w:tc>
          <w:tcPr>
            <w:tcW w:w="0" w:type="auto"/>
            <w:shd w:val="clear" w:color="auto" w:fill="auto"/>
          </w:tcPr>
          <w:p w14:paraId="15F6FC6D" w14:textId="77777777" w:rsidR="00201D4F" w:rsidRPr="00B85D62" w:rsidRDefault="00201D4F" w:rsidP="0066232B">
            <w:pPr>
              <w:jc w:val="center"/>
              <w:rPr>
                <w:rFonts w:cs="Arial"/>
                <w:color w:val="FF0000"/>
              </w:rPr>
            </w:pPr>
            <w:r w:rsidRPr="00B85D62">
              <w:rPr>
                <w:rFonts w:cs="Arial"/>
                <w:color w:val="FF0000"/>
              </w:rPr>
              <w:t xml:space="preserve"> </w:t>
            </w:r>
          </w:p>
          <w:p w14:paraId="3F3E9F0A" w14:textId="77777777" w:rsidR="00201D4F" w:rsidRPr="00B85D62" w:rsidRDefault="00201D4F" w:rsidP="0066232B">
            <w:pPr>
              <w:jc w:val="center"/>
              <w:rPr>
                <w:rFonts w:cs="Arial"/>
              </w:rPr>
            </w:pPr>
            <w:r w:rsidRPr="00B85D62">
              <w:rPr>
                <w:rFonts w:cs="Arial"/>
              </w:rPr>
              <w:t>19,843 (46.7)</w:t>
            </w:r>
          </w:p>
          <w:p w14:paraId="60681A5F" w14:textId="77777777" w:rsidR="00201D4F" w:rsidRPr="00B85D62" w:rsidRDefault="00201D4F" w:rsidP="0066232B">
            <w:pPr>
              <w:jc w:val="center"/>
              <w:rPr>
                <w:rFonts w:cs="Arial"/>
              </w:rPr>
            </w:pPr>
            <w:r w:rsidRPr="00B85D62">
              <w:rPr>
                <w:rFonts w:cs="Arial"/>
              </w:rPr>
              <w:t>22,663 (53.3)</w:t>
            </w:r>
          </w:p>
        </w:tc>
        <w:tc>
          <w:tcPr>
            <w:tcW w:w="0" w:type="auto"/>
            <w:shd w:val="clear" w:color="auto" w:fill="auto"/>
          </w:tcPr>
          <w:p w14:paraId="14C8A341" w14:textId="77777777" w:rsidR="00201D4F" w:rsidRPr="00B85D62" w:rsidRDefault="00201D4F" w:rsidP="0066232B">
            <w:pPr>
              <w:jc w:val="center"/>
              <w:rPr>
                <w:rFonts w:cs="Arial"/>
                <w:color w:val="FF0000"/>
              </w:rPr>
            </w:pPr>
            <w:r w:rsidRPr="00B85D62">
              <w:rPr>
                <w:rFonts w:cs="Arial"/>
                <w:color w:val="FF0000"/>
              </w:rPr>
              <w:t xml:space="preserve"> </w:t>
            </w:r>
          </w:p>
        </w:tc>
      </w:tr>
      <w:tr w:rsidR="00201D4F" w:rsidRPr="00B85D62" w14:paraId="4A72A22F" w14:textId="77777777" w:rsidTr="00B85D62">
        <w:trPr>
          <w:cantSplit/>
        </w:trPr>
        <w:tc>
          <w:tcPr>
            <w:tcW w:w="0" w:type="auto"/>
            <w:shd w:val="clear" w:color="auto" w:fill="auto"/>
          </w:tcPr>
          <w:p w14:paraId="55D68C49" w14:textId="77777777" w:rsidR="00201D4F" w:rsidRPr="00B85D62" w:rsidRDefault="00201D4F" w:rsidP="0066232B">
            <w:pPr>
              <w:rPr>
                <w:rFonts w:cs="Arial"/>
              </w:rPr>
            </w:pPr>
            <w:r w:rsidRPr="00B85D62">
              <w:rPr>
                <w:rFonts w:cs="Arial"/>
                <w:b/>
                <w:bCs/>
              </w:rPr>
              <w:t>Follow-up (years)</w:t>
            </w:r>
          </w:p>
        </w:tc>
        <w:tc>
          <w:tcPr>
            <w:tcW w:w="0" w:type="auto"/>
            <w:shd w:val="clear" w:color="auto" w:fill="auto"/>
          </w:tcPr>
          <w:p w14:paraId="22D0AE27" w14:textId="77777777" w:rsidR="00201D4F" w:rsidRPr="00B85D62" w:rsidRDefault="00201D4F" w:rsidP="0066232B">
            <w:pPr>
              <w:rPr>
                <w:rFonts w:cs="Arial"/>
              </w:rPr>
            </w:pPr>
            <w:r w:rsidRPr="00B85D62">
              <w:rPr>
                <w:rFonts w:cs="Arial"/>
              </w:rPr>
              <w:t>median (IQR)</w:t>
            </w:r>
          </w:p>
        </w:tc>
        <w:tc>
          <w:tcPr>
            <w:tcW w:w="0" w:type="auto"/>
            <w:shd w:val="clear" w:color="auto" w:fill="auto"/>
          </w:tcPr>
          <w:p w14:paraId="3AB5DBA5" w14:textId="284B1A9C" w:rsidR="00201D4F" w:rsidRPr="00B85D62" w:rsidRDefault="00201D4F" w:rsidP="0066232B">
            <w:pPr>
              <w:jc w:val="center"/>
              <w:rPr>
                <w:rFonts w:cs="Arial"/>
              </w:rPr>
            </w:pPr>
            <w:r w:rsidRPr="00B85D62">
              <w:rPr>
                <w:rFonts w:cs="Arial"/>
              </w:rPr>
              <w:t>12.4 (7.1</w:t>
            </w:r>
            <w:r w:rsidR="00B85D62" w:rsidRPr="00B85D62">
              <w:rPr>
                <w:rFonts w:cs="Arial"/>
                <w:color w:val="00B0F0"/>
              </w:rPr>
              <w:t>–</w:t>
            </w:r>
            <w:r w:rsidR="00B85D62" w:rsidRPr="00B85D62">
              <w:rPr>
                <w:rFonts w:cs="Arial"/>
                <w:color w:val="00B0F0"/>
              </w:rPr>
              <w:t>1</w:t>
            </w:r>
            <w:r w:rsidRPr="00B85D62">
              <w:rPr>
                <w:rFonts w:cs="Arial"/>
              </w:rPr>
              <w:t>6.8)</w:t>
            </w:r>
          </w:p>
        </w:tc>
        <w:tc>
          <w:tcPr>
            <w:tcW w:w="0" w:type="auto"/>
            <w:shd w:val="clear" w:color="auto" w:fill="auto"/>
          </w:tcPr>
          <w:p w14:paraId="6DB81BBC" w14:textId="78160F7D" w:rsidR="00201D4F" w:rsidRPr="00B85D62" w:rsidRDefault="00201D4F" w:rsidP="0066232B">
            <w:pPr>
              <w:jc w:val="center"/>
              <w:rPr>
                <w:rFonts w:cs="Arial"/>
              </w:rPr>
            </w:pPr>
            <w:r w:rsidRPr="00B85D62">
              <w:rPr>
                <w:rFonts w:cs="Arial"/>
              </w:rPr>
              <w:t>14.2 (8.8</w:t>
            </w:r>
            <w:r w:rsidR="00B85D62" w:rsidRPr="00B85D62">
              <w:rPr>
                <w:rFonts w:cs="Arial"/>
                <w:color w:val="00B0F0"/>
              </w:rPr>
              <w:t>–</w:t>
            </w:r>
            <w:r w:rsidR="00B85D62" w:rsidRPr="00B85D62">
              <w:rPr>
                <w:rFonts w:cs="Arial"/>
                <w:color w:val="00B0F0"/>
              </w:rPr>
              <w:t>1</w:t>
            </w:r>
            <w:r w:rsidRPr="00B85D62">
              <w:rPr>
                <w:rFonts w:cs="Arial"/>
              </w:rPr>
              <w:t>7.8)</w:t>
            </w:r>
          </w:p>
        </w:tc>
        <w:tc>
          <w:tcPr>
            <w:tcW w:w="0" w:type="auto"/>
            <w:shd w:val="clear" w:color="auto" w:fill="auto"/>
          </w:tcPr>
          <w:p w14:paraId="4B0CF07C" w14:textId="77777777" w:rsidR="00201D4F" w:rsidRPr="00B85D62" w:rsidRDefault="00201D4F" w:rsidP="0066232B">
            <w:pPr>
              <w:jc w:val="center"/>
              <w:rPr>
                <w:rFonts w:cs="Arial"/>
              </w:rPr>
            </w:pPr>
            <w:r w:rsidRPr="00B85D62">
              <w:rPr>
                <w:rFonts w:cs="Arial"/>
              </w:rPr>
              <w:t xml:space="preserve"> </w:t>
            </w:r>
          </w:p>
        </w:tc>
      </w:tr>
      <w:tr w:rsidR="00201D4F" w:rsidRPr="00B85D62" w14:paraId="299D0EAD" w14:textId="77777777" w:rsidTr="00B85D62">
        <w:trPr>
          <w:cantSplit/>
        </w:trPr>
        <w:tc>
          <w:tcPr>
            <w:tcW w:w="0" w:type="auto"/>
            <w:shd w:val="clear" w:color="auto" w:fill="auto"/>
          </w:tcPr>
          <w:p w14:paraId="2AC4B673" w14:textId="77777777" w:rsidR="00201D4F" w:rsidRPr="00B85D62" w:rsidRDefault="00201D4F" w:rsidP="0066232B">
            <w:pPr>
              <w:rPr>
                <w:rFonts w:cs="Arial"/>
              </w:rPr>
            </w:pPr>
            <w:r w:rsidRPr="00B85D62">
              <w:rPr>
                <w:rFonts w:cs="Arial"/>
                <w:b/>
                <w:bCs/>
              </w:rPr>
              <w:t xml:space="preserve">Body mass index </w:t>
            </w:r>
          </w:p>
        </w:tc>
        <w:tc>
          <w:tcPr>
            <w:tcW w:w="0" w:type="auto"/>
            <w:shd w:val="clear" w:color="auto" w:fill="auto"/>
          </w:tcPr>
          <w:p w14:paraId="5798174B" w14:textId="1F47CC31" w:rsidR="00201D4F" w:rsidRPr="00B85D62" w:rsidRDefault="00201D4F" w:rsidP="0066232B">
            <w:pPr>
              <w:rPr>
                <w:rFonts w:cs="Arial"/>
              </w:rPr>
            </w:pPr>
            <w:r w:rsidRPr="00B85D62">
              <w:rPr>
                <w:rFonts w:cs="Arial"/>
              </w:rPr>
              <w:t>kg/m</w:t>
            </w:r>
            <w:r w:rsidRPr="00B85D62">
              <w:rPr>
                <w:rFonts w:cs="Arial"/>
                <w:vertAlign w:val="superscript"/>
              </w:rPr>
              <w:t>2</w:t>
            </w:r>
            <w:r w:rsidR="00895586" w:rsidRPr="00B85D62">
              <w:rPr>
                <w:rFonts w:cs="Arial"/>
                <w:vertAlign w:val="superscript"/>
              </w:rPr>
              <w:t xml:space="preserve"> </w:t>
            </w:r>
            <w:r w:rsidRPr="00B85D62">
              <w:rPr>
                <w:rFonts w:cs="Arial"/>
              </w:rPr>
              <w:t>(SD)</w:t>
            </w:r>
          </w:p>
        </w:tc>
        <w:tc>
          <w:tcPr>
            <w:tcW w:w="0" w:type="auto"/>
            <w:shd w:val="clear" w:color="auto" w:fill="auto"/>
          </w:tcPr>
          <w:p w14:paraId="00C276F6" w14:textId="77777777" w:rsidR="00201D4F" w:rsidRPr="00B85D62" w:rsidRDefault="00201D4F" w:rsidP="0066232B">
            <w:pPr>
              <w:jc w:val="center"/>
              <w:rPr>
                <w:rFonts w:cs="Arial"/>
              </w:rPr>
            </w:pPr>
            <w:r w:rsidRPr="00B85D62">
              <w:rPr>
                <w:rFonts w:cs="Arial"/>
              </w:rPr>
              <w:t>27.8 (5.4)</w:t>
            </w:r>
          </w:p>
        </w:tc>
        <w:tc>
          <w:tcPr>
            <w:tcW w:w="0" w:type="auto"/>
            <w:shd w:val="clear" w:color="auto" w:fill="auto"/>
          </w:tcPr>
          <w:p w14:paraId="3F5A5F42" w14:textId="77777777" w:rsidR="00201D4F" w:rsidRPr="00B85D62" w:rsidRDefault="00201D4F" w:rsidP="0066232B">
            <w:pPr>
              <w:jc w:val="center"/>
              <w:rPr>
                <w:rFonts w:cs="Arial"/>
              </w:rPr>
            </w:pPr>
            <w:r w:rsidRPr="00B85D62">
              <w:rPr>
                <w:rFonts w:cs="Arial"/>
              </w:rPr>
              <w:t>26.2 (5.6)</w:t>
            </w:r>
          </w:p>
        </w:tc>
        <w:tc>
          <w:tcPr>
            <w:tcW w:w="0" w:type="auto"/>
            <w:shd w:val="clear" w:color="auto" w:fill="auto"/>
          </w:tcPr>
          <w:p w14:paraId="0905410C" w14:textId="0DD551E5" w:rsidR="00201D4F" w:rsidRPr="00B85D62" w:rsidRDefault="00B85D62" w:rsidP="0066232B">
            <w:pPr>
              <w:jc w:val="center"/>
              <w:rPr>
                <w:rFonts w:cs="Arial"/>
              </w:rPr>
            </w:pPr>
            <w:r w:rsidRPr="00B85D62">
              <w:rPr>
                <w:rFonts w:cs="Arial"/>
                <w:color w:val="00B0F0"/>
              </w:rPr>
              <w:t>&lt;</w:t>
            </w:r>
            <w:r w:rsidRPr="00B85D62">
              <w:rPr>
                <w:rFonts w:cs="Arial"/>
                <w:color w:val="00B0F0"/>
              </w:rPr>
              <w:t> </w:t>
            </w:r>
            <w:r w:rsidRPr="00B85D62">
              <w:rPr>
                <w:rFonts w:cs="Arial"/>
                <w:color w:val="00B0F0"/>
              </w:rPr>
              <w:t>0</w:t>
            </w:r>
            <w:r w:rsidR="00201D4F" w:rsidRPr="00B85D62">
              <w:rPr>
                <w:rFonts w:cs="Arial"/>
              </w:rPr>
              <w:t>.001</w:t>
            </w:r>
          </w:p>
        </w:tc>
      </w:tr>
      <w:tr w:rsidR="00201D4F" w:rsidRPr="00B85D62" w14:paraId="0874DBF5" w14:textId="77777777" w:rsidTr="00B85D62">
        <w:trPr>
          <w:cantSplit/>
        </w:trPr>
        <w:tc>
          <w:tcPr>
            <w:tcW w:w="0" w:type="auto"/>
            <w:shd w:val="clear" w:color="auto" w:fill="auto"/>
          </w:tcPr>
          <w:p w14:paraId="0948C7DC" w14:textId="77777777" w:rsidR="00201D4F" w:rsidRPr="00B85D62" w:rsidRDefault="00201D4F" w:rsidP="0066232B">
            <w:pPr>
              <w:rPr>
                <w:rFonts w:cs="Arial"/>
              </w:rPr>
            </w:pPr>
            <w:r w:rsidRPr="00B85D62">
              <w:rPr>
                <w:rFonts w:cs="Arial"/>
                <w:b/>
                <w:bCs/>
              </w:rPr>
              <w:t>Alcohol misuse</w:t>
            </w:r>
            <w:r w:rsidRPr="00B85D62">
              <w:rPr>
                <w:rFonts w:cs="Arial"/>
                <w:b/>
                <w:bCs/>
                <w:vertAlign w:val="superscript"/>
              </w:rPr>
              <w:t>1</w:t>
            </w:r>
          </w:p>
        </w:tc>
        <w:tc>
          <w:tcPr>
            <w:tcW w:w="0" w:type="auto"/>
            <w:shd w:val="clear" w:color="auto" w:fill="auto"/>
          </w:tcPr>
          <w:p w14:paraId="48280190"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41D0C575" w14:textId="77777777" w:rsidR="00201D4F" w:rsidRPr="00B85D62" w:rsidRDefault="00201D4F" w:rsidP="0066232B">
            <w:pPr>
              <w:jc w:val="center"/>
              <w:rPr>
                <w:rFonts w:cs="Arial"/>
              </w:rPr>
            </w:pPr>
            <w:r w:rsidRPr="00B85D62">
              <w:rPr>
                <w:rFonts w:cs="Arial"/>
              </w:rPr>
              <w:t>265 (1.9)</w:t>
            </w:r>
          </w:p>
        </w:tc>
        <w:tc>
          <w:tcPr>
            <w:tcW w:w="0" w:type="auto"/>
            <w:shd w:val="clear" w:color="auto" w:fill="auto"/>
          </w:tcPr>
          <w:p w14:paraId="0133F2AC" w14:textId="77777777" w:rsidR="00201D4F" w:rsidRPr="00B85D62" w:rsidRDefault="00201D4F" w:rsidP="0066232B">
            <w:pPr>
              <w:jc w:val="center"/>
              <w:rPr>
                <w:rFonts w:cs="Arial"/>
              </w:rPr>
            </w:pPr>
            <w:r w:rsidRPr="00B85D62">
              <w:rPr>
                <w:rFonts w:cs="Arial"/>
              </w:rPr>
              <w:t>712 (1.7)</w:t>
            </w:r>
          </w:p>
        </w:tc>
        <w:tc>
          <w:tcPr>
            <w:tcW w:w="0" w:type="auto"/>
            <w:shd w:val="clear" w:color="auto" w:fill="auto"/>
          </w:tcPr>
          <w:p w14:paraId="40F169CE" w14:textId="77777777" w:rsidR="00201D4F" w:rsidRPr="00B85D62" w:rsidRDefault="00201D4F" w:rsidP="0066232B">
            <w:pPr>
              <w:jc w:val="center"/>
              <w:rPr>
                <w:rFonts w:cs="Arial"/>
              </w:rPr>
            </w:pPr>
            <w:r w:rsidRPr="00B85D62">
              <w:rPr>
                <w:rFonts w:cs="Arial"/>
              </w:rPr>
              <w:t>0.106</w:t>
            </w:r>
          </w:p>
        </w:tc>
      </w:tr>
      <w:tr w:rsidR="00201D4F" w:rsidRPr="00B85D62" w14:paraId="307AF746" w14:textId="77777777" w:rsidTr="00B85D62">
        <w:trPr>
          <w:cantSplit/>
        </w:trPr>
        <w:tc>
          <w:tcPr>
            <w:tcW w:w="0" w:type="auto"/>
            <w:shd w:val="clear" w:color="auto" w:fill="auto"/>
          </w:tcPr>
          <w:p w14:paraId="0626F5F6" w14:textId="77777777" w:rsidR="00201D4F" w:rsidRPr="00B85D62" w:rsidRDefault="00201D4F" w:rsidP="0066232B">
            <w:pPr>
              <w:rPr>
                <w:rFonts w:cs="Arial"/>
              </w:rPr>
            </w:pPr>
            <w:r w:rsidRPr="00B85D62">
              <w:rPr>
                <w:rFonts w:cs="Arial"/>
                <w:b/>
                <w:bCs/>
              </w:rPr>
              <w:t>Ever-smoked record</w:t>
            </w:r>
            <w:r w:rsidRPr="00B85D62">
              <w:rPr>
                <w:rFonts w:cs="Arial"/>
                <w:b/>
                <w:bCs/>
                <w:vertAlign w:val="superscript"/>
              </w:rPr>
              <w:t>2</w:t>
            </w:r>
            <w:r w:rsidRPr="00B85D62">
              <w:rPr>
                <w:rFonts w:cs="Arial"/>
                <w:b/>
                <w:bCs/>
              </w:rPr>
              <w:t xml:space="preserve"> (yes/no)</w:t>
            </w:r>
          </w:p>
        </w:tc>
        <w:tc>
          <w:tcPr>
            <w:tcW w:w="0" w:type="auto"/>
            <w:shd w:val="clear" w:color="auto" w:fill="auto"/>
          </w:tcPr>
          <w:p w14:paraId="1FB69B70"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3B75CC96" w14:textId="77777777" w:rsidR="00201D4F" w:rsidRPr="00B85D62" w:rsidRDefault="00201D4F" w:rsidP="0066232B">
            <w:pPr>
              <w:jc w:val="center"/>
              <w:rPr>
                <w:rFonts w:cs="Arial"/>
              </w:rPr>
            </w:pPr>
            <w:r w:rsidRPr="00B85D62">
              <w:rPr>
                <w:rFonts w:cs="Arial"/>
              </w:rPr>
              <w:t>11,518 (81.7)</w:t>
            </w:r>
          </w:p>
        </w:tc>
        <w:tc>
          <w:tcPr>
            <w:tcW w:w="0" w:type="auto"/>
            <w:shd w:val="clear" w:color="auto" w:fill="auto"/>
          </w:tcPr>
          <w:p w14:paraId="31367979" w14:textId="77777777" w:rsidR="00201D4F" w:rsidRPr="00B85D62" w:rsidRDefault="00201D4F" w:rsidP="0066232B">
            <w:pPr>
              <w:jc w:val="center"/>
              <w:rPr>
                <w:rFonts w:cs="Arial"/>
              </w:rPr>
            </w:pPr>
            <w:r w:rsidRPr="00B85D62">
              <w:rPr>
                <w:rFonts w:cs="Arial"/>
              </w:rPr>
              <w:t>34,395 (80.9)</w:t>
            </w:r>
          </w:p>
        </w:tc>
        <w:tc>
          <w:tcPr>
            <w:tcW w:w="0" w:type="auto"/>
            <w:shd w:val="clear" w:color="auto" w:fill="auto"/>
          </w:tcPr>
          <w:p w14:paraId="11DEEEC7" w14:textId="77777777" w:rsidR="00201D4F" w:rsidRPr="00B85D62" w:rsidRDefault="00201D4F" w:rsidP="0066232B">
            <w:pPr>
              <w:jc w:val="center"/>
              <w:rPr>
                <w:rFonts w:cs="Arial"/>
              </w:rPr>
            </w:pPr>
            <w:r w:rsidRPr="00B85D62">
              <w:rPr>
                <w:rFonts w:cs="Arial"/>
              </w:rPr>
              <w:t>0.038</w:t>
            </w:r>
          </w:p>
        </w:tc>
      </w:tr>
      <w:tr w:rsidR="00201D4F" w:rsidRPr="00B85D62" w14:paraId="482DF57E" w14:textId="77777777" w:rsidTr="00B85D62">
        <w:trPr>
          <w:cantSplit/>
        </w:trPr>
        <w:tc>
          <w:tcPr>
            <w:tcW w:w="0" w:type="auto"/>
            <w:shd w:val="clear" w:color="auto" w:fill="auto"/>
          </w:tcPr>
          <w:p w14:paraId="786D0DFF" w14:textId="77777777" w:rsidR="00201D4F" w:rsidRPr="00B85D62" w:rsidRDefault="00201D4F" w:rsidP="0066232B">
            <w:pPr>
              <w:rPr>
                <w:rFonts w:cs="Arial"/>
              </w:rPr>
            </w:pPr>
            <w:r w:rsidRPr="00B85D62">
              <w:rPr>
                <w:rFonts w:cs="Arial"/>
                <w:b/>
                <w:bCs/>
              </w:rPr>
              <w:t>Hypertension</w:t>
            </w:r>
          </w:p>
        </w:tc>
        <w:tc>
          <w:tcPr>
            <w:tcW w:w="0" w:type="auto"/>
            <w:shd w:val="clear" w:color="auto" w:fill="auto"/>
          </w:tcPr>
          <w:p w14:paraId="0ABEDA1D"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56C2425B" w14:textId="77777777" w:rsidR="00201D4F" w:rsidRPr="00B85D62" w:rsidRDefault="00201D4F" w:rsidP="0066232B">
            <w:pPr>
              <w:jc w:val="center"/>
              <w:rPr>
                <w:rFonts w:cs="Arial"/>
              </w:rPr>
            </w:pPr>
            <w:r w:rsidRPr="00B85D62">
              <w:rPr>
                <w:rFonts w:cs="Arial"/>
              </w:rPr>
              <w:t>783 (5.6)</w:t>
            </w:r>
          </w:p>
        </w:tc>
        <w:tc>
          <w:tcPr>
            <w:tcW w:w="0" w:type="auto"/>
            <w:shd w:val="clear" w:color="auto" w:fill="auto"/>
          </w:tcPr>
          <w:p w14:paraId="75788342" w14:textId="77777777" w:rsidR="00201D4F" w:rsidRPr="00B85D62" w:rsidRDefault="00201D4F" w:rsidP="0066232B">
            <w:pPr>
              <w:jc w:val="center"/>
              <w:rPr>
                <w:rFonts w:cs="Arial"/>
              </w:rPr>
            </w:pPr>
            <w:r w:rsidRPr="00B85D62">
              <w:rPr>
                <w:rFonts w:cs="Arial"/>
              </w:rPr>
              <w:t>2,393 (5.6)</w:t>
            </w:r>
          </w:p>
        </w:tc>
        <w:tc>
          <w:tcPr>
            <w:tcW w:w="0" w:type="auto"/>
            <w:shd w:val="clear" w:color="auto" w:fill="auto"/>
          </w:tcPr>
          <w:p w14:paraId="2B5071E4" w14:textId="77777777" w:rsidR="00201D4F" w:rsidRPr="00B85D62" w:rsidRDefault="00201D4F" w:rsidP="0066232B">
            <w:pPr>
              <w:jc w:val="center"/>
              <w:rPr>
                <w:rFonts w:cs="Arial"/>
              </w:rPr>
            </w:pPr>
            <w:r w:rsidRPr="00B85D62">
              <w:rPr>
                <w:rFonts w:cs="Arial"/>
              </w:rPr>
              <w:t>0.736</w:t>
            </w:r>
          </w:p>
        </w:tc>
      </w:tr>
      <w:tr w:rsidR="00201D4F" w:rsidRPr="00B85D62" w14:paraId="520D57D0" w14:textId="77777777" w:rsidTr="00B85D62">
        <w:trPr>
          <w:cantSplit/>
        </w:trPr>
        <w:tc>
          <w:tcPr>
            <w:tcW w:w="0" w:type="auto"/>
            <w:shd w:val="clear" w:color="auto" w:fill="auto"/>
          </w:tcPr>
          <w:p w14:paraId="262FCF6C" w14:textId="77777777" w:rsidR="00201D4F" w:rsidRPr="00B85D62" w:rsidRDefault="00201D4F" w:rsidP="0066232B">
            <w:pPr>
              <w:rPr>
                <w:rFonts w:cs="Arial"/>
              </w:rPr>
            </w:pPr>
            <w:r w:rsidRPr="00B85D62">
              <w:rPr>
                <w:rFonts w:cs="Arial"/>
                <w:b/>
                <w:bCs/>
              </w:rPr>
              <w:t>Atrial fibrillation</w:t>
            </w:r>
          </w:p>
        </w:tc>
        <w:tc>
          <w:tcPr>
            <w:tcW w:w="0" w:type="auto"/>
            <w:shd w:val="clear" w:color="auto" w:fill="auto"/>
          </w:tcPr>
          <w:p w14:paraId="13352440"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78BC5FB2" w14:textId="77777777" w:rsidR="00201D4F" w:rsidRPr="00B85D62" w:rsidRDefault="00201D4F" w:rsidP="0066232B">
            <w:pPr>
              <w:jc w:val="center"/>
              <w:rPr>
                <w:rFonts w:cs="Arial"/>
              </w:rPr>
            </w:pPr>
            <w:r w:rsidRPr="00B85D62">
              <w:rPr>
                <w:rFonts w:cs="Arial"/>
              </w:rPr>
              <w:t>35 (0.3)</w:t>
            </w:r>
          </w:p>
        </w:tc>
        <w:tc>
          <w:tcPr>
            <w:tcW w:w="0" w:type="auto"/>
            <w:shd w:val="clear" w:color="auto" w:fill="auto"/>
          </w:tcPr>
          <w:p w14:paraId="6DB0358F" w14:textId="77777777" w:rsidR="00201D4F" w:rsidRPr="00B85D62" w:rsidRDefault="00201D4F" w:rsidP="0066232B">
            <w:pPr>
              <w:jc w:val="center"/>
              <w:rPr>
                <w:rFonts w:cs="Arial"/>
              </w:rPr>
            </w:pPr>
            <w:r w:rsidRPr="00B85D62">
              <w:rPr>
                <w:rFonts w:cs="Arial"/>
              </w:rPr>
              <w:t>120 (0.3)</w:t>
            </w:r>
          </w:p>
        </w:tc>
        <w:tc>
          <w:tcPr>
            <w:tcW w:w="0" w:type="auto"/>
            <w:shd w:val="clear" w:color="auto" w:fill="auto"/>
          </w:tcPr>
          <w:p w14:paraId="1C039F92" w14:textId="77777777" w:rsidR="00201D4F" w:rsidRPr="00B85D62" w:rsidRDefault="00201D4F" w:rsidP="0066232B">
            <w:pPr>
              <w:jc w:val="center"/>
              <w:rPr>
                <w:rFonts w:cs="Arial"/>
              </w:rPr>
            </w:pPr>
            <w:r w:rsidRPr="00B85D62">
              <w:rPr>
                <w:rFonts w:cs="Arial"/>
              </w:rPr>
              <w:t>0.503</w:t>
            </w:r>
          </w:p>
        </w:tc>
      </w:tr>
      <w:tr w:rsidR="00201D4F" w:rsidRPr="00B85D62" w14:paraId="1A22D4C2" w14:textId="77777777" w:rsidTr="00B85D62">
        <w:trPr>
          <w:cantSplit/>
        </w:trPr>
        <w:tc>
          <w:tcPr>
            <w:tcW w:w="0" w:type="auto"/>
            <w:shd w:val="clear" w:color="auto" w:fill="auto"/>
          </w:tcPr>
          <w:p w14:paraId="64EEB41B" w14:textId="77777777" w:rsidR="00201D4F" w:rsidRPr="00B85D62" w:rsidRDefault="00201D4F" w:rsidP="0066232B">
            <w:pPr>
              <w:rPr>
                <w:rFonts w:cs="Arial"/>
              </w:rPr>
            </w:pPr>
            <w:r w:rsidRPr="00B85D62">
              <w:rPr>
                <w:rFonts w:cs="Arial"/>
                <w:b/>
                <w:bCs/>
              </w:rPr>
              <w:t>Chronic kidney disease</w:t>
            </w:r>
          </w:p>
        </w:tc>
        <w:tc>
          <w:tcPr>
            <w:tcW w:w="0" w:type="auto"/>
            <w:shd w:val="clear" w:color="auto" w:fill="auto"/>
          </w:tcPr>
          <w:p w14:paraId="34805F14" w14:textId="77777777" w:rsidR="00201D4F" w:rsidRPr="00B85D62" w:rsidRDefault="00201D4F" w:rsidP="0066232B">
            <w:pPr>
              <w:rPr>
                <w:rFonts w:cs="Arial"/>
              </w:rPr>
            </w:pPr>
            <w:r w:rsidRPr="00B85D62">
              <w:rPr>
                <w:rFonts w:cs="Arial"/>
                <w:i/>
                <w:color w:val="00B0F0"/>
              </w:rPr>
              <w:t>n</w:t>
            </w:r>
            <w:r w:rsidRPr="00B85D62">
              <w:rPr>
                <w:rFonts w:cs="Arial"/>
              </w:rPr>
              <w:t xml:space="preserve"> (%) </w:t>
            </w:r>
          </w:p>
        </w:tc>
        <w:tc>
          <w:tcPr>
            <w:tcW w:w="0" w:type="auto"/>
            <w:shd w:val="clear" w:color="auto" w:fill="auto"/>
          </w:tcPr>
          <w:p w14:paraId="3BCC51FD" w14:textId="77777777" w:rsidR="00201D4F" w:rsidRPr="00B85D62" w:rsidRDefault="00201D4F" w:rsidP="0066232B">
            <w:pPr>
              <w:jc w:val="center"/>
              <w:rPr>
                <w:rFonts w:cs="Arial"/>
              </w:rPr>
            </w:pPr>
            <w:r w:rsidRPr="00B85D62">
              <w:rPr>
                <w:rFonts w:cs="Arial"/>
              </w:rPr>
              <w:t>57 (0.4)</w:t>
            </w:r>
          </w:p>
        </w:tc>
        <w:tc>
          <w:tcPr>
            <w:tcW w:w="0" w:type="auto"/>
            <w:shd w:val="clear" w:color="auto" w:fill="auto"/>
          </w:tcPr>
          <w:p w14:paraId="28723AF1" w14:textId="77777777" w:rsidR="00201D4F" w:rsidRPr="00B85D62" w:rsidRDefault="00201D4F" w:rsidP="0066232B">
            <w:pPr>
              <w:jc w:val="center"/>
              <w:rPr>
                <w:rFonts w:cs="Arial"/>
              </w:rPr>
            </w:pPr>
            <w:r w:rsidRPr="00B85D62">
              <w:rPr>
                <w:rFonts w:cs="Arial"/>
              </w:rPr>
              <w:t>127 (0.3)</w:t>
            </w:r>
          </w:p>
        </w:tc>
        <w:tc>
          <w:tcPr>
            <w:tcW w:w="0" w:type="auto"/>
            <w:shd w:val="clear" w:color="auto" w:fill="auto"/>
          </w:tcPr>
          <w:p w14:paraId="414BF5D5" w14:textId="77777777" w:rsidR="00201D4F" w:rsidRPr="00B85D62" w:rsidRDefault="00201D4F" w:rsidP="0066232B">
            <w:pPr>
              <w:jc w:val="center"/>
              <w:rPr>
                <w:rFonts w:cs="Arial"/>
              </w:rPr>
            </w:pPr>
            <w:r w:rsidRPr="00B85D62">
              <w:rPr>
                <w:rFonts w:cs="Arial"/>
              </w:rPr>
              <w:t>0.056</w:t>
            </w:r>
          </w:p>
        </w:tc>
      </w:tr>
      <w:tr w:rsidR="00201D4F" w:rsidRPr="00B85D62" w14:paraId="5B1781AD" w14:textId="77777777" w:rsidTr="00B85D62">
        <w:trPr>
          <w:cantSplit/>
        </w:trPr>
        <w:tc>
          <w:tcPr>
            <w:tcW w:w="0" w:type="auto"/>
            <w:shd w:val="clear" w:color="auto" w:fill="auto"/>
          </w:tcPr>
          <w:p w14:paraId="4548CAED" w14:textId="77777777" w:rsidR="00201D4F" w:rsidRPr="00B85D62" w:rsidRDefault="00201D4F" w:rsidP="0066232B">
            <w:pPr>
              <w:rPr>
                <w:rFonts w:cs="Arial"/>
              </w:rPr>
            </w:pPr>
            <w:r w:rsidRPr="00B85D62">
              <w:rPr>
                <w:rFonts w:cs="Arial"/>
                <w:b/>
                <w:bCs/>
              </w:rPr>
              <w:t>Type 1 Diabetes</w:t>
            </w:r>
          </w:p>
        </w:tc>
        <w:tc>
          <w:tcPr>
            <w:tcW w:w="0" w:type="auto"/>
            <w:shd w:val="clear" w:color="auto" w:fill="auto"/>
          </w:tcPr>
          <w:p w14:paraId="149DC5A2"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03B3A209" w14:textId="77777777" w:rsidR="00201D4F" w:rsidRPr="00B85D62" w:rsidRDefault="00201D4F" w:rsidP="0066232B">
            <w:pPr>
              <w:jc w:val="center"/>
              <w:rPr>
                <w:rFonts w:cs="Arial"/>
              </w:rPr>
            </w:pPr>
            <w:r w:rsidRPr="00B85D62">
              <w:rPr>
                <w:rFonts w:cs="Arial"/>
              </w:rPr>
              <w:t>60 (0.4)</w:t>
            </w:r>
          </w:p>
        </w:tc>
        <w:tc>
          <w:tcPr>
            <w:tcW w:w="0" w:type="auto"/>
            <w:shd w:val="clear" w:color="auto" w:fill="auto"/>
          </w:tcPr>
          <w:p w14:paraId="1D5BE001" w14:textId="77777777" w:rsidR="00201D4F" w:rsidRPr="00B85D62" w:rsidRDefault="00201D4F" w:rsidP="0066232B">
            <w:pPr>
              <w:jc w:val="center"/>
              <w:rPr>
                <w:rFonts w:cs="Arial"/>
              </w:rPr>
            </w:pPr>
            <w:r w:rsidRPr="00B85D62">
              <w:rPr>
                <w:rFonts w:cs="Arial"/>
              </w:rPr>
              <w:t>247 (0.6)</w:t>
            </w:r>
          </w:p>
        </w:tc>
        <w:tc>
          <w:tcPr>
            <w:tcW w:w="0" w:type="auto"/>
            <w:shd w:val="clear" w:color="auto" w:fill="auto"/>
          </w:tcPr>
          <w:p w14:paraId="68AD4AB2" w14:textId="77777777" w:rsidR="00201D4F" w:rsidRPr="00B85D62" w:rsidRDefault="00201D4F" w:rsidP="0066232B">
            <w:pPr>
              <w:jc w:val="center"/>
              <w:rPr>
                <w:rFonts w:cs="Arial"/>
              </w:rPr>
            </w:pPr>
            <w:r w:rsidRPr="00B85D62">
              <w:rPr>
                <w:rFonts w:cs="Arial"/>
              </w:rPr>
              <w:t>0.029</w:t>
            </w:r>
          </w:p>
        </w:tc>
      </w:tr>
      <w:tr w:rsidR="00201D4F" w:rsidRPr="00B85D62" w14:paraId="384640BE" w14:textId="77777777" w:rsidTr="00B85D62">
        <w:trPr>
          <w:cantSplit/>
        </w:trPr>
        <w:tc>
          <w:tcPr>
            <w:tcW w:w="0" w:type="auto"/>
            <w:shd w:val="clear" w:color="auto" w:fill="auto"/>
          </w:tcPr>
          <w:p w14:paraId="2FD6C315" w14:textId="77777777" w:rsidR="00201D4F" w:rsidRPr="00B85D62" w:rsidRDefault="00201D4F" w:rsidP="0066232B">
            <w:pPr>
              <w:rPr>
                <w:rFonts w:cs="Arial"/>
              </w:rPr>
            </w:pPr>
            <w:r w:rsidRPr="00B85D62">
              <w:rPr>
                <w:rFonts w:cs="Arial"/>
                <w:b/>
                <w:bCs/>
              </w:rPr>
              <w:t>Type 2 Diabetes</w:t>
            </w:r>
          </w:p>
        </w:tc>
        <w:tc>
          <w:tcPr>
            <w:tcW w:w="0" w:type="auto"/>
            <w:shd w:val="clear" w:color="auto" w:fill="auto"/>
          </w:tcPr>
          <w:p w14:paraId="5D06D26C"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69C3523F" w14:textId="77777777" w:rsidR="00201D4F" w:rsidRPr="00B85D62" w:rsidRDefault="00201D4F" w:rsidP="0066232B">
            <w:pPr>
              <w:jc w:val="center"/>
              <w:rPr>
                <w:rFonts w:cs="Arial"/>
              </w:rPr>
            </w:pPr>
            <w:r w:rsidRPr="00B85D62">
              <w:rPr>
                <w:rFonts w:cs="Arial"/>
              </w:rPr>
              <w:t>311 (2.2)</w:t>
            </w:r>
          </w:p>
        </w:tc>
        <w:tc>
          <w:tcPr>
            <w:tcW w:w="0" w:type="auto"/>
            <w:shd w:val="clear" w:color="auto" w:fill="auto"/>
          </w:tcPr>
          <w:p w14:paraId="05373300" w14:textId="77777777" w:rsidR="00201D4F" w:rsidRPr="00B85D62" w:rsidRDefault="00201D4F" w:rsidP="0066232B">
            <w:pPr>
              <w:jc w:val="center"/>
              <w:rPr>
                <w:rFonts w:cs="Arial"/>
              </w:rPr>
            </w:pPr>
            <w:r w:rsidRPr="00B85D62">
              <w:rPr>
                <w:rFonts w:cs="Arial"/>
              </w:rPr>
              <w:t>726 (1.7)</w:t>
            </w:r>
          </w:p>
        </w:tc>
        <w:tc>
          <w:tcPr>
            <w:tcW w:w="0" w:type="auto"/>
            <w:shd w:val="clear" w:color="auto" w:fill="auto"/>
          </w:tcPr>
          <w:p w14:paraId="31AC40FF" w14:textId="61135822" w:rsidR="00201D4F" w:rsidRPr="00B85D62" w:rsidRDefault="00B85D62" w:rsidP="0066232B">
            <w:pPr>
              <w:jc w:val="center"/>
              <w:rPr>
                <w:rFonts w:cs="Arial"/>
              </w:rPr>
            </w:pPr>
            <w:r w:rsidRPr="00B85D62">
              <w:rPr>
                <w:rFonts w:cs="Arial"/>
                <w:color w:val="00B0F0"/>
              </w:rPr>
              <w:t>&lt;</w:t>
            </w:r>
            <w:r w:rsidRPr="00B85D62">
              <w:rPr>
                <w:rFonts w:cs="Arial"/>
                <w:color w:val="00B0F0"/>
              </w:rPr>
              <w:t> </w:t>
            </w:r>
            <w:r w:rsidRPr="00B85D62">
              <w:rPr>
                <w:rFonts w:cs="Arial"/>
                <w:color w:val="00B0F0"/>
              </w:rPr>
              <w:t>0</w:t>
            </w:r>
            <w:r w:rsidR="00201D4F" w:rsidRPr="00B85D62">
              <w:rPr>
                <w:rFonts w:cs="Arial"/>
              </w:rPr>
              <w:t>.001</w:t>
            </w:r>
          </w:p>
        </w:tc>
      </w:tr>
      <w:tr w:rsidR="00201D4F" w:rsidRPr="00B85D62" w14:paraId="5FBCB3ED" w14:textId="77777777" w:rsidTr="00B85D62">
        <w:trPr>
          <w:cantSplit/>
        </w:trPr>
        <w:tc>
          <w:tcPr>
            <w:tcW w:w="0" w:type="auto"/>
            <w:shd w:val="clear" w:color="auto" w:fill="auto"/>
          </w:tcPr>
          <w:p w14:paraId="7A2E8526" w14:textId="77777777" w:rsidR="00201D4F" w:rsidRPr="00B85D62" w:rsidRDefault="00201D4F" w:rsidP="0066232B">
            <w:pPr>
              <w:rPr>
                <w:rFonts w:cs="Arial"/>
              </w:rPr>
            </w:pPr>
            <w:r w:rsidRPr="00B85D62">
              <w:rPr>
                <w:rFonts w:cs="Arial"/>
                <w:b/>
                <w:bCs/>
              </w:rPr>
              <w:t>Overweight/obesity</w:t>
            </w:r>
          </w:p>
        </w:tc>
        <w:tc>
          <w:tcPr>
            <w:tcW w:w="0" w:type="auto"/>
            <w:shd w:val="clear" w:color="auto" w:fill="auto"/>
          </w:tcPr>
          <w:p w14:paraId="65B6F19F"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3660537A" w14:textId="77777777" w:rsidR="00201D4F" w:rsidRPr="00B85D62" w:rsidRDefault="00201D4F" w:rsidP="0066232B">
            <w:pPr>
              <w:jc w:val="center"/>
              <w:rPr>
                <w:rFonts w:cs="Arial"/>
              </w:rPr>
            </w:pPr>
            <w:r w:rsidRPr="00B85D62">
              <w:rPr>
                <w:rFonts w:cs="Arial"/>
              </w:rPr>
              <w:t>525 (3.7)</w:t>
            </w:r>
          </w:p>
        </w:tc>
        <w:tc>
          <w:tcPr>
            <w:tcW w:w="0" w:type="auto"/>
            <w:shd w:val="clear" w:color="auto" w:fill="auto"/>
          </w:tcPr>
          <w:p w14:paraId="286F4CAF" w14:textId="77777777" w:rsidR="00201D4F" w:rsidRPr="00B85D62" w:rsidRDefault="00201D4F" w:rsidP="0066232B">
            <w:pPr>
              <w:jc w:val="center"/>
              <w:rPr>
                <w:rFonts w:cs="Arial"/>
              </w:rPr>
            </w:pPr>
            <w:r w:rsidRPr="00B85D62">
              <w:rPr>
                <w:rFonts w:cs="Arial"/>
              </w:rPr>
              <w:t>1,307 (3.1)</w:t>
            </w:r>
          </w:p>
        </w:tc>
        <w:tc>
          <w:tcPr>
            <w:tcW w:w="0" w:type="auto"/>
            <w:shd w:val="clear" w:color="auto" w:fill="auto"/>
          </w:tcPr>
          <w:p w14:paraId="50DD957D" w14:textId="05F4E664" w:rsidR="00201D4F" w:rsidRPr="00B85D62" w:rsidRDefault="00B85D62" w:rsidP="0066232B">
            <w:pPr>
              <w:jc w:val="center"/>
              <w:rPr>
                <w:rFonts w:cs="Arial"/>
              </w:rPr>
            </w:pPr>
            <w:r w:rsidRPr="00B85D62">
              <w:rPr>
                <w:rFonts w:cs="Arial"/>
                <w:color w:val="00B0F0"/>
              </w:rPr>
              <w:t>&lt;</w:t>
            </w:r>
            <w:r w:rsidRPr="00B85D62">
              <w:rPr>
                <w:rFonts w:cs="Arial"/>
                <w:color w:val="00B0F0"/>
              </w:rPr>
              <w:t> </w:t>
            </w:r>
            <w:r w:rsidRPr="00B85D62">
              <w:rPr>
                <w:rFonts w:cs="Arial"/>
                <w:color w:val="00B0F0"/>
              </w:rPr>
              <w:t>0</w:t>
            </w:r>
            <w:r w:rsidR="00201D4F" w:rsidRPr="00B85D62">
              <w:rPr>
                <w:rFonts w:cs="Arial"/>
              </w:rPr>
              <w:t>.001</w:t>
            </w:r>
          </w:p>
        </w:tc>
      </w:tr>
      <w:tr w:rsidR="00201D4F" w:rsidRPr="00B85D62" w14:paraId="21118FB6" w14:textId="77777777" w:rsidTr="00B85D62">
        <w:trPr>
          <w:cantSplit/>
        </w:trPr>
        <w:tc>
          <w:tcPr>
            <w:tcW w:w="0" w:type="auto"/>
            <w:shd w:val="clear" w:color="auto" w:fill="auto"/>
          </w:tcPr>
          <w:p w14:paraId="654F6AEE" w14:textId="77777777" w:rsidR="00201D4F" w:rsidRPr="00B85D62" w:rsidRDefault="00201D4F" w:rsidP="0066232B">
            <w:pPr>
              <w:rPr>
                <w:rFonts w:cs="Arial"/>
              </w:rPr>
            </w:pPr>
            <w:r w:rsidRPr="00B85D62">
              <w:rPr>
                <w:rFonts w:cs="Arial"/>
                <w:b/>
                <w:bCs/>
              </w:rPr>
              <w:t>Rheumatoid arthritis &amp; other inflammatory diseases</w:t>
            </w:r>
          </w:p>
        </w:tc>
        <w:tc>
          <w:tcPr>
            <w:tcW w:w="0" w:type="auto"/>
            <w:shd w:val="clear" w:color="auto" w:fill="auto"/>
          </w:tcPr>
          <w:p w14:paraId="32C61284"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73C11490" w14:textId="77777777" w:rsidR="00201D4F" w:rsidRPr="00B85D62" w:rsidRDefault="00201D4F" w:rsidP="0066232B">
            <w:pPr>
              <w:jc w:val="center"/>
              <w:rPr>
                <w:rFonts w:cs="Arial"/>
              </w:rPr>
            </w:pPr>
            <w:r w:rsidRPr="00B85D62">
              <w:rPr>
                <w:rFonts w:cs="Arial"/>
              </w:rPr>
              <w:t>100 (0.7)</w:t>
            </w:r>
          </w:p>
        </w:tc>
        <w:tc>
          <w:tcPr>
            <w:tcW w:w="0" w:type="auto"/>
            <w:shd w:val="clear" w:color="auto" w:fill="auto"/>
          </w:tcPr>
          <w:p w14:paraId="513EC482" w14:textId="77777777" w:rsidR="00201D4F" w:rsidRPr="00B85D62" w:rsidRDefault="00201D4F" w:rsidP="0066232B">
            <w:pPr>
              <w:jc w:val="center"/>
              <w:rPr>
                <w:rFonts w:cs="Arial"/>
              </w:rPr>
            </w:pPr>
            <w:r w:rsidRPr="00B85D62">
              <w:rPr>
                <w:rFonts w:cs="Arial"/>
              </w:rPr>
              <w:t>285 (0.7)</w:t>
            </w:r>
          </w:p>
        </w:tc>
        <w:tc>
          <w:tcPr>
            <w:tcW w:w="0" w:type="auto"/>
            <w:shd w:val="clear" w:color="auto" w:fill="auto"/>
          </w:tcPr>
          <w:p w14:paraId="70059427" w14:textId="77777777" w:rsidR="00201D4F" w:rsidRPr="00B85D62" w:rsidRDefault="00201D4F" w:rsidP="0066232B">
            <w:pPr>
              <w:jc w:val="center"/>
              <w:rPr>
                <w:rFonts w:cs="Arial"/>
              </w:rPr>
            </w:pPr>
            <w:r w:rsidRPr="00B85D62">
              <w:rPr>
                <w:rFonts w:cs="Arial"/>
              </w:rPr>
              <w:t>0.626</w:t>
            </w:r>
          </w:p>
        </w:tc>
      </w:tr>
      <w:tr w:rsidR="00201D4F" w:rsidRPr="00B85D62" w14:paraId="770D294E" w14:textId="77777777" w:rsidTr="00B85D62">
        <w:trPr>
          <w:cantSplit/>
        </w:trPr>
        <w:tc>
          <w:tcPr>
            <w:tcW w:w="0" w:type="auto"/>
            <w:shd w:val="clear" w:color="auto" w:fill="auto"/>
          </w:tcPr>
          <w:p w14:paraId="39C2F031" w14:textId="77777777" w:rsidR="00201D4F" w:rsidRPr="00B85D62" w:rsidRDefault="00201D4F" w:rsidP="0066232B">
            <w:pPr>
              <w:rPr>
                <w:rFonts w:cs="Arial"/>
              </w:rPr>
            </w:pPr>
            <w:r w:rsidRPr="00B85D62">
              <w:rPr>
                <w:rFonts w:cs="Arial"/>
                <w:b/>
                <w:bCs/>
              </w:rPr>
              <w:t>Family history of coronary heart disease</w:t>
            </w:r>
          </w:p>
        </w:tc>
        <w:tc>
          <w:tcPr>
            <w:tcW w:w="0" w:type="auto"/>
            <w:shd w:val="clear" w:color="auto" w:fill="auto"/>
          </w:tcPr>
          <w:p w14:paraId="06854EB0"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432862F8" w14:textId="77777777" w:rsidR="00201D4F" w:rsidRPr="00B85D62" w:rsidRDefault="00201D4F" w:rsidP="0066232B">
            <w:pPr>
              <w:jc w:val="center"/>
              <w:rPr>
                <w:rFonts w:cs="Arial"/>
              </w:rPr>
            </w:pPr>
            <w:r w:rsidRPr="00B85D62">
              <w:rPr>
                <w:rFonts w:cs="Arial"/>
              </w:rPr>
              <w:t>712 (5.1)</w:t>
            </w:r>
          </w:p>
        </w:tc>
        <w:tc>
          <w:tcPr>
            <w:tcW w:w="0" w:type="auto"/>
            <w:shd w:val="clear" w:color="auto" w:fill="auto"/>
          </w:tcPr>
          <w:p w14:paraId="7F69A44C" w14:textId="77777777" w:rsidR="00201D4F" w:rsidRPr="00B85D62" w:rsidRDefault="00201D4F" w:rsidP="0066232B">
            <w:pPr>
              <w:jc w:val="center"/>
              <w:rPr>
                <w:rFonts w:cs="Arial"/>
              </w:rPr>
            </w:pPr>
            <w:r w:rsidRPr="00B85D62">
              <w:rPr>
                <w:rFonts w:cs="Arial"/>
              </w:rPr>
              <w:t>1,156 (2.7)</w:t>
            </w:r>
          </w:p>
        </w:tc>
        <w:tc>
          <w:tcPr>
            <w:tcW w:w="0" w:type="auto"/>
            <w:shd w:val="clear" w:color="auto" w:fill="auto"/>
          </w:tcPr>
          <w:p w14:paraId="12D10082" w14:textId="3E782EBA" w:rsidR="00201D4F" w:rsidRPr="00B85D62" w:rsidRDefault="00B85D62" w:rsidP="0066232B">
            <w:pPr>
              <w:jc w:val="center"/>
              <w:rPr>
                <w:rFonts w:cs="Arial"/>
              </w:rPr>
            </w:pPr>
            <w:r w:rsidRPr="00B85D62">
              <w:rPr>
                <w:rFonts w:cs="Arial"/>
                <w:color w:val="00B0F0"/>
              </w:rPr>
              <w:t>&lt;</w:t>
            </w:r>
            <w:r w:rsidRPr="00B85D62">
              <w:rPr>
                <w:rFonts w:cs="Arial"/>
                <w:color w:val="00B0F0"/>
              </w:rPr>
              <w:t> </w:t>
            </w:r>
            <w:r w:rsidRPr="00B85D62">
              <w:rPr>
                <w:rFonts w:cs="Arial"/>
                <w:color w:val="00B0F0"/>
              </w:rPr>
              <w:t>0</w:t>
            </w:r>
            <w:r w:rsidR="00201D4F" w:rsidRPr="00B85D62">
              <w:rPr>
                <w:rFonts w:cs="Arial"/>
              </w:rPr>
              <w:t>.001</w:t>
            </w:r>
          </w:p>
        </w:tc>
      </w:tr>
      <w:tr w:rsidR="00201D4F" w:rsidRPr="00B85D62" w14:paraId="25015B50" w14:textId="77777777" w:rsidTr="00B85D62">
        <w:trPr>
          <w:cantSplit/>
        </w:trPr>
        <w:tc>
          <w:tcPr>
            <w:tcW w:w="0" w:type="auto"/>
            <w:shd w:val="clear" w:color="auto" w:fill="auto"/>
          </w:tcPr>
          <w:p w14:paraId="4EF68A60" w14:textId="77777777" w:rsidR="00201D4F" w:rsidRPr="00B85D62" w:rsidRDefault="00201D4F" w:rsidP="0066232B">
            <w:pPr>
              <w:rPr>
                <w:rFonts w:cs="Arial"/>
              </w:rPr>
            </w:pPr>
            <w:r w:rsidRPr="00B85D62">
              <w:rPr>
                <w:rFonts w:cs="Arial"/>
                <w:b/>
                <w:bCs/>
              </w:rPr>
              <w:t>HIV</w:t>
            </w:r>
          </w:p>
        </w:tc>
        <w:tc>
          <w:tcPr>
            <w:tcW w:w="0" w:type="auto"/>
            <w:shd w:val="clear" w:color="auto" w:fill="auto"/>
          </w:tcPr>
          <w:p w14:paraId="63275439"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76D6F641" w14:textId="77777777" w:rsidR="00201D4F" w:rsidRPr="00B85D62" w:rsidRDefault="00201D4F" w:rsidP="0066232B">
            <w:pPr>
              <w:jc w:val="center"/>
              <w:rPr>
                <w:rFonts w:cs="Arial"/>
              </w:rPr>
            </w:pPr>
            <w:r w:rsidRPr="00B85D62">
              <w:rPr>
                <w:rFonts w:cs="Arial"/>
              </w:rPr>
              <w:t>6 (0.04)</w:t>
            </w:r>
          </w:p>
        </w:tc>
        <w:tc>
          <w:tcPr>
            <w:tcW w:w="0" w:type="auto"/>
            <w:shd w:val="clear" w:color="auto" w:fill="auto"/>
          </w:tcPr>
          <w:p w14:paraId="2FB21CDE" w14:textId="77777777" w:rsidR="00201D4F" w:rsidRPr="00B85D62" w:rsidRDefault="00201D4F" w:rsidP="0066232B">
            <w:pPr>
              <w:jc w:val="center"/>
              <w:rPr>
                <w:rFonts w:cs="Arial"/>
              </w:rPr>
            </w:pPr>
            <w:r w:rsidRPr="00B85D62">
              <w:rPr>
                <w:rFonts w:cs="Arial"/>
              </w:rPr>
              <w:t>16 (0.04)</w:t>
            </w:r>
          </w:p>
        </w:tc>
        <w:tc>
          <w:tcPr>
            <w:tcW w:w="0" w:type="auto"/>
            <w:shd w:val="clear" w:color="auto" w:fill="auto"/>
          </w:tcPr>
          <w:p w14:paraId="5F0A30DC" w14:textId="77777777" w:rsidR="00201D4F" w:rsidRPr="00B85D62" w:rsidRDefault="00201D4F" w:rsidP="0066232B">
            <w:pPr>
              <w:jc w:val="center"/>
              <w:rPr>
                <w:rFonts w:cs="Arial"/>
              </w:rPr>
            </w:pPr>
            <w:r w:rsidRPr="00B85D62">
              <w:rPr>
                <w:rFonts w:cs="Arial"/>
              </w:rPr>
              <w:t>0.797</w:t>
            </w:r>
          </w:p>
        </w:tc>
      </w:tr>
      <w:tr w:rsidR="00201D4F" w:rsidRPr="00B85D62" w14:paraId="4F53D8F5" w14:textId="77777777" w:rsidTr="00B85D62">
        <w:trPr>
          <w:cantSplit/>
        </w:trPr>
        <w:tc>
          <w:tcPr>
            <w:tcW w:w="0" w:type="auto"/>
            <w:shd w:val="clear" w:color="auto" w:fill="auto"/>
          </w:tcPr>
          <w:p w14:paraId="4018DB69" w14:textId="77777777" w:rsidR="00201D4F" w:rsidRPr="00B85D62" w:rsidRDefault="00201D4F" w:rsidP="0066232B">
            <w:pPr>
              <w:rPr>
                <w:rFonts w:cs="Arial"/>
              </w:rPr>
            </w:pPr>
            <w:r w:rsidRPr="00B85D62">
              <w:rPr>
                <w:rFonts w:cs="Arial"/>
                <w:b/>
                <w:bCs/>
              </w:rPr>
              <w:t>Antipsychotic use</w:t>
            </w:r>
          </w:p>
        </w:tc>
        <w:tc>
          <w:tcPr>
            <w:tcW w:w="0" w:type="auto"/>
            <w:shd w:val="clear" w:color="auto" w:fill="auto"/>
          </w:tcPr>
          <w:p w14:paraId="14A632B3"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46F3B18D" w14:textId="77777777" w:rsidR="00201D4F" w:rsidRPr="00B85D62" w:rsidRDefault="00201D4F" w:rsidP="0066232B">
            <w:pPr>
              <w:jc w:val="center"/>
              <w:rPr>
                <w:rFonts w:cs="Arial"/>
              </w:rPr>
            </w:pPr>
            <w:r w:rsidRPr="00B85D62">
              <w:rPr>
                <w:rFonts w:cs="Arial"/>
              </w:rPr>
              <w:t>491 (3.5)</w:t>
            </w:r>
          </w:p>
        </w:tc>
        <w:tc>
          <w:tcPr>
            <w:tcW w:w="0" w:type="auto"/>
            <w:shd w:val="clear" w:color="auto" w:fill="auto"/>
          </w:tcPr>
          <w:p w14:paraId="0DEF54BA" w14:textId="77777777" w:rsidR="00201D4F" w:rsidRPr="00B85D62" w:rsidRDefault="00201D4F" w:rsidP="0066232B">
            <w:pPr>
              <w:jc w:val="center"/>
              <w:rPr>
                <w:rFonts w:cs="Arial"/>
              </w:rPr>
            </w:pPr>
            <w:r w:rsidRPr="00B85D62">
              <w:rPr>
                <w:rFonts w:cs="Arial"/>
              </w:rPr>
              <w:t>1,165 (2.7)</w:t>
            </w:r>
          </w:p>
        </w:tc>
        <w:tc>
          <w:tcPr>
            <w:tcW w:w="0" w:type="auto"/>
            <w:shd w:val="clear" w:color="auto" w:fill="auto"/>
          </w:tcPr>
          <w:p w14:paraId="319229A1" w14:textId="7D9D063D" w:rsidR="00201D4F" w:rsidRPr="00B85D62" w:rsidRDefault="00B85D62" w:rsidP="0066232B">
            <w:pPr>
              <w:jc w:val="center"/>
              <w:rPr>
                <w:rFonts w:cs="Arial"/>
              </w:rPr>
            </w:pPr>
            <w:r w:rsidRPr="00B85D62">
              <w:rPr>
                <w:rFonts w:cs="Arial"/>
                <w:color w:val="00B0F0"/>
              </w:rPr>
              <w:t>&lt;</w:t>
            </w:r>
            <w:r w:rsidRPr="00B85D62">
              <w:rPr>
                <w:rFonts w:cs="Arial"/>
                <w:color w:val="00B0F0"/>
              </w:rPr>
              <w:t> </w:t>
            </w:r>
            <w:r w:rsidRPr="00B85D62">
              <w:rPr>
                <w:rFonts w:cs="Arial"/>
                <w:color w:val="00B0F0"/>
              </w:rPr>
              <w:t>0</w:t>
            </w:r>
            <w:r w:rsidR="00201D4F" w:rsidRPr="00B85D62">
              <w:rPr>
                <w:rFonts w:cs="Arial"/>
              </w:rPr>
              <w:t>.001</w:t>
            </w:r>
          </w:p>
        </w:tc>
      </w:tr>
      <w:tr w:rsidR="00201D4F" w:rsidRPr="00B85D62" w14:paraId="29384A52" w14:textId="77777777" w:rsidTr="00B85D62">
        <w:trPr>
          <w:cantSplit/>
        </w:trPr>
        <w:tc>
          <w:tcPr>
            <w:tcW w:w="0" w:type="auto"/>
            <w:shd w:val="clear" w:color="auto" w:fill="auto"/>
          </w:tcPr>
          <w:p w14:paraId="5EB7162E" w14:textId="77777777" w:rsidR="00201D4F" w:rsidRPr="00B85D62" w:rsidRDefault="00201D4F" w:rsidP="0066232B">
            <w:pPr>
              <w:rPr>
                <w:rFonts w:cs="Arial"/>
              </w:rPr>
            </w:pPr>
            <w:r w:rsidRPr="00B85D62">
              <w:rPr>
                <w:rFonts w:cs="Arial"/>
                <w:b/>
                <w:bCs/>
              </w:rPr>
              <w:t>Oral corticosteroids</w:t>
            </w:r>
          </w:p>
        </w:tc>
        <w:tc>
          <w:tcPr>
            <w:tcW w:w="0" w:type="auto"/>
            <w:shd w:val="clear" w:color="auto" w:fill="auto"/>
          </w:tcPr>
          <w:p w14:paraId="30DAC11F"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532F9701" w14:textId="77777777" w:rsidR="00201D4F" w:rsidRPr="00B85D62" w:rsidRDefault="00201D4F" w:rsidP="0066232B">
            <w:pPr>
              <w:jc w:val="center"/>
              <w:rPr>
                <w:rFonts w:cs="Arial"/>
              </w:rPr>
            </w:pPr>
            <w:r w:rsidRPr="00B85D62">
              <w:rPr>
                <w:rFonts w:cs="Arial"/>
              </w:rPr>
              <w:t>313 (2.2)</w:t>
            </w:r>
          </w:p>
        </w:tc>
        <w:tc>
          <w:tcPr>
            <w:tcW w:w="0" w:type="auto"/>
            <w:shd w:val="clear" w:color="auto" w:fill="auto"/>
          </w:tcPr>
          <w:p w14:paraId="63C0EBE9" w14:textId="77777777" w:rsidR="00201D4F" w:rsidRPr="00B85D62" w:rsidRDefault="00201D4F" w:rsidP="0066232B">
            <w:pPr>
              <w:jc w:val="center"/>
              <w:rPr>
                <w:rFonts w:cs="Arial"/>
              </w:rPr>
            </w:pPr>
            <w:r w:rsidRPr="00B85D62">
              <w:rPr>
                <w:rFonts w:cs="Arial"/>
              </w:rPr>
              <w:t>920 (2.2)</w:t>
            </w:r>
          </w:p>
        </w:tc>
        <w:tc>
          <w:tcPr>
            <w:tcW w:w="0" w:type="auto"/>
            <w:shd w:val="clear" w:color="auto" w:fill="auto"/>
          </w:tcPr>
          <w:p w14:paraId="7B272EB8" w14:textId="77777777" w:rsidR="00201D4F" w:rsidRPr="00B85D62" w:rsidRDefault="00201D4F" w:rsidP="0066232B">
            <w:pPr>
              <w:jc w:val="center"/>
              <w:rPr>
                <w:rFonts w:cs="Arial"/>
              </w:rPr>
            </w:pPr>
            <w:r w:rsidRPr="00B85D62">
              <w:rPr>
                <w:rFonts w:cs="Arial"/>
              </w:rPr>
              <w:t>0.693</w:t>
            </w:r>
          </w:p>
        </w:tc>
      </w:tr>
      <w:tr w:rsidR="00201D4F" w:rsidRPr="00B85D62" w14:paraId="23E14D73" w14:textId="77777777" w:rsidTr="00B85D62">
        <w:trPr>
          <w:cantSplit/>
        </w:trPr>
        <w:tc>
          <w:tcPr>
            <w:tcW w:w="0" w:type="auto"/>
            <w:shd w:val="clear" w:color="auto" w:fill="auto"/>
          </w:tcPr>
          <w:p w14:paraId="6F8800D5" w14:textId="77777777" w:rsidR="00201D4F" w:rsidRPr="00B85D62" w:rsidRDefault="00201D4F" w:rsidP="0066232B">
            <w:pPr>
              <w:rPr>
                <w:rFonts w:cs="Arial"/>
              </w:rPr>
            </w:pPr>
            <w:r w:rsidRPr="00B85D62">
              <w:rPr>
                <w:rFonts w:cs="Arial"/>
                <w:b/>
                <w:bCs/>
              </w:rPr>
              <w:t xml:space="preserve">Immunosuppressant drugs </w:t>
            </w:r>
          </w:p>
        </w:tc>
        <w:tc>
          <w:tcPr>
            <w:tcW w:w="0" w:type="auto"/>
            <w:shd w:val="clear" w:color="auto" w:fill="auto"/>
          </w:tcPr>
          <w:p w14:paraId="4F94CB70"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1A4D5C6F" w14:textId="77777777" w:rsidR="00201D4F" w:rsidRPr="00B85D62" w:rsidRDefault="00201D4F" w:rsidP="0066232B">
            <w:pPr>
              <w:jc w:val="center"/>
              <w:rPr>
                <w:rFonts w:cs="Arial"/>
              </w:rPr>
            </w:pPr>
            <w:r w:rsidRPr="00B85D62">
              <w:rPr>
                <w:rFonts w:cs="Arial"/>
              </w:rPr>
              <w:t>315 (2.2)</w:t>
            </w:r>
          </w:p>
        </w:tc>
        <w:tc>
          <w:tcPr>
            <w:tcW w:w="0" w:type="auto"/>
            <w:shd w:val="clear" w:color="auto" w:fill="auto"/>
          </w:tcPr>
          <w:p w14:paraId="24DFD283" w14:textId="77777777" w:rsidR="00201D4F" w:rsidRPr="00B85D62" w:rsidRDefault="00201D4F" w:rsidP="0066232B">
            <w:pPr>
              <w:jc w:val="center"/>
              <w:rPr>
                <w:rFonts w:cs="Arial"/>
              </w:rPr>
            </w:pPr>
            <w:r w:rsidRPr="00B85D62">
              <w:rPr>
                <w:rFonts w:cs="Arial"/>
              </w:rPr>
              <w:t>926 (2.2)</w:t>
            </w:r>
          </w:p>
        </w:tc>
        <w:tc>
          <w:tcPr>
            <w:tcW w:w="0" w:type="auto"/>
            <w:shd w:val="clear" w:color="auto" w:fill="auto"/>
          </w:tcPr>
          <w:p w14:paraId="399BAA4E" w14:textId="77777777" w:rsidR="00201D4F" w:rsidRPr="00B85D62" w:rsidRDefault="00201D4F" w:rsidP="0066232B">
            <w:pPr>
              <w:jc w:val="center"/>
              <w:rPr>
                <w:rFonts w:cs="Arial"/>
              </w:rPr>
            </w:pPr>
            <w:r w:rsidRPr="00B85D62">
              <w:rPr>
                <w:rFonts w:cs="Arial"/>
              </w:rPr>
              <w:t>0.694</w:t>
            </w:r>
          </w:p>
        </w:tc>
      </w:tr>
      <w:tr w:rsidR="00201D4F" w:rsidRPr="00B85D62" w14:paraId="5679CB44" w14:textId="77777777" w:rsidTr="00B85D62">
        <w:trPr>
          <w:cantSplit/>
        </w:trPr>
        <w:tc>
          <w:tcPr>
            <w:tcW w:w="0" w:type="auto"/>
            <w:shd w:val="clear" w:color="auto" w:fill="auto"/>
          </w:tcPr>
          <w:p w14:paraId="156509D3" w14:textId="77777777" w:rsidR="00201D4F" w:rsidRPr="00B85D62" w:rsidRDefault="00201D4F" w:rsidP="0066232B">
            <w:pPr>
              <w:rPr>
                <w:rFonts w:cs="Arial"/>
              </w:rPr>
            </w:pPr>
            <w:r w:rsidRPr="00B85D62">
              <w:rPr>
                <w:rFonts w:cs="Arial"/>
                <w:b/>
                <w:bCs/>
              </w:rPr>
              <w:t>Lipid-lowering treatment</w:t>
            </w:r>
            <w:r w:rsidRPr="00B85D62">
              <w:rPr>
                <w:rFonts w:eastAsia="Arial" w:cs="Arial"/>
                <w:b/>
                <w:bCs/>
                <w:color w:val="000000" w:themeColor="text1"/>
                <w:vertAlign w:val="superscript"/>
              </w:rPr>
              <w:t>3</w:t>
            </w:r>
          </w:p>
        </w:tc>
        <w:tc>
          <w:tcPr>
            <w:tcW w:w="0" w:type="auto"/>
            <w:shd w:val="clear" w:color="auto" w:fill="auto"/>
          </w:tcPr>
          <w:p w14:paraId="60369D58"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2A3F33ED" w14:textId="77777777" w:rsidR="00201D4F" w:rsidRPr="00B85D62" w:rsidRDefault="00201D4F" w:rsidP="0066232B">
            <w:pPr>
              <w:jc w:val="center"/>
              <w:rPr>
                <w:rFonts w:cs="Arial"/>
              </w:rPr>
            </w:pPr>
            <w:r w:rsidRPr="00B85D62">
              <w:rPr>
                <w:rFonts w:cs="Arial"/>
              </w:rPr>
              <w:t>2,692 (19.1)</w:t>
            </w:r>
          </w:p>
        </w:tc>
        <w:tc>
          <w:tcPr>
            <w:tcW w:w="0" w:type="auto"/>
            <w:shd w:val="clear" w:color="auto" w:fill="auto"/>
          </w:tcPr>
          <w:p w14:paraId="55B7E7B5" w14:textId="77777777" w:rsidR="00201D4F" w:rsidRPr="00B85D62" w:rsidRDefault="00201D4F" w:rsidP="0066232B">
            <w:pPr>
              <w:jc w:val="center"/>
              <w:rPr>
                <w:rFonts w:cs="Arial"/>
              </w:rPr>
            </w:pPr>
            <w:r w:rsidRPr="00B85D62">
              <w:rPr>
                <w:rFonts w:cs="Arial"/>
              </w:rPr>
              <w:t>2,007 (4.7)</w:t>
            </w:r>
          </w:p>
        </w:tc>
        <w:tc>
          <w:tcPr>
            <w:tcW w:w="0" w:type="auto"/>
            <w:shd w:val="clear" w:color="auto" w:fill="auto"/>
          </w:tcPr>
          <w:p w14:paraId="0B40F814" w14:textId="74CFD2A8" w:rsidR="00201D4F" w:rsidRPr="00B85D62" w:rsidRDefault="00B85D62" w:rsidP="0066232B">
            <w:pPr>
              <w:jc w:val="center"/>
              <w:rPr>
                <w:rFonts w:cs="Arial"/>
              </w:rPr>
            </w:pPr>
            <w:r w:rsidRPr="00B85D62">
              <w:rPr>
                <w:rFonts w:cs="Arial"/>
                <w:color w:val="00B0F0"/>
              </w:rPr>
              <w:t>&lt;</w:t>
            </w:r>
            <w:r w:rsidRPr="00B85D62">
              <w:rPr>
                <w:rFonts w:cs="Arial"/>
                <w:color w:val="00B0F0"/>
              </w:rPr>
              <w:t> </w:t>
            </w:r>
            <w:r w:rsidRPr="00B85D62">
              <w:rPr>
                <w:rFonts w:cs="Arial"/>
                <w:color w:val="00B0F0"/>
              </w:rPr>
              <w:t>0</w:t>
            </w:r>
            <w:r w:rsidR="00201D4F" w:rsidRPr="00B85D62">
              <w:rPr>
                <w:rFonts w:cs="Arial"/>
              </w:rPr>
              <w:t>.001</w:t>
            </w:r>
          </w:p>
        </w:tc>
      </w:tr>
      <w:tr w:rsidR="00201D4F" w:rsidRPr="00B85D62" w14:paraId="2C28A73E" w14:textId="77777777" w:rsidTr="00B85D62">
        <w:trPr>
          <w:cantSplit/>
        </w:trPr>
        <w:tc>
          <w:tcPr>
            <w:tcW w:w="0" w:type="auto"/>
            <w:shd w:val="clear" w:color="auto" w:fill="auto"/>
          </w:tcPr>
          <w:p w14:paraId="168308F3" w14:textId="77777777" w:rsidR="00B85D62" w:rsidRPr="00B85D62" w:rsidRDefault="00201D4F" w:rsidP="0066232B">
            <w:pPr>
              <w:rPr>
                <w:rFonts w:cs="Arial"/>
              </w:rPr>
            </w:pPr>
            <w:r w:rsidRPr="00B85D62">
              <w:rPr>
                <w:rFonts w:cs="Arial"/>
                <w:b/>
                <w:bCs/>
              </w:rPr>
              <w:t>Lipid profile</w:t>
            </w:r>
            <w:r w:rsidRPr="00B85D62">
              <w:rPr>
                <w:rFonts w:cs="Arial"/>
                <w:b/>
                <w:bCs/>
                <w:vertAlign w:val="superscript"/>
              </w:rPr>
              <w:t>4</w:t>
            </w:r>
            <w:r w:rsidRPr="00B85D62">
              <w:rPr>
                <w:rFonts w:cs="Arial"/>
                <w:b/>
                <w:bCs/>
              </w:rPr>
              <w:t xml:space="preserve"> (mmol/L)</w:t>
            </w:r>
          </w:p>
          <w:p w14:paraId="2BBBE4E3" w14:textId="77777777" w:rsidR="00B85D62" w:rsidRPr="00B85D62" w:rsidRDefault="00201D4F" w:rsidP="0066232B">
            <w:pPr>
              <w:rPr>
                <w:rFonts w:cs="Arial"/>
              </w:rPr>
            </w:pPr>
            <w:r w:rsidRPr="00B85D62">
              <w:rPr>
                <w:rFonts w:cs="Arial"/>
                <w:b/>
                <w:bCs/>
              </w:rPr>
              <w:t>Total cholesterol</w:t>
            </w:r>
          </w:p>
          <w:p w14:paraId="153BA212" w14:textId="77777777" w:rsidR="00B85D62" w:rsidRPr="00B85D62" w:rsidRDefault="00201D4F" w:rsidP="0066232B">
            <w:pPr>
              <w:rPr>
                <w:rFonts w:cs="Arial"/>
              </w:rPr>
            </w:pPr>
            <w:r w:rsidRPr="00B85D62">
              <w:rPr>
                <w:rFonts w:cs="Arial"/>
                <w:b/>
                <w:bCs/>
              </w:rPr>
              <w:t>LDL cholesterol</w:t>
            </w:r>
          </w:p>
          <w:p w14:paraId="6F7B2965" w14:textId="624892FB" w:rsidR="00201D4F" w:rsidRPr="00B85D62" w:rsidRDefault="00201D4F" w:rsidP="0066232B">
            <w:pPr>
              <w:rPr>
                <w:rFonts w:cs="Arial"/>
              </w:rPr>
            </w:pPr>
            <w:r w:rsidRPr="00B85D62">
              <w:rPr>
                <w:rFonts w:cs="Arial"/>
                <w:b/>
                <w:bCs/>
              </w:rPr>
              <w:t>Triglyceride</w:t>
            </w:r>
          </w:p>
        </w:tc>
        <w:tc>
          <w:tcPr>
            <w:tcW w:w="0" w:type="auto"/>
            <w:shd w:val="clear" w:color="auto" w:fill="auto"/>
          </w:tcPr>
          <w:p w14:paraId="57BFA36E" w14:textId="77777777" w:rsidR="00B85D62" w:rsidRPr="00B85D62" w:rsidRDefault="00B85D62" w:rsidP="0066232B">
            <w:pPr>
              <w:rPr>
                <w:rFonts w:cs="Arial"/>
              </w:rPr>
            </w:pPr>
          </w:p>
          <w:p w14:paraId="2CB975F5" w14:textId="77777777" w:rsidR="00201D4F" w:rsidRPr="00B85D62" w:rsidRDefault="00201D4F" w:rsidP="0066232B">
            <w:pPr>
              <w:rPr>
                <w:rFonts w:cs="Arial"/>
              </w:rPr>
            </w:pPr>
            <w:r w:rsidRPr="00B85D62">
              <w:rPr>
                <w:rFonts w:cs="Arial"/>
              </w:rPr>
              <w:t>mean (SD)</w:t>
            </w:r>
          </w:p>
          <w:p w14:paraId="61EF0B53" w14:textId="77777777" w:rsidR="00201D4F" w:rsidRPr="00B85D62" w:rsidRDefault="00201D4F" w:rsidP="0066232B">
            <w:pPr>
              <w:rPr>
                <w:rFonts w:cs="Arial"/>
              </w:rPr>
            </w:pPr>
            <w:r w:rsidRPr="00B85D62">
              <w:rPr>
                <w:rFonts w:cs="Arial"/>
              </w:rPr>
              <w:t>mean (SD)</w:t>
            </w:r>
          </w:p>
          <w:p w14:paraId="2A924865" w14:textId="77777777" w:rsidR="00201D4F" w:rsidRPr="00B85D62" w:rsidRDefault="00201D4F" w:rsidP="0066232B">
            <w:pPr>
              <w:rPr>
                <w:rFonts w:cs="Arial"/>
              </w:rPr>
            </w:pPr>
            <w:r w:rsidRPr="00B85D62">
              <w:rPr>
                <w:rFonts w:cs="Arial"/>
              </w:rPr>
              <w:t>median (IQR)</w:t>
            </w:r>
          </w:p>
        </w:tc>
        <w:tc>
          <w:tcPr>
            <w:tcW w:w="0" w:type="auto"/>
            <w:shd w:val="clear" w:color="auto" w:fill="auto"/>
          </w:tcPr>
          <w:p w14:paraId="6DED871A" w14:textId="77777777" w:rsidR="00B85D62" w:rsidRPr="00B85D62" w:rsidRDefault="00B85D62" w:rsidP="0066232B">
            <w:pPr>
              <w:jc w:val="center"/>
              <w:rPr>
                <w:rFonts w:cs="Arial"/>
              </w:rPr>
            </w:pPr>
          </w:p>
          <w:p w14:paraId="3BE2132E" w14:textId="77777777" w:rsidR="00201D4F" w:rsidRPr="00B85D62" w:rsidRDefault="00201D4F" w:rsidP="0066232B">
            <w:pPr>
              <w:jc w:val="center"/>
              <w:rPr>
                <w:rFonts w:cs="Arial"/>
              </w:rPr>
            </w:pPr>
            <w:r w:rsidRPr="00B85D62">
              <w:rPr>
                <w:rFonts w:cs="Arial"/>
              </w:rPr>
              <w:t>9.30 (2.6)</w:t>
            </w:r>
          </w:p>
          <w:p w14:paraId="6B0696F0" w14:textId="77777777" w:rsidR="00201D4F" w:rsidRPr="00B85D62" w:rsidRDefault="00201D4F" w:rsidP="0066232B">
            <w:pPr>
              <w:jc w:val="center"/>
              <w:rPr>
                <w:rFonts w:cs="Arial"/>
              </w:rPr>
            </w:pPr>
            <w:r w:rsidRPr="00B85D62">
              <w:rPr>
                <w:rFonts w:cs="Arial"/>
              </w:rPr>
              <w:t>5.72 (2.1)</w:t>
            </w:r>
          </w:p>
          <w:p w14:paraId="76D95D1C" w14:textId="7B3B534D" w:rsidR="00201D4F" w:rsidRPr="00B85D62" w:rsidRDefault="00201D4F" w:rsidP="0066232B">
            <w:pPr>
              <w:jc w:val="center"/>
              <w:rPr>
                <w:rFonts w:cs="Arial"/>
              </w:rPr>
            </w:pPr>
            <w:r w:rsidRPr="00B85D62">
              <w:rPr>
                <w:rFonts w:cs="Arial"/>
              </w:rPr>
              <w:t>2.10 (1.3</w:t>
            </w:r>
            <w:r w:rsidR="00B85D62" w:rsidRPr="00B85D62">
              <w:rPr>
                <w:rFonts w:cs="Arial"/>
                <w:color w:val="00B0F0"/>
              </w:rPr>
              <w:t>–</w:t>
            </w:r>
            <w:r w:rsidR="00B85D62" w:rsidRPr="00B85D62">
              <w:rPr>
                <w:rFonts w:cs="Arial"/>
                <w:color w:val="00B0F0"/>
              </w:rPr>
              <w:t>3</w:t>
            </w:r>
            <w:r w:rsidRPr="00B85D62">
              <w:rPr>
                <w:rFonts w:cs="Arial"/>
              </w:rPr>
              <w:t>.5)</w:t>
            </w:r>
          </w:p>
        </w:tc>
        <w:tc>
          <w:tcPr>
            <w:tcW w:w="0" w:type="auto"/>
            <w:shd w:val="clear" w:color="auto" w:fill="auto"/>
          </w:tcPr>
          <w:p w14:paraId="4C64EFF9" w14:textId="77777777" w:rsidR="00B85D62" w:rsidRPr="00B85D62" w:rsidRDefault="00B85D62" w:rsidP="0066232B">
            <w:pPr>
              <w:jc w:val="center"/>
              <w:rPr>
                <w:rFonts w:cs="Arial"/>
              </w:rPr>
            </w:pPr>
          </w:p>
          <w:p w14:paraId="2ABD67C3" w14:textId="77777777" w:rsidR="00201D4F" w:rsidRPr="00B85D62" w:rsidRDefault="00201D4F" w:rsidP="0066232B">
            <w:pPr>
              <w:jc w:val="center"/>
              <w:rPr>
                <w:rFonts w:cs="Arial"/>
              </w:rPr>
            </w:pPr>
            <w:r w:rsidRPr="00B85D62">
              <w:rPr>
                <w:rFonts w:cs="Arial"/>
              </w:rPr>
              <w:t>5.98 (1.6)</w:t>
            </w:r>
          </w:p>
          <w:p w14:paraId="3F426E9E" w14:textId="77777777" w:rsidR="00201D4F" w:rsidRPr="00B85D62" w:rsidRDefault="00201D4F" w:rsidP="0066232B">
            <w:pPr>
              <w:jc w:val="center"/>
              <w:rPr>
                <w:rFonts w:cs="Arial"/>
              </w:rPr>
            </w:pPr>
            <w:r w:rsidRPr="00B85D62">
              <w:rPr>
                <w:rFonts w:cs="Arial"/>
              </w:rPr>
              <w:t>3.63 (1.1)</w:t>
            </w:r>
          </w:p>
          <w:p w14:paraId="729A87E0" w14:textId="6153F1B6" w:rsidR="00201D4F" w:rsidRPr="00B85D62" w:rsidRDefault="00201D4F" w:rsidP="0066232B">
            <w:pPr>
              <w:jc w:val="center"/>
              <w:rPr>
                <w:rFonts w:cs="Arial"/>
              </w:rPr>
            </w:pPr>
            <w:r w:rsidRPr="00B85D62">
              <w:rPr>
                <w:rFonts w:cs="Arial"/>
              </w:rPr>
              <w:t>1.30 (0.9</w:t>
            </w:r>
            <w:r w:rsidR="00B85D62" w:rsidRPr="00B85D62">
              <w:rPr>
                <w:rFonts w:cs="Arial"/>
                <w:color w:val="00B0F0"/>
              </w:rPr>
              <w:t>–</w:t>
            </w:r>
            <w:r w:rsidR="00B85D62" w:rsidRPr="00B85D62">
              <w:rPr>
                <w:rFonts w:cs="Arial"/>
                <w:color w:val="00B0F0"/>
              </w:rPr>
              <w:t>1</w:t>
            </w:r>
            <w:r w:rsidRPr="00B85D62">
              <w:rPr>
                <w:rFonts w:cs="Arial"/>
              </w:rPr>
              <w:t>.9)</w:t>
            </w:r>
          </w:p>
        </w:tc>
        <w:tc>
          <w:tcPr>
            <w:tcW w:w="0" w:type="auto"/>
            <w:shd w:val="clear" w:color="auto" w:fill="auto"/>
          </w:tcPr>
          <w:p w14:paraId="2D5B8C78" w14:textId="77777777" w:rsidR="00201D4F" w:rsidRPr="00B85D62" w:rsidRDefault="00201D4F" w:rsidP="0066232B">
            <w:pPr>
              <w:jc w:val="center"/>
              <w:rPr>
                <w:rFonts w:cs="Arial"/>
              </w:rPr>
            </w:pPr>
            <w:r w:rsidRPr="00B85D62">
              <w:rPr>
                <w:rFonts w:cs="Arial"/>
              </w:rPr>
              <w:t xml:space="preserve"> </w:t>
            </w:r>
          </w:p>
        </w:tc>
      </w:tr>
      <w:tr w:rsidR="00201D4F" w:rsidRPr="00B85D62" w14:paraId="106C9018" w14:textId="77777777" w:rsidTr="00B85D62">
        <w:trPr>
          <w:cantSplit/>
        </w:trPr>
        <w:tc>
          <w:tcPr>
            <w:tcW w:w="0" w:type="auto"/>
            <w:shd w:val="clear" w:color="auto" w:fill="auto"/>
          </w:tcPr>
          <w:p w14:paraId="2EA4D296" w14:textId="77777777" w:rsidR="00201D4F" w:rsidRPr="00B85D62" w:rsidRDefault="00201D4F" w:rsidP="0066232B">
            <w:pPr>
              <w:ind w:left="318" w:hanging="318"/>
              <w:rPr>
                <w:rFonts w:cs="Arial"/>
                <w:b/>
                <w:bCs/>
              </w:rPr>
            </w:pPr>
            <w:r w:rsidRPr="00B85D62">
              <w:rPr>
                <w:rFonts w:cs="Arial"/>
                <w:b/>
                <w:bCs/>
              </w:rPr>
              <w:t>Statin potency</w:t>
            </w:r>
          </w:p>
          <w:p w14:paraId="042F8EE6" w14:textId="77777777" w:rsidR="00201D4F" w:rsidRPr="00B85D62" w:rsidRDefault="00201D4F" w:rsidP="0066232B">
            <w:pPr>
              <w:rPr>
                <w:rFonts w:cs="Arial"/>
              </w:rPr>
            </w:pPr>
            <w:r w:rsidRPr="00B85D62">
              <w:rPr>
                <w:rFonts w:cs="Arial"/>
                <w:b/>
                <w:bCs/>
              </w:rPr>
              <w:t>Low</w:t>
            </w:r>
          </w:p>
          <w:p w14:paraId="2F89CF31" w14:textId="77777777" w:rsidR="00201D4F" w:rsidRPr="00B85D62" w:rsidRDefault="00201D4F" w:rsidP="0066232B">
            <w:pPr>
              <w:rPr>
                <w:rFonts w:cs="Arial"/>
              </w:rPr>
            </w:pPr>
            <w:r w:rsidRPr="00B85D62">
              <w:rPr>
                <w:rFonts w:cs="Arial"/>
                <w:b/>
                <w:bCs/>
              </w:rPr>
              <w:t>Medium</w:t>
            </w:r>
          </w:p>
          <w:p w14:paraId="54DE6922" w14:textId="77777777" w:rsidR="00201D4F" w:rsidRPr="00B85D62" w:rsidRDefault="00201D4F" w:rsidP="0066232B">
            <w:pPr>
              <w:rPr>
                <w:rFonts w:cs="Arial"/>
              </w:rPr>
            </w:pPr>
            <w:r w:rsidRPr="00B85D62">
              <w:rPr>
                <w:rFonts w:cs="Arial"/>
                <w:b/>
                <w:bCs/>
              </w:rPr>
              <w:t>High</w:t>
            </w:r>
          </w:p>
        </w:tc>
        <w:tc>
          <w:tcPr>
            <w:tcW w:w="0" w:type="auto"/>
            <w:shd w:val="clear" w:color="auto" w:fill="auto"/>
          </w:tcPr>
          <w:p w14:paraId="7374317D"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5757034A" w14:textId="77777777" w:rsidR="00B85D62" w:rsidRPr="00B85D62" w:rsidRDefault="00B85D62" w:rsidP="0066232B">
            <w:pPr>
              <w:jc w:val="center"/>
              <w:rPr>
                <w:rFonts w:cs="Arial"/>
              </w:rPr>
            </w:pPr>
          </w:p>
          <w:p w14:paraId="26341F0C" w14:textId="77777777" w:rsidR="00201D4F" w:rsidRPr="00B85D62" w:rsidRDefault="00201D4F" w:rsidP="0066232B">
            <w:pPr>
              <w:jc w:val="center"/>
              <w:rPr>
                <w:rFonts w:cs="Arial"/>
              </w:rPr>
            </w:pPr>
            <w:r w:rsidRPr="00B85D62">
              <w:rPr>
                <w:rFonts w:cs="Arial"/>
              </w:rPr>
              <w:t>57 (0.4)</w:t>
            </w:r>
          </w:p>
          <w:p w14:paraId="3897CE9A" w14:textId="77777777" w:rsidR="00201D4F" w:rsidRPr="00B85D62" w:rsidRDefault="00201D4F" w:rsidP="0066232B">
            <w:pPr>
              <w:jc w:val="center"/>
              <w:rPr>
                <w:rFonts w:cs="Arial"/>
              </w:rPr>
            </w:pPr>
            <w:r w:rsidRPr="00B85D62">
              <w:rPr>
                <w:rFonts w:cs="Arial"/>
              </w:rPr>
              <w:t>466 (3.3)</w:t>
            </w:r>
          </w:p>
          <w:p w14:paraId="32DDA91C" w14:textId="77777777" w:rsidR="00201D4F" w:rsidRPr="00B85D62" w:rsidRDefault="00201D4F" w:rsidP="0066232B">
            <w:pPr>
              <w:jc w:val="center"/>
              <w:rPr>
                <w:rFonts w:cs="Arial"/>
              </w:rPr>
            </w:pPr>
            <w:r w:rsidRPr="00B85D62">
              <w:rPr>
                <w:rFonts w:cs="Arial"/>
              </w:rPr>
              <w:t>447 (3.2)</w:t>
            </w:r>
          </w:p>
        </w:tc>
        <w:tc>
          <w:tcPr>
            <w:tcW w:w="0" w:type="auto"/>
            <w:shd w:val="clear" w:color="auto" w:fill="auto"/>
          </w:tcPr>
          <w:p w14:paraId="402613EF" w14:textId="77777777" w:rsidR="00B85D62" w:rsidRPr="00B85D62" w:rsidRDefault="00B85D62" w:rsidP="0066232B">
            <w:pPr>
              <w:jc w:val="center"/>
              <w:rPr>
                <w:rFonts w:cs="Arial"/>
              </w:rPr>
            </w:pPr>
          </w:p>
          <w:p w14:paraId="258A699E" w14:textId="77777777" w:rsidR="00201D4F" w:rsidRPr="00B85D62" w:rsidRDefault="00201D4F" w:rsidP="0066232B">
            <w:pPr>
              <w:jc w:val="center"/>
              <w:rPr>
                <w:rFonts w:cs="Arial"/>
              </w:rPr>
            </w:pPr>
            <w:r w:rsidRPr="00B85D62">
              <w:rPr>
                <w:rFonts w:cs="Arial"/>
              </w:rPr>
              <w:t>49 (0.1)</w:t>
            </w:r>
          </w:p>
          <w:p w14:paraId="4A028E6A" w14:textId="77777777" w:rsidR="00201D4F" w:rsidRPr="00B85D62" w:rsidRDefault="00201D4F" w:rsidP="0066232B">
            <w:pPr>
              <w:jc w:val="center"/>
              <w:rPr>
                <w:rFonts w:cs="Arial"/>
              </w:rPr>
            </w:pPr>
            <w:r w:rsidRPr="00B85D62">
              <w:rPr>
                <w:rFonts w:cs="Arial"/>
              </w:rPr>
              <w:t>384 (0.9)</w:t>
            </w:r>
          </w:p>
          <w:p w14:paraId="5F1E654D" w14:textId="77777777" w:rsidR="00201D4F" w:rsidRPr="00B85D62" w:rsidRDefault="00201D4F" w:rsidP="0066232B">
            <w:pPr>
              <w:jc w:val="center"/>
              <w:rPr>
                <w:rFonts w:cs="Arial"/>
              </w:rPr>
            </w:pPr>
            <w:r w:rsidRPr="00B85D62">
              <w:rPr>
                <w:rFonts w:cs="Arial"/>
              </w:rPr>
              <w:t>145 (0.3)</w:t>
            </w:r>
          </w:p>
        </w:tc>
        <w:tc>
          <w:tcPr>
            <w:tcW w:w="0" w:type="auto"/>
            <w:shd w:val="clear" w:color="auto" w:fill="auto"/>
          </w:tcPr>
          <w:p w14:paraId="2C213149" w14:textId="77777777" w:rsidR="00201D4F" w:rsidRPr="00B85D62" w:rsidRDefault="00201D4F" w:rsidP="0066232B">
            <w:pPr>
              <w:jc w:val="center"/>
              <w:rPr>
                <w:rFonts w:cs="Arial"/>
              </w:rPr>
            </w:pPr>
            <w:r w:rsidRPr="00B85D62">
              <w:rPr>
                <w:rFonts w:cs="Arial"/>
              </w:rPr>
              <w:t xml:space="preserve"> </w:t>
            </w:r>
          </w:p>
        </w:tc>
      </w:tr>
      <w:tr w:rsidR="00201D4F" w:rsidRPr="00B85D62" w14:paraId="5157C152" w14:textId="77777777" w:rsidTr="00B85D62">
        <w:trPr>
          <w:cantSplit/>
        </w:trPr>
        <w:tc>
          <w:tcPr>
            <w:tcW w:w="0" w:type="auto"/>
            <w:shd w:val="clear" w:color="auto" w:fill="auto"/>
          </w:tcPr>
          <w:p w14:paraId="2FE0A2A4" w14:textId="77777777" w:rsidR="00201D4F" w:rsidRPr="00B85D62" w:rsidRDefault="00201D4F" w:rsidP="0066232B">
            <w:pPr>
              <w:rPr>
                <w:rFonts w:cs="Arial"/>
              </w:rPr>
            </w:pPr>
            <w:r w:rsidRPr="00B85D62">
              <w:rPr>
                <w:rFonts w:cs="Arial"/>
                <w:b/>
                <w:bCs/>
              </w:rPr>
              <w:t>Non-statin lipid lowering medication</w:t>
            </w:r>
          </w:p>
        </w:tc>
        <w:tc>
          <w:tcPr>
            <w:tcW w:w="0" w:type="auto"/>
            <w:shd w:val="clear" w:color="auto" w:fill="auto"/>
          </w:tcPr>
          <w:p w14:paraId="57CC30B6" w14:textId="77777777" w:rsidR="00201D4F" w:rsidRPr="00B85D62" w:rsidRDefault="00201D4F" w:rsidP="0066232B">
            <w:pPr>
              <w:rPr>
                <w:rFonts w:cs="Arial"/>
              </w:rPr>
            </w:pPr>
            <w:r w:rsidRPr="00B85D62">
              <w:rPr>
                <w:rFonts w:cs="Arial"/>
                <w:i/>
                <w:color w:val="00B0F0"/>
              </w:rPr>
              <w:t>n</w:t>
            </w:r>
            <w:r w:rsidRPr="00B85D62">
              <w:rPr>
                <w:rFonts w:cs="Arial"/>
              </w:rPr>
              <w:t xml:space="preserve"> (%)</w:t>
            </w:r>
          </w:p>
        </w:tc>
        <w:tc>
          <w:tcPr>
            <w:tcW w:w="0" w:type="auto"/>
            <w:shd w:val="clear" w:color="auto" w:fill="auto"/>
          </w:tcPr>
          <w:p w14:paraId="4F75ACBA" w14:textId="77777777" w:rsidR="00201D4F" w:rsidRPr="00B85D62" w:rsidRDefault="00201D4F" w:rsidP="0066232B">
            <w:pPr>
              <w:jc w:val="center"/>
              <w:rPr>
                <w:rFonts w:cs="Arial"/>
              </w:rPr>
            </w:pPr>
            <w:r w:rsidRPr="00B85D62">
              <w:rPr>
                <w:rFonts w:cs="Arial"/>
              </w:rPr>
              <w:t>1,722 (12.2)</w:t>
            </w:r>
          </w:p>
        </w:tc>
        <w:tc>
          <w:tcPr>
            <w:tcW w:w="0" w:type="auto"/>
            <w:shd w:val="clear" w:color="auto" w:fill="auto"/>
          </w:tcPr>
          <w:p w14:paraId="70704A03" w14:textId="77777777" w:rsidR="00201D4F" w:rsidRPr="00B85D62" w:rsidRDefault="00201D4F" w:rsidP="0066232B">
            <w:pPr>
              <w:jc w:val="center"/>
              <w:rPr>
                <w:rFonts w:cs="Arial"/>
              </w:rPr>
            </w:pPr>
            <w:r w:rsidRPr="00B85D62">
              <w:rPr>
                <w:rFonts w:cs="Arial"/>
              </w:rPr>
              <w:t>1,429 (3.4)</w:t>
            </w:r>
          </w:p>
        </w:tc>
        <w:tc>
          <w:tcPr>
            <w:tcW w:w="0" w:type="auto"/>
            <w:shd w:val="clear" w:color="auto" w:fill="auto"/>
          </w:tcPr>
          <w:p w14:paraId="1ED44B41" w14:textId="77777777" w:rsidR="00201D4F" w:rsidRPr="00B85D62" w:rsidRDefault="00201D4F" w:rsidP="0066232B">
            <w:pPr>
              <w:jc w:val="center"/>
              <w:rPr>
                <w:rFonts w:cs="Arial"/>
              </w:rPr>
            </w:pPr>
            <w:r w:rsidRPr="00B85D62">
              <w:rPr>
                <w:rFonts w:cs="Arial"/>
              </w:rPr>
              <w:t xml:space="preserve"> </w:t>
            </w:r>
          </w:p>
        </w:tc>
      </w:tr>
    </w:tbl>
    <w:p w14:paraId="02BAEABA" w14:textId="77777777" w:rsidR="00B85D62" w:rsidRPr="00B85D62" w:rsidRDefault="00201D4F" w:rsidP="0066232B">
      <w:pPr>
        <w:rPr>
          <w:rFonts w:eastAsia="Calibri" w:cs="Arial"/>
          <w:sz w:val="18"/>
          <w:szCs w:val="18"/>
        </w:rPr>
      </w:pPr>
      <w:r w:rsidRPr="00B85D62">
        <w:rPr>
          <w:rFonts w:cs="Arial"/>
          <w:b/>
          <w:bCs/>
          <w:sz w:val="18"/>
          <w:szCs w:val="18"/>
        </w:rPr>
        <w:t xml:space="preserve"> </w:t>
      </w:r>
      <w:r w:rsidRPr="00B85D62">
        <w:rPr>
          <w:rFonts w:cs="Arial"/>
          <w:sz w:val="18"/>
          <w:szCs w:val="18"/>
          <w:vertAlign w:val="superscript"/>
        </w:rPr>
        <w:t>1</w:t>
      </w:r>
      <w:r w:rsidRPr="00B85D62">
        <w:rPr>
          <w:rFonts w:eastAsiaTheme="minorEastAsia" w:cs="Arial"/>
          <w:sz w:val="18"/>
          <w:szCs w:val="18"/>
        </w:rPr>
        <w:t xml:space="preserve">numbers indicate proportion of </w:t>
      </w:r>
      <w:r w:rsidR="001066FA" w:rsidRPr="00B85D62">
        <w:rPr>
          <w:rFonts w:eastAsiaTheme="minorEastAsia" w:cs="Arial"/>
          <w:sz w:val="18"/>
          <w:szCs w:val="18"/>
        </w:rPr>
        <w:t>people</w:t>
      </w:r>
      <w:r w:rsidRPr="00B85D62">
        <w:rPr>
          <w:rFonts w:eastAsiaTheme="minorEastAsia" w:cs="Arial"/>
          <w:sz w:val="18"/>
          <w:szCs w:val="18"/>
        </w:rPr>
        <w:t xml:space="preserve"> with record of alcohol misuse</w:t>
      </w:r>
      <w:r w:rsidR="00520C37" w:rsidRPr="00B85D62">
        <w:rPr>
          <w:rFonts w:eastAsiaTheme="minorEastAsia" w:cs="Arial"/>
          <w:sz w:val="18"/>
          <w:szCs w:val="18"/>
        </w:rPr>
        <w:t xml:space="preserve">; </w:t>
      </w:r>
      <w:r w:rsidRPr="00B85D62">
        <w:rPr>
          <w:rFonts w:eastAsiaTheme="minorEastAsia" w:cs="Arial"/>
          <w:sz w:val="18"/>
          <w:szCs w:val="18"/>
          <w:vertAlign w:val="superscript"/>
        </w:rPr>
        <w:t>2</w:t>
      </w:r>
      <w:r w:rsidRPr="00B85D62">
        <w:rPr>
          <w:rFonts w:eastAsiaTheme="minorEastAsia" w:cs="Arial"/>
          <w:sz w:val="18"/>
          <w:szCs w:val="18"/>
        </w:rPr>
        <w:t xml:space="preserve">numbers indicate proportion of </w:t>
      </w:r>
      <w:r w:rsidR="001066FA" w:rsidRPr="00B85D62">
        <w:rPr>
          <w:rFonts w:eastAsiaTheme="minorEastAsia" w:cs="Arial"/>
          <w:sz w:val="18"/>
          <w:szCs w:val="18"/>
        </w:rPr>
        <w:t xml:space="preserve">people </w:t>
      </w:r>
      <w:r w:rsidRPr="00B85D62">
        <w:rPr>
          <w:rFonts w:eastAsiaTheme="minorEastAsia" w:cs="Arial"/>
          <w:sz w:val="18"/>
          <w:szCs w:val="18"/>
        </w:rPr>
        <w:t>with record of ever-smoking</w:t>
      </w:r>
      <w:r w:rsidR="00520C37" w:rsidRPr="00B85D62">
        <w:rPr>
          <w:rFonts w:eastAsiaTheme="minorEastAsia" w:cs="Arial"/>
          <w:sz w:val="18"/>
          <w:szCs w:val="18"/>
        </w:rPr>
        <w:t xml:space="preserve">; </w:t>
      </w:r>
      <w:r w:rsidRPr="00B85D62">
        <w:rPr>
          <w:rFonts w:eastAsiaTheme="minorEastAsia" w:cs="Arial"/>
          <w:color w:val="000000" w:themeColor="text1"/>
          <w:sz w:val="18"/>
          <w:szCs w:val="18"/>
          <w:vertAlign w:val="superscript"/>
        </w:rPr>
        <w:t>3</w:t>
      </w:r>
      <w:r w:rsidRPr="00B85D62">
        <w:rPr>
          <w:rFonts w:eastAsiaTheme="minorEastAsia" w:cs="Arial"/>
          <w:sz w:val="18"/>
          <w:szCs w:val="18"/>
        </w:rPr>
        <w:t>lipid-lowering treatment include statins, fibrates and combination therapy (statins and ezetimibe)</w:t>
      </w:r>
      <w:r w:rsidR="00520C37" w:rsidRPr="00B85D62">
        <w:rPr>
          <w:rFonts w:eastAsiaTheme="minorEastAsia" w:cs="Arial"/>
          <w:sz w:val="18"/>
          <w:szCs w:val="18"/>
        </w:rPr>
        <w:t xml:space="preserve">; </w:t>
      </w:r>
      <w:r w:rsidRPr="00B85D62">
        <w:rPr>
          <w:rFonts w:eastAsiaTheme="minorEastAsia" w:cs="Arial"/>
          <w:sz w:val="18"/>
          <w:szCs w:val="18"/>
          <w:vertAlign w:val="superscript"/>
        </w:rPr>
        <w:t>4</w:t>
      </w:r>
      <w:r w:rsidRPr="00B85D62">
        <w:rPr>
          <w:rFonts w:eastAsiaTheme="minorEastAsia" w:cs="Arial"/>
          <w:sz w:val="18"/>
          <w:szCs w:val="18"/>
        </w:rPr>
        <w:t>Total cholesterol and LDL-C correction done for patients on cholesterol lowering medication with known potency (based on percentage reduction in LDL-C estimated in previous study)</w:t>
      </w:r>
      <w:r w:rsidR="00C35B5E" w:rsidRPr="00B85D62">
        <w:rPr>
          <w:rFonts w:eastAsia="Calibri" w:cs="Arial"/>
          <w:noProof/>
          <w:color w:val="2B579A"/>
          <w:sz w:val="18"/>
          <w:szCs w:val="18"/>
          <w:shd w:val="clear" w:color="auto" w:fill="E6E6E6"/>
          <w:vertAlign w:val="superscript"/>
        </w:rPr>
        <w:t>108</w:t>
      </w:r>
    </w:p>
    <w:p w14:paraId="5E409E4E" w14:textId="3FC25BA0" w:rsidR="00B85D62" w:rsidRPr="00B85D62" w:rsidRDefault="13F421EA" w:rsidP="0066232B">
      <w:pPr>
        <w:rPr>
          <w:rFonts w:eastAsia="Calibri" w:cs="Arial"/>
        </w:rPr>
      </w:pPr>
      <w:r w:rsidRPr="00B85D62">
        <w:rPr>
          <w:rFonts w:eastAsia="Calibri" w:cs="Arial"/>
        </w:rPr>
        <w:t xml:space="preserve">For patients on statins or other cholesterol-lowering medication with known potency, the corrected levels of total cholesterol were estimated from observed levels, based on estimated percentage reduction in LDL-cholesterol with statins of different potencies </w:t>
      </w:r>
      <w:r w:rsidR="00C35B5E" w:rsidRPr="00B85D62">
        <w:rPr>
          <w:rFonts w:eastAsia="Calibri" w:cs="Arial"/>
          <w:noProof/>
          <w:color w:val="2B579A"/>
          <w:shd w:val="clear" w:color="auto" w:fill="E6E6E6"/>
          <w:vertAlign w:val="superscript"/>
        </w:rPr>
        <w:t>108</w:t>
      </w:r>
      <w:r w:rsidRPr="00B85D62">
        <w:rPr>
          <w:rFonts w:eastAsia="Calibri" w:cs="Arial"/>
        </w:rPr>
        <w:t xml:space="preserve">. As expected, the mean cholesterol concentration was significantly higher in those with FH (9.30 [SD 0.02] mmol/L) </w:t>
      </w:r>
      <w:r w:rsidRPr="00B85D62">
        <w:rPr>
          <w:rFonts w:eastAsia="Calibri" w:cs="Arial"/>
          <w:highlight w:val="magenta"/>
        </w:rPr>
        <w:t>compared to</w:t>
      </w:r>
      <w:r w:rsidRPr="00B85D62">
        <w:rPr>
          <w:rFonts w:eastAsia="Calibri" w:cs="Arial"/>
        </w:rPr>
        <w:t xml:space="preserve"> those without FH (5.98 [SD 0.01] mmol/L) respectively. Median triglyceride concentration (interquartile range [IQR]) in the FH and non-FH cohort were 2.10 mmol/L (IQR 1.34</w:t>
      </w:r>
      <w:r w:rsidR="00B85D62" w:rsidRPr="00B85D62">
        <w:rPr>
          <w:rFonts w:eastAsia="Calibri" w:cs="Arial"/>
          <w:color w:val="00B0F0"/>
        </w:rPr>
        <w:t>–</w:t>
      </w:r>
      <w:r w:rsidR="00B85D62" w:rsidRPr="00B85D62">
        <w:rPr>
          <w:rFonts w:eastAsia="Calibri" w:cs="Arial"/>
          <w:color w:val="00B0F0"/>
        </w:rPr>
        <w:t>3</w:t>
      </w:r>
      <w:r w:rsidRPr="00B85D62">
        <w:rPr>
          <w:rFonts w:eastAsia="Calibri" w:cs="Arial"/>
        </w:rPr>
        <w:t>.52) and 1.30mmol/L (IQR 0.90</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 xml:space="preserve">.92), respectively. </w:t>
      </w:r>
      <w:r w:rsidR="00082A91" w:rsidRPr="00B85D62">
        <w:rPr>
          <w:rFonts w:eastAsia="Calibri" w:cs="Arial"/>
        </w:rPr>
        <w:t xml:space="preserve">Also </w:t>
      </w:r>
      <w:r w:rsidR="48542DEB" w:rsidRPr="00B85D62">
        <w:rPr>
          <w:rFonts w:eastAsia="Calibri" w:cs="Arial"/>
        </w:rPr>
        <w:t xml:space="preserve">see Appendix 2 </w:t>
      </w:r>
      <w:r w:rsidR="00B85D62" w:rsidRPr="00B85D62">
        <w:rPr>
          <w:rFonts w:eastAsia="Calibri" w:cs="Arial"/>
          <w:i/>
          <w:color w:val="FF0000"/>
        </w:rPr>
        <w:t>F</w:t>
      </w:r>
      <w:r w:rsidR="00B85D62" w:rsidRPr="00B85D62">
        <w:rPr>
          <w:rFonts w:eastAsia="Calibri" w:cs="Arial"/>
          <w:i/>
          <w:color w:val="FF0000"/>
        </w:rPr>
        <w:t>igure</w:t>
      </w:r>
      <w:r w:rsidR="00B85D62" w:rsidRPr="00B85D62">
        <w:rPr>
          <w:rFonts w:eastAsia="Calibri" w:cs="Arial"/>
          <w:i/>
          <w:color w:val="FF0000"/>
        </w:rPr>
        <w:t xml:space="preserve"> </w:t>
      </w:r>
      <w:r w:rsidR="00B85D62" w:rsidRPr="00B85D62">
        <w:rPr>
          <w:rFonts w:eastAsia="Calibri" w:cs="Arial"/>
          <w:i/>
          <w:color w:val="FF0000"/>
        </w:rPr>
        <w:t>18</w:t>
      </w:r>
      <w:r w:rsidR="48542DEB" w:rsidRPr="00B85D62">
        <w:rPr>
          <w:rFonts w:eastAsia="Calibri" w:cs="Arial"/>
        </w:rPr>
        <w:t>.</w:t>
      </w:r>
    </w:p>
    <w:p w14:paraId="097BFA2F" w14:textId="0FD7A0CD" w:rsidR="00201D4F" w:rsidRPr="00B85D62" w:rsidRDefault="00201D4F" w:rsidP="0066232B">
      <w:pPr>
        <w:rPr>
          <w:rFonts w:eastAsia="Calibri" w:cs="Arial"/>
          <w:i/>
          <w:iCs/>
        </w:rPr>
      </w:pPr>
      <w:r w:rsidRPr="00B85D62">
        <w:rPr>
          <w:rFonts w:eastAsia="Calibri" w:cs="Arial"/>
          <w:i/>
          <w:iCs/>
        </w:rPr>
        <w:t>Cardiovascular disease outcomes</w:t>
      </w:r>
    </w:p>
    <w:p w14:paraId="7439A1C8" w14:textId="64416C43" w:rsidR="00201D4F" w:rsidRPr="00B85D62" w:rsidRDefault="1EF1C9BC" w:rsidP="0066232B">
      <w:pPr>
        <w:rPr>
          <w:rFonts w:eastAsia="Calibri" w:cs="Arial"/>
        </w:rPr>
      </w:pPr>
      <w:r w:rsidRPr="00B85D62">
        <w:rPr>
          <w:rFonts w:eastAsia="Calibri" w:cs="Arial"/>
        </w:rPr>
        <w:t xml:space="preserve">There </w:t>
      </w:r>
      <w:r w:rsidR="2BB19C99" w:rsidRPr="00B85D62">
        <w:rPr>
          <w:rFonts w:eastAsia="Calibri" w:cs="Arial"/>
        </w:rPr>
        <w:t>was</w:t>
      </w:r>
      <w:r w:rsidRPr="00B85D62">
        <w:rPr>
          <w:rFonts w:eastAsia="Calibri" w:cs="Arial"/>
        </w:rPr>
        <w:t xml:space="preserve"> a total of 6,202 incident cases of cardiovascular disease (CHD, stroke, TIA or PVD) during the period of follow-up. These were identified in 31.7% of individuals with FH and 4.1% of non-FH individuals. Comparing baseline characteristics of FH and non-FH patients, hypertension and atrial fibrillation were more </w:t>
      </w:r>
      <w:r w:rsidRPr="00B85D62">
        <w:rPr>
          <w:rFonts w:eastAsia="Calibri" w:cs="Arial"/>
        </w:rPr>
        <w:lastRenderedPageBreak/>
        <w:t>prevalent among FH patients than non-FH patients who developed CVD. While more FH than non-FH patients with CVD had a smoking history, the difference in prevalence of chronic kidney disease and type 2 diabetes were not statistically significant.</w:t>
      </w:r>
    </w:p>
    <w:p w14:paraId="30852CE1" w14:textId="2EB84FEB" w:rsidR="00B85D62" w:rsidRPr="00B85D62" w:rsidRDefault="13F421EA" w:rsidP="0066232B">
      <w:pPr>
        <w:rPr>
          <w:rFonts w:eastAsia="Calibri" w:cs="Arial"/>
        </w:rPr>
      </w:pPr>
      <w:r w:rsidRPr="00B85D62">
        <w:rPr>
          <w:rFonts w:eastAsia="Calibri" w:cs="Arial"/>
        </w:rPr>
        <w:t xml:space="preserve">Overall, the </w:t>
      </w:r>
      <w:r w:rsidRPr="00B85D62">
        <w:rPr>
          <w:rFonts w:eastAsia="Calibri" w:cs="Arial"/>
          <w:highlight w:val="magenta"/>
        </w:rPr>
        <w:t>incidence</w:t>
      </w:r>
      <w:r w:rsidRPr="00B85D62">
        <w:rPr>
          <w:rFonts w:eastAsia="Calibri" w:cs="Arial"/>
        </w:rPr>
        <w:t xml:space="preserve"> rates of CVD among FH and non-FH individuals (per 1,000 person-years at risk) were 25.6 and 2.9 respectively. The </w:t>
      </w:r>
      <w:r w:rsidRPr="00B85D62">
        <w:rPr>
          <w:rFonts w:eastAsia="Calibri" w:cs="Arial"/>
          <w:highlight w:val="magenta"/>
        </w:rPr>
        <w:t>incidence</w:t>
      </w:r>
      <w:r w:rsidRPr="00B85D62">
        <w:rPr>
          <w:rFonts w:eastAsia="Calibri" w:cs="Arial"/>
        </w:rPr>
        <w:t xml:space="preserve"> rate in FH </w:t>
      </w:r>
      <w:r w:rsidRPr="00B85D62">
        <w:rPr>
          <w:rFonts w:eastAsia="Calibri" w:cs="Arial"/>
          <w:highlight w:val="magenta"/>
        </w:rPr>
        <w:t>compared to</w:t>
      </w:r>
      <w:r w:rsidRPr="00B85D62">
        <w:rPr>
          <w:rFonts w:eastAsia="Calibri" w:cs="Arial"/>
        </w:rPr>
        <w:t xml:space="preserve"> non-FH individuals was highest for CHD (</w:t>
      </w:r>
      <w:r w:rsidRPr="00B85D62">
        <w:rPr>
          <w:rFonts w:eastAsia="Calibri" w:cs="Arial"/>
          <w:highlight w:val="magenta"/>
        </w:rPr>
        <w:t>incidence</w:t>
      </w:r>
      <w:r w:rsidRPr="00B85D62">
        <w:rPr>
          <w:rFonts w:eastAsia="Calibri" w:cs="Arial"/>
        </w:rPr>
        <w:t xml:space="preserve"> rate 20.3 versus 2.0), with </w:t>
      </w:r>
      <w:r w:rsidRPr="00B85D62">
        <w:rPr>
          <w:rFonts w:eastAsia="Calibri" w:cs="Arial"/>
          <w:highlight w:val="magenta"/>
        </w:rPr>
        <w:t>incidence</w:t>
      </w:r>
      <w:r w:rsidRPr="00B85D62">
        <w:rPr>
          <w:rFonts w:eastAsia="Calibri" w:cs="Arial"/>
        </w:rPr>
        <w:t xml:space="preserve"> rates of stroke/TIA and of PVD also higher among those with FH </w:t>
      </w:r>
      <w:r w:rsidRPr="00B85D62">
        <w:rPr>
          <w:rFonts w:eastAsia="Calibri" w:cs="Arial"/>
          <w:highlight w:val="magenta"/>
        </w:rPr>
        <w:t>compared to</w:t>
      </w:r>
      <w:r w:rsidRPr="00B85D62">
        <w:rPr>
          <w:rFonts w:eastAsia="Calibri" w:cs="Arial"/>
        </w:rPr>
        <w:t xml:space="preserve"> non-FH individuals (</w:t>
      </w:r>
      <w:r w:rsidR="782E5BC4" w:rsidRPr="00B85D62">
        <w:rPr>
          <w:rFonts w:eastAsia="Calibri" w:cs="Arial"/>
        </w:rPr>
        <w:t>see Appendix</w:t>
      </w:r>
      <w:r w:rsidR="57EEDABA" w:rsidRPr="00B85D62">
        <w:rPr>
          <w:rFonts w:eastAsia="Calibri" w:cs="Arial"/>
        </w:rPr>
        <w:t xml:space="preserve"> 2</w:t>
      </w:r>
      <w:r w:rsidR="782E5BC4" w:rsidRPr="00B85D62">
        <w:rPr>
          <w:rFonts w:eastAsia="Calibri" w:cs="Arial"/>
        </w:rPr>
        <w:t xml:space="preserve">, </w:t>
      </w:r>
      <w:r w:rsidR="00B85D62" w:rsidRPr="00B85D62">
        <w:rPr>
          <w:rFonts w:eastAsia="Calibri" w:cs="Arial"/>
          <w:i/>
          <w:color w:val="FF0000"/>
        </w:rPr>
        <w:t>T</w:t>
      </w:r>
      <w:r w:rsidR="00B85D62" w:rsidRPr="00B85D62">
        <w:rPr>
          <w:rFonts w:eastAsia="Calibri" w:cs="Arial"/>
          <w:i/>
          <w:color w:val="FF0000"/>
        </w:rPr>
        <w:t>able</w:t>
      </w:r>
      <w:r w:rsidR="00B85D62" w:rsidRPr="00B85D62">
        <w:rPr>
          <w:rFonts w:eastAsia="Calibri" w:cs="Arial"/>
          <w:i/>
          <w:color w:val="FF0000"/>
        </w:rPr>
        <w:t xml:space="preserve"> </w:t>
      </w:r>
      <w:r w:rsidR="00B85D62" w:rsidRPr="00B85D62">
        <w:rPr>
          <w:rFonts w:eastAsia="Calibri" w:cs="Arial"/>
          <w:i/>
          <w:color w:val="FF0000"/>
        </w:rPr>
        <w:t>28</w:t>
      </w:r>
      <w:r w:rsidRPr="00B85D62">
        <w:rPr>
          <w:rFonts w:eastAsia="Calibri" w:cs="Arial"/>
        </w:rPr>
        <w:t xml:space="preserve">). The overall mean age at first diagnosis of CHD, stroke/TIA and PVD were 53.3 years, 56 years and 55.5 years, respectively. CVD outcomes were diagnosed approximately 10 years earlier in those with FH </w:t>
      </w:r>
      <w:r w:rsidRPr="00B85D62">
        <w:rPr>
          <w:rFonts w:eastAsia="Calibri" w:cs="Arial"/>
          <w:highlight w:val="magenta"/>
        </w:rPr>
        <w:t>compared to</w:t>
      </w:r>
      <w:r w:rsidRPr="00B85D62">
        <w:rPr>
          <w:rFonts w:eastAsia="Calibri" w:cs="Arial"/>
        </w:rPr>
        <w:t xml:space="preserve"> those without FH.</w:t>
      </w:r>
    </w:p>
    <w:p w14:paraId="2329323B" w14:textId="11270D65" w:rsidR="00B85D62" w:rsidRPr="00B85D62" w:rsidRDefault="00B85D62" w:rsidP="00895586">
      <w:pPr>
        <w:rPr>
          <w:rFonts w:eastAsia="Calibri" w:cs="Arial"/>
        </w:rPr>
      </w:pPr>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3</w:t>
      </w:r>
      <w:r w:rsidR="00895586" w:rsidRPr="00B85D62">
        <w:rPr>
          <w:rFonts w:eastAsia="Calibri" w:cs="Arial"/>
        </w:rPr>
        <w:t xml:space="preserve"> </w:t>
      </w:r>
      <w:r w:rsidR="1EF1C9BC" w:rsidRPr="00B85D62">
        <w:rPr>
          <w:rFonts w:eastAsia="Calibri" w:cs="Arial"/>
        </w:rPr>
        <w:t xml:space="preserve">shows the number of CVD events and hazards ratios for all CVD subtypes among FH and non-FH patients. FH patients were more likely to have incident </w:t>
      </w:r>
      <w:r w:rsidR="00082A91" w:rsidRPr="00B85D62">
        <w:rPr>
          <w:rFonts w:eastAsia="Calibri" w:cs="Arial"/>
        </w:rPr>
        <w:t>cardiovascular events</w:t>
      </w:r>
      <w:r w:rsidR="1EF1C9BC" w:rsidRPr="00B85D62">
        <w:rPr>
          <w:rFonts w:eastAsia="Calibri" w:cs="Arial"/>
        </w:rPr>
        <w:t xml:space="preserve"> than non-FH patients (hazards ratio [HR] 9.14, 95% CI 8.55</w:t>
      </w:r>
      <w:r w:rsidRPr="00B85D62">
        <w:rPr>
          <w:rFonts w:eastAsia="Calibri" w:cs="Arial"/>
          <w:color w:val="00B0F0"/>
        </w:rPr>
        <w:t>–</w:t>
      </w:r>
      <w:r w:rsidRPr="00B85D62">
        <w:rPr>
          <w:rFonts w:eastAsia="Calibri" w:cs="Arial"/>
          <w:color w:val="00B0F0"/>
        </w:rPr>
        <w:t>9</w:t>
      </w:r>
      <w:r w:rsidR="1EF1C9BC" w:rsidRPr="00B85D62">
        <w:rPr>
          <w:rFonts w:eastAsia="Calibri" w:cs="Arial"/>
        </w:rPr>
        <w:t xml:space="preserve">.76, </w:t>
      </w:r>
      <w:r w:rsidR="1EF1C9BC" w:rsidRPr="00B85D62">
        <w:rPr>
          <w:rFonts w:eastAsia="Calibri" w:cs="Arial"/>
          <w:i/>
          <w:color w:val="00B0F0"/>
        </w:rPr>
        <w:t>p</w:t>
      </w:r>
      <w:r w:rsidRPr="00B85D62">
        <w:rPr>
          <w:rFonts w:eastAsia="Calibri" w:cs="Arial"/>
          <w:color w:val="00B0F0"/>
        </w:rPr>
        <w:t>&lt;</w:t>
      </w:r>
      <w:r w:rsidRPr="00B85D62">
        <w:rPr>
          <w:rFonts w:eastAsia="Calibri" w:cs="Arial"/>
          <w:color w:val="00B0F0"/>
        </w:rPr>
        <w:t> </w:t>
      </w:r>
      <w:r w:rsidRPr="00B85D62">
        <w:rPr>
          <w:rFonts w:eastAsia="Calibri" w:cs="Arial"/>
          <w:color w:val="00B0F0"/>
        </w:rPr>
        <w:t>0</w:t>
      </w:r>
      <w:r w:rsidR="1EF1C9BC" w:rsidRPr="00B85D62">
        <w:rPr>
          <w:rFonts w:eastAsia="Calibri" w:cs="Arial"/>
        </w:rPr>
        <w:t>.001). This comprised higher risk of incident CHD (HR 10.63, 95% CI 9.82</w:t>
      </w:r>
      <w:r w:rsidRPr="00B85D62">
        <w:rPr>
          <w:rFonts w:eastAsia="Calibri" w:cs="Arial"/>
          <w:color w:val="00B0F0"/>
        </w:rPr>
        <w:t>–</w:t>
      </w:r>
      <w:r w:rsidRPr="00B85D62">
        <w:rPr>
          <w:rFonts w:eastAsia="Calibri" w:cs="Arial"/>
          <w:color w:val="00B0F0"/>
        </w:rPr>
        <w:t>1</w:t>
      </w:r>
      <w:r w:rsidR="1EF1C9BC" w:rsidRPr="00B85D62">
        <w:rPr>
          <w:rFonts w:eastAsia="Calibri" w:cs="Arial"/>
        </w:rPr>
        <w:t xml:space="preserve">1.49, </w:t>
      </w:r>
      <w:r w:rsidR="1EF1C9BC" w:rsidRPr="00B85D62">
        <w:rPr>
          <w:rFonts w:eastAsia="Calibri" w:cs="Arial"/>
          <w:i/>
          <w:color w:val="00B0F0"/>
        </w:rPr>
        <w:t>p</w:t>
      </w:r>
      <w:r w:rsidRPr="00B85D62">
        <w:rPr>
          <w:rFonts w:eastAsia="Calibri" w:cs="Arial"/>
          <w:color w:val="00B0F0"/>
        </w:rPr>
        <w:t>&lt;</w:t>
      </w:r>
      <w:r w:rsidRPr="00B85D62">
        <w:rPr>
          <w:rFonts w:eastAsia="Calibri" w:cs="Arial"/>
          <w:color w:val="00B0F0"/>
        </w:rPr>
        <w:t> </w:t>
      </w:r>
      <w:r w:rsidRPr="00B85D62">
        <w:rPr>
          <w:rFonts w:eastAsia="Calibri" w:cs="Arial"/>
          <w:color w:val="00B0F0"/>
        </w:rPr>
        <w:t>0</w:t>
      </w:r>
      <w:r w:rsidR="1EF1C9BC" w:rsidRPr="00B85D62">
        <w:rPr>
          <w:rFonts w:eastAsia="Calibri" w:cs="Arial"/>
        </w:rPr>
        <w:t>.001), stroke</w:t>
      </w:r>
      <w:r w:rsidRPr="00B85D62">
        <w:rPr>
          <w:rFonts w:eastAsia="Calibri" w:cs="Arial"/>
          <w:color w:val="00B0F0"/>
        </w:rPr>
        <w:t>/</w:t>
      </w:r>
      <w:r w:rsidR="1EF1C9BC" w:rsidRPr="00B85D62">
        <w:rPr>
          <w:rFonts w:eastAsia="Calibri" w:cs="Arial"/>
        </w:rPr>
        <w:t>TIA (HR 6.74, 95% CI 5.84</w:t>
      </w:r>
      <w:r w:rsidRPr="00B85D62">
        <w:rPr>
          <w:rFonts w:eastAsia="Calibri" w:cs="Arial"/>
          <w:color w:val="00B0F0"/>
        </w:rPr>
        <w:t>–</w:t>
      </w:r>
      <w:r w:rsidRPr="00B85D62">
        <w:rPr>
          <w:rFonts w:eastAsia="Calibri" w:cs="Arial"/>
          <w:color w:val="00B0F0"/>
        </w:rPr>
        <w:t>7</w:t>
      </w:r>
      <w:r w:rsidR="1EF1C9BC" w:rsidRPr="00B85D62">
        <w:rPr>
          <w:rFonts w:eastAsia="Calibri" w:cs="Arial"/>
        </w:rPr>
        <w:t xml:space="preserve">.77, </w:t>
      </w:r>
      <w:r w:rsidR="1EF1C9BC" w:rsidRPr="00B85D62">
        <w:rPr>
          <w:rFonts w:eastAsia="Calibri" w:cs="Arial"/>
          <w:i/>
          <w:color w:val="00B0F0"/>
        </w:rPr>
        <w:t>p</w:t>
      </w:r>
      <w:r w:rsidRPr="00B85D62">
        <w:rPr>
          <w:rFonts w:eastAsia="Calibri" w:cs="Arial"/>
          <w:color w:val="00B0F0"/>
        </w:rPr>
        <w:t>&lt;</w:t>
      </w:r>
      <w:r w:rsidRPr="00B85D62">
        <w:rPr>
          <w:rFonts w:eastAsia="Calibri" w:cs="Arial"/>
          <w:color w:val="00B0F0"/>
        </w:rPr>
        <w:t> </w:t>
      </w:r>
      <w:r w:rsidRPr="00B85D62">
        <w:rPr>
          <w:rFonts w:eastAsia="Calibri" w:cs="Arial"/>
          <w:color w:val="00B0F0"/>
        </w:rPr>
        <w:t>0</w:t>
      </w:r>
      <w:r w:rsidR="1EF1C9BC" w:rsidRPr="00B85D62">
        <w:rPr>
          <w:rFonts w:eastAsia="Calibri" w:cs="Arial"/>
        </w:rPr>
        <w:t xml:space="preserve">.001) and </w:t>
      </w:r>
      <w:r w:rsidR="009E48EF" w:rsidRPr="00B85D62">
        <w:rPr>
          <w:rFonts w:eastAsia="Calibri" w:cs="Arial"/>
        </w:rPr>
        <w:t>PVD</w:t>
      </w:r>
      <w:r w:rsidR="1EF1C9BC" w:rsidRPr="00B85D62">
        <w:rPr>
          <w:rFonts w:eastAsia="Calibri" w:cs="Arial"/>
        </w:rPr>
        <w:t xml:space="preserve"> (HR 7.17, 95% CI 6.08</w:t>
      </w:r>
      <w:r w:rsidRPr="00B85D62">
        <w:rPr>
          <w:rFonts w:eastAsia="Calibri" w:cs="Arial"/>
          <w:color w:val="00B0F0"/>
        </w:rPr>
        <w:t>–</w:t>
      </w:r>
      <w:r w:rsidRPr="00B85D62">
        <w:rPr>
          <w:rFonts w:eastAsia="Calibri" w:cs="Arial"/>
          <w:color w:val="00B0F0"/>
        </w:rPr>
        <w:t>8</w:t>
      </w:r>
      <w:r w:rsidR="1EF1C9BC" w:rsidRPr="00B85D62">
        <w:rPr>
          <w:rFonts w:eastAsia="Calibri" w:cs="Arial"/>
        </w:rPr>
        <w:t xml:space="preserve">.46, </w:t>
      </w:r>
      <w:r w:rsidR="1EF1C9BC" w:rsidRPr="00B85D62">
        <w:rPr>
          <w:rFonts w:eastAsia="Calibri" w:cs="Arial"/>
          <w:i/>
          <w:color w:val="00B0F0"/>
        </w:rPr>
        <w:t>p</w:t>
      </w:r>
      <w:r w:rsidRPr="00B85D62">
        <w:rPr>
          <w:rFonts w:eastAsia="Calibri" w:cs="Arial"/>
          <w:color w:val="00B0F0"/>
        </w:rPr>
        <w:t>&lt;</w:t>
      </w:r>
      <w:r w:rsidRPr="00B85D62">
        <w:rPr>
          <w:rFonts w:eastAsia="Calibri" w:cs="Arial"/>
          <w:color w:val="00B0F0"/>
        </w:rPr>
        <w:t> </w:t>
      </w:r>
      <w:r w:rsidRPr="00B85D62">
        <w:rPr>
          <w:rFonts w:eastAsia="Calibri" w:cs="Arial"/>
          <w:color w:val="00B0F0"/>
        </w:rPr>
        <w:t>0</w:t>
      </w:r>
      <w:r w:rsidR="1EF1C9BC" w:rsidRPr="00B85D62">
        <w:rPr>
          <w:rFonts w:eastAsia="Calibri" w:cs="Arial"/>
        </w:rPr>
        <w:t>.001).</w:t>
      </w:r>
    </w:p>
    <w:p w14:paraId="7C9CABF3" w14:textId="6B47D031" w:rsidR="00895586" w:rsidRPr="00B85D62" w:rsidRDefault="00B85D62" w:rsidP="00895586">
      <w:pPr>
        <w:pStyle w:val="Caption"/>
        <w:keepNext/>
        <w:rPr>
          <w:rFonts w:cs="Arial"/>
        </w:rPr>
      </w:pPr>
      <w:bookmarkStart w:id="119" w:name="_Toc79495148"/>
      <w:bookmarkStart w:id="120" w:name="_Toc79740198"/>
      <w:bookmarkStart w:id="121" w:name="_Toc107157357"/>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3</w:t>
      </w:r>
      <w:r w:rsidR="00895586" w:rsidRPr="00B85D62">
        <w:rPr>
          <w:rFonts w:cs="Arial"/>
        </w:rPr>
        <w:t xml:space="preserve"> Hazards ratios for CVD outcomes among </w:t>
      </w:r>
      <w:r w:rsidR="001066FA" w:rsidRPr="00B85D62">
        <w:rPr>
          <w:rFonts w:cs="Arial"/>
        </w:rPr>
        <w:t>people</w:t>
      </w:r>
      <w:r w:rsidR="00895586" w:rsidRPr="00B85D62">
        <w:rPr>
          <w:rFonts w:cs="Arial"/>
        </w:rPr>
        <w:t xml:space="preserve"> identified with FH</w:t>
      </w:r>
      <w:bookmarkEnd w:id="119"/>
      <w:bookmarkEnd w:id="120"/>
      <w:bookmarkEnd w:id="121"/>
    </w:p>
    <w:tbl>
      <w:tblPr>
        <w:tblStyle w:val="TableGrid1"/>
        <w:tblW w:w="0" w:type="auto"/>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19"/>
        <w:gridCol w:w="1113"/>
        <w:gridCol w:w="1688"/>
        <w:gridCol w:w="2095"/>
        <w:gridCol w:w="2076"/>
      </w:tblGrid>
      <w:tr w:rsidR="00201D4F" w:rsidRPr="00B85D62" w14:paraId="4672F8BC" w14:textId="77777777" w:rsidTr="00B85D62">
        <w:trPr>
          <w:cantSplit/>
        </w:trPr>
        <w:tc>
          <w:tcPr>
            <w:tcW w:w="0" w:type="auto"/>
            <w:shd w:val="clear" w:color="auto" w:fill="auto"/>
          </w:tcPr>
          <w:p w14:paraId="1B7054B7" w14:textId="77777777" w:rsidR="00B85D62" w:rsidRPr="00B85D62" w:rsidRDefault="00B85D62" w:rsidP="0066232B">
            <w:pPr>
              <w:rPr>
                <w:rFonts w:cs="Arial"/>
                <w:b/>
                <w:bCs/>
              </w:rPr>
            </w:pPr>
          </w:p>
          <w:p w14:paraId="542A0DDE" w14:textId="77777777" w:rsidR="00201D4F" w:rsidRPr="00B85D62" w:rsidRDefault="00201D4F" w:rsidP="0066232B">
            <w:pPr>
              <w:rPr>
                <w:rFonts w:cs="Arial"/>
                <w:b/>
                <w:bCs/>
              </w:rPr>
            </w:pPr>
            <w:r w:rsidRPr="00B85D62">
              <w:rPr>
                <w:rFonts w:cs="Arial"/>
                <w:b/>
                <w:bCs/>
              </w:rPr>
              <w:t>CVD outcome</w:t>
            </w:r>
          </w:p>
        </w:tc>
        <w:tc>
          <w:tcPr>
            <w:tcW w:w="0" w:type="auto"/>
            <w:shd w:val="clear" w:color="auto" w:fill="auto"/>
          </w:tcPr>
          <w:p w14:paraId="3F6EA60E" w14:textId="77777777" w:rsidR="00B85D62" w:rsidRPr="00B85D62" w:rsidRDefault="00B85D62" w:rsidP="0066232B">
            <w:pPr>
              <w:rPr>
                <w:rFonts w:cs="Arial"/>
                <w:b/>
                <w:bCs/>
              </w:rPr>
            </w:pPr>
          </w:p>
          <w:p w14:paraId="279580B6" w14:textId="77777777" w:rsidR="00201D4F" w:rsidRPr="00B85D62" w:rsidRDefault="00201D4F" w:rsidP="0066232B">
            <w:pPr>
              <w:rPr>
                <w:rFonts w:cs="Arial"/>
                <w:b/>
                <w:bCs/>
              </w:rPr>
            </w:pPr>
            <w:r w:rsidRPr="00B85D62">
              <w:rPr>
                <w:rFonts w:cs="Arial"/>
                <w:b/>
                <w:bCs/>
              </w:rPr>
              <w:t xml:space="preserve">Total </w:t>
            </w:r>
            <w:r w:rsidRPr="00B85D62">
              <w:rPr>
                <w:rFonts w:cs="Arial"/>
                <w:b/>
                <w:bCs/>
                <w:i/>
                <w:color w:val="00B0F0"/>
              </w:rPr>
              <w:t>n</w:t>
            </w:r>
            <w:r w:rsidRPr="00B85D62">
              <w:rPr>
                <w:rFonts w:cs="Arial"/>
                <w:b/>
                <w:bCs/>
              </w:rPr>
              <w:t xml:space="preserve"> (%)</w:t>
            </w:r>
          </w:p>
          <w:p w14:paraId="2D779ADD" w14:textId="77777777" w:rsidR="00201D4F" w:rsidRPr="00B85D62" w:rsidRDefault="00201D4F" w:rsidP="0066232B">
            <w:pPr>
              <w:rPr>
                <w:rFonts w:cs="Arial"/>
                <w:b/>
                <w:bCs/>
              </w:rPr>
            </w:pPr>
            <w:r w:rsidRPr="00B85D62">
              <w:rPr>
                <w:rFonts w:cs="Arial"/>
                <w:b/>
                <w:bCs/>
              </w:rPr>
              <w:t>N=56,603</w:t>
            </w:r>
          </w:p>
        </w:tc>
        <w:tc>
          <w:tcPr>
            <w:tcW w:w="0" w:type="auto"/>
            <w:shd w:val="clear" w:color="auto" w:fill="auto"/>
          </w:tcPr>
          <w:p w14:paraId="12E53C0F" w14:textId="77777777" w:rsidR="00B85D62" w:rsidRPr="00B85D62" w:rsidRDefault="00B85D62" w:rsidP="0066232B">
            <w:pPr>
              <w:rPr>
                <w:rFonts w:cs="Arial"/>
                <w:b/>
                <w:bCs/>
              </w:rPr>
            </w:pPr>
          </w:p>
          <w:p w14:paraId="2FEFE4AC" w14:textId="789BEBEA" w:rsidR="00201D4F" w:rsidRPr="00B85D62" w:rsidRDefault="00201D4F" w:rsidP="0066232B">
            <w:pPr>
              <w:rPr>
                <w:rFonts w:cs="Arial"/>
                <w:b/>
                <w:bCs/>
              </w:rPr>
            </w:pPr>
            <w:r w:rsidRPr="00B85D62">
              <w:rPr>
                <w:rFonts w:cs="Arial"/>
                <w:b/>
                <w:bCs/>
              </w:rPr>
              <w:t>FH</w:t>
            </w:r>
            <w:r w:rsidR="00895586" w:rsidRPr="00B85D62">
              <w:rPr>
                <w:rFonts w:cs="Arial"/>
                <w:b/>
                <w:bCs/>
              </w:rPr>
              <w:t xml:space="preserve"> </w:t>
            </w:r>
            <w:r w:rsidRPr="00B85D62">
              <w:rPr>
                <w:rFonts w:cs="Arial"/>
                <w:b/>
                <w:bCs/>
                <w:i/>
                <w:color w:val="00B0F0"/>
              </w:rPr>
              <w:t>n</w:t>
            </w:r>
            <w:r w:rsidRPr="00B85D62">
              <w:rPr>
                <w:rFonts w:cs="Arial"/>
                <w:b/>
                <w:bCs/>
              </w:rPr>
              <w:t xml:space="preserve">(%) </w:t>
            </w:r>
            <w:r w:rsidRPr="00B85D62">
              <w:rPr>
                <w:rFonts w:cs="Arial"/>
                <w:b/>
                <w:bCs/>
                <w:i/>
                <w:color w:val="00B0F0"/>
              </w:rPr>
              <w:t>n</w:t>
            </w:r>
            <w:r w:rsidRPr="00B85D62">
              <w:rPr>
                <w:rFonts w:cs="Arial"/>
                <w:b/>
                <w:bCs/>
              </w:rPr>
              <w:t>=14,097</w:t>
            </w:r>
          </w:p>
        </w:tc>
        <w:tc>
          <w:tcPr>
            <w:tcW w:w="0" w:type="auto"/>
            <w:shd w:val="clear" w:color="auto" w:fill="auto"/>
          </w:tcPr>
          <w:p w14:paraId="7F3DBE2C" w14:textId="77777777" w:rsidR="00B85D62" w:rsidRPr="00B85D62" w:rsidRDefault="00B85D62" w:rsidP="0066232B">
            <w:pPr>
              <w:rPr>
                <w:rFonts w:cs="Arial"/>
                <w:b/>
                <w:bCs/>
              </w:rPr>
            </w:pPr>
          </w:p>
          <w:p w14:paraId="0EC043A1" w14:textId="77777777" w:rsidR="00201D4F" w:rsidRPr="00B85D62" w:rsidRDefault="00201D4F" w:rsidP="0066232B">
            <w:pPr>
              <w:rPr>
                <w:rFonts w:cs="Arial"/>
                <w:b/>
                <w:bCs/>
              </w:rPr>
            </w:pPr>
            <w:r w:rsidRPr="00B85D62">
              <w:rPr>
                <w:rFonts w:cs="Arial"/>
                <w:b/>
                <w:bCs/>
              </w:rPr>
              <w:t xml:space="preserve">Non-FH </w:t>
            </w:r>
            <w:r w:rsidRPr="00B85D62">
              <w:rPr>
                <w:rFonts w:cs="Arial"/>
                <w:b/>
                <w:bCs/>
                <w:i/>
                <w:color w:val="00B0F0"/>
              </w:rPr>
              <w:t>n</w:t>
            </w:r>
            <w:r w:rsidRPr="00B85D62">
              <w:rPr>
                <w:rFonts w:cs="Arial"/>
                <w:b/>
                <w:bCs/>
              </w:rPr>
              <w:t xml:space="preserve">(%) </w:t>
            </w:r>
            <w:r w:rsidRPr="00B85D62">
              <w:rPr>
                <w:rFonts w:cs="Arial"/>
                <w:b/>
                <w:bCs/>
                <w:i/>
                <w:color w:val="00B0F0"/>
              </w:rPr>
              <w:t>n</w:t>
            </w:r>
            <w:r w:rsidRPr="00B85D62">
              <w:rPr>
                <w:rFonts w:cs="Arial"/>
                <w:b/>
                <w:bCs/>
              </w:rPr>
              <w:t>=42,506</w:t>
            </w:r>
          </w:p>
        </w:tc>
        <w:tc>
          <w:tcPr>
            <w:tcW w:w="0" w:type="auto"/>
            <w:shd w:val="clear" w:color="auto" w:fill="auto"/>
          </w:tcPr>
          <w:p w14:paraId="7EB59D0F" w14:textId="77777777" w:rsidR="00B85D62" w:rsidRPr="00B85D62" w:rsidRDefault="00B85D62" w:rsidP="0066232B">
            <w:pPr>
              <w:rPr>
                <w:rFonts w:cs="Arial"/>
                <w:b/>
                <w:bCs/>
              </w:rPr>
            </w:pPr>
          </w:p>
          <w:p w14:paraId="733EACAA" w14:textId="77777777" w:rsidR="00201D4F" w:rsidRPr="00B85D62" w:rsidRDefault="00201D4F" w:rsidP="0066232B">
            <w:pPr>
              <w:rPr>
                <w:rFonts w:cs="Arial"/>
                <w:b/>
                <w:bCs/>
              </w:rPr>
            </w:pPr>
            <w:r w:rsidRPr="00B85D62">
              <w:rPr>
                <w:rFonts w:cs="Arial"/>
                <w:b/>
                <w:bCs/>
              </w:rPr>
              <w:t>HR</w:t>
            </w:r>
            <w:r w:rsidRPr="00B85D62">
              <w:rPr>
                <w:rFonts w:cs="Arial"/>
                <w:b/>
                <w:bCs/>
                <w:vertAlign w:val="superscript"/>
              </w:rPr>
              <w:t>1</w:t>
            </w:r>
            <w:r w:rsidRPr="00B85D62">
              <w:rPr>
                <w:rFonts w:cs="Arial"/>
                <w:b/>
                <w:bCs/>
              </w:rPr>
              <w:t xml:space="preserve"> for CVD (95% CI)</w:t>
            </w:r>
          </w:p>
        </w:tc>
      </w:tr>
      <w:tr w:rsidR="00201D4F" w:rsidRPr="00B85D62" w14:paraId="1D36F294" w14:textId="77777777" w:rsidTr="00B85D62">
        <w:trPr>
          <w:cantSplit/>
        </w:trPr>
        <w:tc>
          <w:tcPr>
            <w:tcW w:w="0" w:type="auto"/>
            <w:shd w:val="clear" w:color="auto" w:fill="auto"/>
          </w:tcPr>
          <w:p w14:paraId="43BD16CB" w14:textId="77777777" w:rsidR="00201D4F" w:rsidRPr="00B85D62" w:rsidRDefault="00201D4F" w:rsidP="0066232B">
            <w:pPr>
              <w:rPr>
                <w:rFonts w:cs="Arial"/>
              </w:rPr>
            </w:pPr>
            <w:r w:rsidRPr="00B85D62">
              <w:rPr>
                <w:rFonts w:cs="Arial"/>
              </w:rPr>
              <w:t>All CVD outcomes</w:t>
            </w:r>
          </w:p>
        </w:tc>
        <w:tc>
          <w:tcPr>
            <w:tcW w:w="0" w:type="auto"/>
            <w:shd w:val="clear" w:color="auto" w:fill="auto"/>
          </w:tcPr>
          <w:p w14:paraId="4820430F" w14:textId="77777777" w:rsidR="00201D4F" w:rsidRPr="00B85D62" w:rsidRDefault="00201D4F" w:rsidP="0066232B">
            <w:pPr>
              <w:rPr>
                <w:rFonts w:cs="Arial"/>
              </w:rPr>
            </w:pPr>
            <w:r w:rsidRPr="00B85D62">
              <w:rPr>
                <w:rFonts w:cs="Arial"/>
              </w:rPr>
              <w:t>6,202 (11.0)</w:t>
            </w:r>
          </w:p>
        </w:tc>
        <w:tc>
          <w:tcPr>
            <w:tcW w:w="0" w:type="auto"/>
            <w:shd w:val="clear" w:color="auto" w:fill="auto"/>
          </w:tcPr>
          <w:p w14:paraId="18B98412" w14:textId="77777777" w:rsidR="00201D4F" w:rsidRPr="00B85D62" w:rsidRDefault="00201D4F" w:rsidP="0066232B">
            <w:pPr>
              <w:rPr>
                <w:rFonts w:cs="Arial"/>
              </w:rPr>
            </w:pPr>
            <w:r w:rsidRPr="00B85D62">
              <w:rPr>
                <w:rFonts w:cs="Arial"/>
              </w:rPr>
              <w:t>4,474 (31.7)</w:t>
            </w:r>
          </w:p>
        </w:tc>
        <w:tc>
          <w:tcPr>
            <w:tcW w:w="0" w:type="auto"/>
            <w:shd w:val="clear" w:color="auto" w:fill="auto"/>
          </w:tcPr>
          <w:p w14:paraId="200C766A" w14:textId="77777777" w:rsidR="00201D4F" w:rsidRPr="00B85D62" w:rsidRDefault="00201D4F" w:rsidP="0066232B">
            <w:pPr>
              <w:rPr>
                <w:rFonts w:cs="Arial"/>
              </w:rPr>
            </w:pPr>
            <w:r w:rsidRPr="00B85D62">
              <w:rPr>
                <w:rFonts w:cs="Arial"/>
              </w:rPr>
              <w:t>1,728 (4.1)</w:t>
            </w:r>
          </w:p>
        </w:tc>
        <w:tc>
          <w:tcPr>
            <w:tcW w:w="0" w:type="auto"/>
            <w:shd w:val="clear" w:color="auto" w:fill="auto"/>
          </w:tcPr>
          <w:p w14:paraId="19278C1D" w14:textId="79BF26F7" w:rsidR="00201D4F" w:rsidRPr="00B85D62" w:rsidRDefault="00201D4F" w:rsidP="0066232B">
            <w:pPr>
              <w:rPr>
                <w:rFonts w:cs="Arial"/>
              </w:rPr>
            </w:pPr>
            <w:r w:rsidRPr="00B85D62">
              <w:rPr>
                <w:rFonts w:cs="Arial"/>
              </w:rPr>
              <w:t>9.14 (8.55</w:t>
            </w:r>
            <w:r w:rsidR="00B85D62" w:rsidRPr="00B85D62">
              <w:rPr>
                <w:rFonts w:cs="Arial"/>
                <w:color w:val="00B0F0"/>
              </w:rPr>
              <w:t>–</w:t>
            </w:r>
            <w:r w:rsidR="00B85D62" w:rsidRPr="00B85D62">
              <w:rPr>
                <w:rFonts w:cs="Arial"/>
                <w:color w:val="00B0F0"/>
              </w:rPr>
              <w:t>9</w:t>
            </w:r>
            <w:r w:rsidRPr="00B85D62">
              <w:rPr>
                <w:rFonts w:cs="Arial"/>
              </w:rPr>
              <w:t>.76)</w:t>
            </w:r>
          </w:p>
        </w:tc>
      </w:tr>
      <w:tr w:rsidR="00201D4F" w:rsidRPr="00B85D62" w14:paraId="5AAEF651" w14:textId="77777777" w:rsidTr="00B85D62">
        <w:trPr>
          <w:cantSplit/>
        </w:trPr>
        <w:tc>
          <w:tcPr>
            <w:tcW w:w="0" w:type="auto"/>
            <w:shd w:val="clear" w:color="auto" w:fill="auto"/>
          </w:tcPr>
          <w:p w14:paraId="6004DA86" w14:textId="77777777" w:rsidR="00201D4F" w:rsidRPr="00B85D62" w:rsidRDefault="00201D4F" w:rsidP="0066232B">
            <w:pPr>
              <w:rPr>
                <w:rFonts w:cs="Arial"/>
              </w:rPr>
            </w:pPr>
            <w:r w:rsidRPr="00B85D62">
              <w:rPr>
                <w:rFonts w:cs="Arial"/>
              </w:rPr>
              <w:t>Coronary heart disease</w:t>
            </w:r>
          </w:p>
        </w:tc>
        <w:tc>
          <w:tcPr>
            <w:tcW w:w="0" w:type="auto"/>
            <w:shd w:val="clear" w:color="auto" w:fill="auto"/>
          </w:tcPr>
          <w:p w14:paraId="354040D0" w14:textId="77777777" w:rsidR="00201D4F" w:rsidRPr="00B85D62" w:rsidRDefault="00201D4F" w:rsidP="0066232B">
            <w:pPr>
              <w:rPr>
                <w:rFonts w:cs="Arial"/>
              </w:rPr>
            </w:pPr>
            <w:r w:rsidRPr="00B85D62">
              <w:rPr>
                <w:rFonts w:cs="Arial"/>
              </w:rPr>
              <w:t>4,718 (8.3)</w:t>
            </w:r>
          </w:p>
        </w:tc>
        <w:tc>
          <w:tcPr>
            <w:tcW w:w="0" w:type="auto"/>
            <w:shd w:val="clear" w:color="auto" w:fill="auto"/>
          </w:tcPr>
          <w:p w14:paraId="7D03483F" w14:textId="77777777" w:rsidR="00201D4F" w:rsidRPr="00B85D62" w:rsidRDefault="00201D4F" w:rsidP="0066232B">
            <w:pPr>
              <w:rPr>
                <w:rFonts w:cs="Arial"/>
              </w:rPr>
            </w:pPr>
            <w:r w:rsidRPr="00B85D62">
              <w:rPr>
                <w:rFonts w:cs="Arial"/>
              </w:rPr>
              <w:t>3,545 (25.2)</w:t>
            </w:r>
          </w:p>
        </w:tc>
        <w:tc>
          <w:tcPr>
            <w:tcW w:w="0" w:type="auto"/>
            <w:shd w:val="clear" w:color="auto" w:fill="auto"/>
          </w:tcPr>
          <w:p w14:paraId="01F78D2E" w14:textId="77777777" w:rsidR="00201D4F" w:rsidRPr="00B85D62" w:rsidRDefault="00201D4F" w:rsidP="0066232B">
            <w:pPr>
              <w:rPr>
                <w:rFonts w:cs="Arial"/>
              </w:rPr>
            </w:pPr>
            <w:r w:rsidRPr="00B85D62">
              <w:rPr>
                <w:rFonts w:cs="Arial"/>
              </w:rPr>
              <w:t>1,173 (2.8)</w:t>
            </w:r>
          </w:p>
        </w:tc>
        <w:tc>
          <w:tcPr>
            <w:tcW w:w="0" w:type="auto"/>
            <w:shd w:val="clear" w:color="auto" w:fill="auto"/>
          </w:tcPr>
          <w:p w14:paraId="10EFCD98" w14:textId="1765B69D" w:rsidR="00201D4F" w:rsidRPr="00B85D62" w:rsidRDefault="00201D4F" w:rsidP="0066232B">
            <w:pPr>
              <w:rPr>
                <w:rFonts w:cs="Arial"/>
              </w:rPr>
            </w:pPr>
            <w:r w:rsidRPr="00B85D62">
              <w:rPr>
                <w:rFonts w:cs="Arial"/>
              </w:rPr>
              <w:t>10.63 (9.82</w:t>
            </w:r>
            <w:r w:rsidR="00B85D62" w:rsidRPr="00B85D62">
              <w:rPr>
                <w:rFonts w:cs="Arial"/>
                <w:color w:val="00B0F0"/>
              </w:rPr>
              <w:t>–</w:t>
            </w:r>
            <w:r w:rsidR="00B85D62" w:rsidRPr="00B85D62">
              <w:rPr>
                <w:rFonts w:cs="Arial"/>
                <w:color w:val="00B0F0"/>
              </w:rPr>
              <w:t>1</w:t>
            </w:r>
            <w:r w:rsidRPr="00B85D62">
              <w:rPr>
                <w:rFonts w:cs="Arial"/>
              </w:rPr>
              <w:t>1.49)</w:t>
            </w:r>
          </w:p>
        </w:tc>
      </w:tr>
      <w:tr w:rsidR="00201D4F" w:rsidRPr="00B85D62" w14:paraId="46DBF650" w14:textId="77777777" w:rsidTr="00B85D62">
        <w:trPr>
          <w:cantSplit/>
        </w:trPr>
        <w:tc>
          <w:tcPr>
            <w:tcW w:w="0" w:type="auto"/>
            <w:shd w:val="clear" w:color="auto" w:fill="auto"/>
          </w:tcPr>
          <w:p w14:paraId="052C77D1" w14:textId="77777777" w:rsidR="00201D4F" w:rsidRPr="00B85D62" w:rsidRDefault="00201D4F" w:rsidP="0066232B">
            <w:pPr>
              <w:rPr>
                <w:rFonts w:cs="Arial"/>
              </w:rPr>
            </w:pPr>
            <w:r w:rsidRPr="00B85D62">
              <w:rPr>
                <w:rFonts w:cs="Arial"/>
              </w:rPr>
              <w:t>Stroke/TIA</w:t>
            </w:r>
          </w:p>
        </w:tc>
        <w:tc>
          <w:tcPr>
            <w:tcW w:w="0" w:type="auto"/>
            <w:shd w:val="clear" w:color="auto" w:fill="auto"/>
          </w:tcPr>
          <w:p w14:paraId="15FD401B" w14:textId="77777777" w:rsidR="00201D4F" w:rsidRPr="00B85D62" w:rsidRDefault="00201D4F" w:rsidP="0066232B">
            <w:pPr>
              <w:rPr>
                <w:rFonts w:cs="Arial"/>
              </w:rPr>
            </w:pPr>
            <w:r w:rsidRPr="00B85D62">
              <w:rPr>
                <w:rFonts w:cs="Arial"/>
              </w:rPr>
              <w:t>1,169 (2.1)</w:t>
            </w:r>
          </w:p>
        </w:tc>
        <w:tc>
          <w:tcPr>
            <w:tcW w:w="0" w:type="auto"/>
            <w:shd w:val="clear" w:color="auto" w:fill="auto"/>
          </w:tcPr>
          <w:p w14:paraId="2F91019C" w14:textId="77777777" w:rsidR="00201D4F" w:rsidRPr="00B85D62" w:rsidRDefault="00201D4F" w:rsidP="0066232B">
            <w:pPr>
              <w:rPr>
                <w:rFonts w:cs="Arial"/>
              </w:rPr>
            </w:pPr>
            <w:r w:rsidRPr="00B85D62">
              <w:rPr>
                <w:rFonts w:cs="Arial"/>
              </w:rPr>
              <w:t>764 (5.4)</w:t>
            </w:r>
          </w:p>
        </w:tc>
        <w:tc>
          <w:tcPr>
            <w:tcW w:w="0" w:type="auto"/>
            <w:shd w:val="clear" w:color="auto" w:fill="auto"/>
          </w:tcPr>
          <w:p w14:paraId="68F7812E" w14:textId="77777777" w:rsidR="00201D4F" w:rsidRPr="00B85D62" w:rsidRDefault="00201D4F" w:rsidP="0066232B">
            <w:pPr>
              <w:rPr>
                <w:rFonts w:cs="Arial"/>
              </w:rPr>
            </w:pPr>
            <w:r w:rsidRPr="00B85D62">
              <w:rPr>
                <w:rFonts w:cs="Arial"/>
              </w:rPr>
              <w:t>405 (1.0)</w:t>
            </w:r>
          </w:p>
        </w:tc>
        <w:tc>
          <w:tcPr>
            <w:tcW w:w="0" w:type="auto"/>
            <w:shd w:val="clear" w:color="auto" w:fill="auto"/>
          </w:tcPr>
          <w:p w14:paraId="7A23B4CC" w14:textId="6EAC8077" w:rsidR="00201D4F" w:rsidRPr="00B85D62" w:rsidRDefault="00201D4F" w:rsidP="0066232B">
            <w:pPr>
              <w:rPr>
                <w:rFonts w:cs="Arial"/>
              </w:rPr>
            </w:pPr>
            <w:r w:rsidRPr="00B85D62">
              <w:rPr>
                <w:rFonts w:cs="Arial"/>
              </w:rPr>
              <w:t>6.74 (5.84</w:t>
            </w:r>
            <w:r w:rsidR="00B85D62" w:rsidRPr="00B85D62">
              <w:rPr>
                <w:rFonts w:cs="Arial"/>
                <w:color w:val="00B0F0"/>
              </w:rPr>
              <w:t>–</w:t>
            </w:r>
            <w:r w:rsidR="00B85D62" w:rsidRPr="00B85D62">
              <w:rPr>
                <w:rFonts w:cs="Arial"/>
                <w:color w:val="00B0F0"/>
              </w:rPr>
              <w:t>7</w:t>
            </w:r>
            <w:r w:rsidRPr="00B85D62">
              <w:rPr>
                <w:rFonts w:cs="Arial"/>
              </w:rPr>
              <w:t>.77)</w:t>
            </w:r>
          </w:p>
        </w:tc>
      </w:tr>
      <w:tr w:rsidR="00201D4F" w:rsidRPr="00B85D62" w14:paraId="55FDF972" w14:textId="77777777" w:rsidTr="00B85D62">
        <w:trPr>
          <w:cantSplit/>
        </w:trPr>
        <w:tc>
          <w:tcPr>
            <w:tcW w:w="0" w:type="auto"/>
            <w:shd w:val="clear" w:color="auto" w:fill="auto"/>
          </w:tcPr>
          <w:p w14:paraId="7F852CCE" w14:textId="77777777" w:rsidR="00201D4F" w:rsidRPr="00B85D62" w:rsidRDefault="00201D4F" w:rsidP="0066232B">
            <w:pPr>
              <w:rPr>
                <w:rFonts w:cs="Arial"/>
              </w:rPr>
            </w:pPr>
            <w:r w:rsidRPr="00B85D62">
              <w:rPr>
                <w:rFonts w:cs="Arial"/>
              </w:rPr>
              <w:t>Peripheral vascular dx</w:t>
            </w:r>
          </w:p>
        </w:tc>
        <w:tc>
          <w:tcPr>
            <w:tcW w:w="0" w:type="auto"/>
            <w:shd w:val="clear" w:color="auto" w:fill="auto"/>
          </w:tcPr>
          <w:p w14:paraId="3314E18F" w14:textId="77777777" w:rsidR="00201D4F" w:rsidRPr="00B85D62" w:rsidRDefault="00201D4F" w:rsidP="0066232B">
            <w:pPr>
              <w:rPr>
                <w:rFonts w:cs="Arial"/>
              </w:rPr>
            </w:pPr>
            <w:r w:rsidRPr="00B85D62">
              <w:rPr>
                <w:rFonts w:cs="Arial"/>
              </w:rPr>
              <w:t>887 (1.6)</w:t>
            </w:r>
          </w:p>
        </w:tc>
        <w:tc>
          <w:tcPr>
            <w:tcW w:w="0" w:type="auto"/>
            <w:shd w:val="clear" w:color="auto" w:fill="auto"/>
          </w:tcPr>
          <w:p w14:paraId="431DF534" w14:textId="77777777" w:rsidR="00201D4F" w:rsidRPr="00B85D62" w:rsidRDefault="00201D4F" w:rsidP="0066232B">
            <w:pPr>
              <w:rPr>
                <w:rFonts w:cs="Arial"/>
              </w:rPr>
            </w:pPr>
            <w:r w:rsidRPr="00B85D62">
              <w:rPr>
                <w:rFonts w:cs="Arial"/>
              </w:rPr>
              <w:t>592 (4.2)</w:t>
            </w:r>
          </w:p>
        </w:tc>
        <w:tc>
          <w:tcPr>
            <w:tcW w:w="0" w:type="auto"/>
            <w:shd w:val="clear" w:color="auto" w:fill="auto"/>
          </w:tcPr>
          <w:p w14:paraId="6F54A5F4" w14:textId="77777777" w:rsidR="00201D4F" w:rsidRPr="00B85D62" w:rsidRDefault="00201D4F" w:rsidP="0066232B">
            <w:pPr>
              <w:rPr>
                <w:rFonts w:cs="Arial"/>
              </w:rPr>
            </w:pPr>
            <w:r w:rsidRPr="00B85D62">
              <w:rPr>
                <w:rFonts w:cs="Arial"/>
              </w:rPr>
              <w:t>295 (0.7)</w:t>
            </w:r>
          </w:p>
        </w:tc>
        <w:tc>
          <w:tcPr>
            <w:tcW w:w="0" w:type="auto"/>
            <w:shd w:val="clear" w:color="auto" w:fill="auto"/>
          </w:tcPr>
          <w:p w14:paraId="1D6F6838" w14:textId="7B85D7AD" w:rsidR="00201D4F" w:rsidRPr="00B85D62" w:rsidRDefault="00201D4F" w:rsidP="0066232B">
            <w:pPr>
              <w:rPr>
                <w:rFonts w:cs="Arial"/>
              </w:rPr>
            </w:pPr>
            <w:r w:rsidRPr="00B85D62">
              <w:rPr>
                <w:rFonts w:cs="Arial"/>
              </w:rPr>
              <w:t>7.17 (6.08</w:t>
            </w:r>
            <w:r w:rsidR="00B85D62" w:rsidRPr="00B85D62">
              <w:rPr>
                <w:rFonts w:cs="Arial"/>
                <w:color w:val="00B0F0"/>
              </w:rPr>
              <w:t>–</w:t>
            </w:r>
            <w:r w:rsidR="00B85D62" w:rsidRPr="00B85D62">
              <w:rPr>
                <w:rFonts w:cs="Arial"/>
                <w:color w:val="00B0F0"/>
              </w:rPr>
              <w:t>8</w:t>
            </w:r>
            <w:r w:rsidRPr="00B85D62">
              <w:rPr>
                <w:rFonts w:cs="Arial"/>
              </w:rPr>
              <w:t>.46)</w:t>
            </w:r>
          </w:p>
        </w:tc>
      </w:tr>
    </w:tbl>
    <w:p w14:paraId="0B5760BC" w14:textId="77777777" w:rsidR="00201D4F" w:rsidRPr="00B85D62" w:rsidRDefault="00201D4F" w:rsidP="0066232B">
      <w:pPr>
        <w:rPr>
          <w:rFonts w:cs="Arial"/>
          <w:sz w:val="18"/>
          <w:szCs w:val="18"/>
        </w:rPr>
      </w:pPr>
      <w:r w:rsidRPr="00B85D62">
        <w:rPr>
          <w:rFonts w:cs="Arial"/>
          <w:vertAlign w:val="superscript"/>
        </w:rPr>
        <w:t xml:space="preserve">1 </w:t>
      </w:r>
      <w:r w:rsidRPr="00B85D62">
        <w:rPr>
          <w:rFonts w:cs="Arial"/>
          <w:sz w:val="18"/>
          <w:szCs w:val="18"/>
        </w:rPr>
        <w:t xml:space="preserve">Hazards ratios derived using Cox regression models stratified on matched pairs, with matching done on age, sex and general </w:t>
      </w:r>
      <w:r w:rsidRPr="00B85D62">
        <w:rPr>
          <w:rFonts w:cs="Arial"/>
          <w:sz w:val="18"/>
          <w:szCs w:val="18"/>
          <w:highlight w:val="magenta"/>
        </w:rPr>
        <w:t>practice</w:t>
      </w:r>
    </w:p>
    <w:p w14:paraId="35E5B8C5" w14:textId="220F1453" w:rsidR="00B85D62" w:rsidRPr="00B85D62" w:rsidRDefault="1EF1C9BC" w:rsidP="0066232B">
      <w:pPr>
        <w:rPr>
          <w:rFonts w:eastAsia="Calibri" w:cs="Arial"/>
        </w:rPr>
      </w:pPr>
      <w:r w:rsidRPr="00B85D62">
        <w:rPr>
          <w:rFonts w:eastAsia="Calibri" w:cs="Arial"/>
        </w:rPr>
        <w:t xml:space="preserve">Adjustment for demographic factors, clinical covariates, the effect </w:t>
      </w:r>
      <w:r w:rsidR="00082A91" w:rsidRPr="00B85D62">
        <w:rPr>
          <w:rFonts w:eastAsia="Calibri" w:cs="Arial"/>
        </w:rPr>
        <w:t xml:space="preserve">of </w:t>
      </w:r>
      <w:r w:rsidRPr="00B85D62">
        <w:rPr>
          <w:rFonts w:eastAsia="Calibri" w:cs="Arial"/>
        </w:rPr>
        <w:t>the 2008 NICE guidelines resulted in no major change in these hazard ratios (</w:t>
      </w:r>
      <w:r w:rsidR="00B85D62" w:rsidRPr="00B85D62">
        <w:rPr>
          <w:rFonts w:eastAsia="Calibri" w:cs="Arial"/>
          <w:color w:val="00B0F0"/>
        </w:rPr>
        <w:t>&lt;</w:t>
      </w:r>
      <w:r w:rsidR="00B85D62" w:rsidRPr="00B85D62">
        <w:rPr>
          <w:rFonts w:eastAsia="Calibri" w:cs="Arial"/>
          <w:color w:val="00B0F0"/>
        </w:rPr>
        <w:t> </w:t>
      </w:r>
      <w:r w:rsidR="00B85D62" w:rsidRPr="00B85D62">
        <w:rPr>
          <w:rFonts w:eastAsia="Calibri" w:cs="Arial"/>
          <w:color w:val="00B0F0"/>
        </w:rPr>
        <w:t>1</w:t>
      </w:r>
      <w:r w:rsidRPr="00B85D62">
        <w:rPr>
          <w:rFonts w:eastAsia="Calibri" w:cs="Arial"/>
        </w:rPr>
        <w:t xml:space="preserve">0% change-in-estimate criteria). Stratifying the analysis between FH and various CVD outcomes by sex, demonstrated a statistically significant increase in risk of the different </w:t>
      </w:r>
      <w:r w:rsidR="00082A91" w:rsidRPr="00B85D62">
        <w:rPr>
          <w:rFonts w:eastAsia="Calibri" w:cs="Arial"/>
        </w:rPr>
        <w:t>cardiovascular endpoints</w:t>
      </w:r>
      <w:r w:rsidRPr="00B85D62">
        <w:rPr>
          <w:rFonts w:eastAsia="Calibri" w:cs="Arial"/>
        </w:rPr>
        <w:t xml:space="preserve"> within the different sexes (</w:t>
      </w:r>
      <w:r w:rsidRPr="00B85D62">
        <w:rPr>
          <w:rFonts w:eastAsia="Calibri" w:cs="Arial"/>
          <w:i/>
          <w:color w:val="00B0F0"/>
        </w:rPr>
        <w:t>p</w:t>
      </w:r>
      <w:r w:rsidR="00B85D62" w:rsidRPr="00B85D62">
        <w:rPr>
          <w:rFonts w:eastAsia="Calibri" w:cs="Arial"/>
          <w:color w:val="00B0F0"/>
        </w:rPr>
        <w:t>&lt;</w:t>
      </w:r>
      <w:r w:rsidR="00B85D62" w:rsidRPr="00B85D62">
        <w:rPr>
          <w:rFonts w:eastAsia="Calibri" w:cs="Arial"/>
          <w:color w:val="00B0F0"/>
        </w:rPr>
        <w:t> </w:t>
      </w:r>
      <w:r w:rsidR="00B85D62" w:rsidRPr="00B85D62">
        <w:rPr>
          <w:rFonts w:eastAsia="Calibri" w:cs="Arial"/>
          <w:color w:val="00B0F0"/>
        </w:rPr>
        <w:t>0</w:t>
      </w:r>
      <w:r w:rsidRPr="00B85D62">
        <w:rPr>
          <w:rFonts w:eastAsia="Calibri" w:cs="Arial"/>
        </w:rPr>
        <w:t xml:space="preserve">.001 for all endpoints in males and females). </w:t>
      </w:r>
      <w:r w:rsidRPr="00B85D62">
        <w:rPr>
          <w:rFonts w:eastAsia="Calibri" w:cs="Arial"/>
          <w:highlight w:val="magenta"/>
        </w:rPr>
        <w:t>Compared to</w:t>
      </w:r>
      <w:r w:rsidRPr="00B85D62">
        <w:rPr>
          <w:rFonts w:eastAsia="Calibri" w:cs="Arial"/>
        </w:rPr>
        <w:t xml:space="preserve"> patients of the same sex, the increased </w:t>
      </w:r>
      <w:r w:rsidR="00082A91" w:rsidRPr="00B85D62">
        <w:rPr>
          <w:rFonts w:eastAsia="Calibri" w:cs="Arial"/>
        </w:rPr>
        <w:t>cardiovascular</w:t>
      </w:r>
      <w:r w:rsidRPr="00B85D62">
        <w:rPr>
          <w:rFonts w:eastAsia="Calibri" w:cs="Arial"/>
        </w:rPr>
        <w:t xml:space="preserve"> risk among males with FH was markedly higher than the risk increase among females with FH </w:t>
      </w:r>
      <w:r w:rsidR="394D3F74" w:rsidRPr="00B85D62">
        <w:rPr>
          <w:rFonts w:eastAsia="Calibri" w:cs="Arial"/>
        </w:rPr>
        <w:t xml:space="preserve">(see Appendix 2, </w:t>
      </w:r>
      <w:r w:rsidR="00B85D62" w:rsidRPr="00B85D62">
        <w:rPr>
          <w:rFonts w:eastAsia="Calibri" w:cs="Arial"/>
          <w:i/>
          <w:color w:val="FF0000"/>
        </w:rPr>
        <w:t>F</w:t>
      </w:r>
      <w:r w:rsidR="00B85D62" w:rsidRPr="00B85D62">
        <w:rPr>
          <w:rFonts w:eastAsia="Calibri" w:cs="Arial"/>
          <w:i/>
          <w:color w:val="FF0000"/>
        </w:rPr>
        <w:t>igure</w:t>
      </w:r>
      <w:r w:rsidR="00B85D62" w:rsidRPr="00B85D62">
        <w:rPr>
          <w:rFonts w:eastAsia="Calibri" w:cs="Arial"/>
          <w:i/>
          <w:color w:val="FF0000"/>
        </w:rPr>
        <w:t xml:space="preserve"> </w:t>
      </w:r>
      <w:r w:rsidR="00B85D62" w:rsidRPr="00B85D62">
        <w:rPr>
          <w:rFonts w:eastAsia="Calibri" w:cs="Arial"/>
          <w:i/>
          <w:color w:val="FF0000"/>
        </w:rPr>
        <w:t>19</w:t>
      </w:r>
      <w:r w:rsidR="394D3F74" w:rsidRPr="00B85D62">
        <w:rPr>
          <w:rFonts w:eastAsia="Calibri" w:cs="Arial"/>
        </w:rPr>
        <w:t>)</w:t>
      </w:r>
    </w:p>
    <w:p w14:paraId="67E6FC46" w14:textId="57CB8622" w:rsidR="00B85D62" w:rsidRPr="00B85D62" w:rsidRDefault="62E16D3F" w:rsidP="006C7E71">
      <w:pPr>
        <w:pStyle w:val="Heading3"/>
      </w:pPr>
      <w:bookmarkStart w:id="122" w:name="_Toc76461056"/>
      <w:bookmarkStart w:id="123" w:name="_Toc107157468"/>
      <w:r w:rsidRPr="00B85D62">
        <w:t>Conclusion</w:t>
      </w:r>
      <w:bookmarkEnd w:id="122"/>
      <w:bookmarkEnd w:id="123"/>
    </w:p>
    <w:p w14:paraId="741D5F8F" w14:textId="31B59362" w:rsidR="00B85D62" w:rsidRPr="00B85D62" w:rsidRDefault="1EF1C9BC" w:rsidP="0066232B">
      <w:pPr>
        <w:rPr>
          <w:rFonts w:cs="Arial"/>
        </w:rPr>
      </w:pPr>
      <w:r w:rsidRPr="00B85D62">
        <w:rPr>
          <w:rFonts w:cs="Arial"/>
        </w:rPr>
        <w:t xml:space="preserve">Individuals with FH have been shown to have greatly increased risk of a range of </w:t>
      </w:r>
      <w:r w:rsidR="00E50DCF" w:rsidRPr="00B85D62">
        <w:rPr>
          <w:rFonts w:cs="Arial"/>
        </w:rPr>
        <w:t xml:space="preserve">cardiovascular </w:t>
      </w:r>
      <w:r w:rsidRPr="00B85D62">
        <w:rPr>
          <w:rFonts w:cs="Arial"/>
        </w:rPr>
        <w:t>outcomes, including not only CHD but also stroke, TIA and PVD. This has important clinical implications and emphasi</w:t>
      </w:r>
      <w:r w:rsidR="00E50DCF" w:rsidRPr="00B85D62">
        <w:rPr>
          <w:rFonts w:cs="Arial"/>
        </w:rPr>
        <w:t>s</w:t>
      </w:r>
      <w:r w:rsidRPr="00B85D62">
        <w:rPr>
          <w:rFonts w:cs="Arial"/>
        </w:rPr>
        <w:t xml:space="preserve">es the need for improved case identification of clinically recognisable FH in the general population for targeted </w:t>
      </w:r>
      <w:r w:rsidR="00B85D62" w:rsidRPr="00B85D62">
        <w:rPr>
          <w:rFonts w:cs="Arial"/>
          <w:color w:val="00B0F0"/>
        </w:rPr>
        <w:t>preventative</w:t>
      </w:r>
      <w:r w:rsidRPr="00B85D62">
        <w:rPr>
          <w:rFonts w:cs="Arial"/>
        </w:rPr>
        <w:t xml:space="preserve"> intervention. The findings also </w:t>
      </w:r>
      <w:r w:rsidR="5FB6C9AE" w:rsidRPr="00B85D62">
        <w:rPr>
          <w:rFonts w:cs="Arial"/>
        </w:rPr>
        <w:t>suggest</w:t>
      </w:r>
      <w:r w:rsidRPr="00B85D62">
        <w:rPr>
          <w:rFonts w:cs="Arial"/>
        </w:rPr>
        <w:t xml:space="preserve"> incorporating a broader range of </w:t>
      </w:r>
      <w:r w:rsidR="00E50DCF" w:rsidRPr="00B85D62">
        <w:rPr>
          <w:rFonts w:cs="Arial"/>
        </w:rPr>
        <w:t>cardiovascular</w:t>
      </w:r>
      <w:r w:rsidRPr="00B85D62">
        <w:rPr>
          <w:rFonts w:cs="Arial"/>
        </w:rPr>
        <w:t xml:space="preserve"> outcomes for economic modelling.</w:t>
      </w:r>
    </w:p>
    <w:p w14:paraId="3B3F8232" w14:textId="5CF9BEE6" w:rsidR="00201D4F" w:rsidRPr="00B85D62" w:rsidRDefault="62E16D3F" w:rsidP="006C7E71">
      <w:pPr>
        <w:pStyle w:val="Heading2"/>
        <w:rPr>
          <w:rFonts w:eastAsia="Yu Gothic Light"/>
          <w:bCs/>
        </w:rPr>
      </w:pPr>
      <w:bookmarkStart w:id="124" w:name="_Toc61283521"/>
      <w:bookmarkStart w:id="125" w:name="_Toc76461057"/>
      <w:bookmarkStart w:id="126" w:name="_Toc107157469"/>
      <w:r w:rsidRPr="00B85D62">
        <w:t>Risk of cardiovascular disease in FH from secondary care</w:t>
      </w:r>
      <w:bookmarkEnd w:id="124"/>
      <w:bookmarkEnd w:id="125"/>
      <w:bookmarkEnd w:id="126"/>
    </w:p>
    <w:p w14:paraId="0E7280B3" w14:textId="6A2FD0C0" w:rsidR="00201D4F" w:rsidRPr="00B85D62" w:rsidRDefault="62E16D3F" w:rsidP="006C7E71">
      <w:pPr>
        <w:pStyle w:val="Heading3"/>
        <w:rPr>
          <w:rFonts w:eastAsia="Yu Gothic Light"/>
          <w:bCs/>
        </w:rPr>
      </w:pPr>
      <w:bookmarkStart w:id="127" w:name="_Toc61283522"/>
      <w:bookmarkStart w:id="128" w:name="_Toc76461058"/>
      <w:bookmarkStart w:id="129" w:name="_Toc107157470"/>
      <w:r w:rsidRPr="00B85D62">
        <w:t>Context</w:t>
      </w:r>
      <w:bookmarkEnd w:id="127"/>
      <w:bookmarkEnd w:id="128"/>
      <w:bookmarkEnd w:id="129"/>
    </w:p>
    <w:p w14:paraId="59BFFFE8" w14:textId="057D3D7D" w:rsidR="00201D4F" w:rsidRPr="00B85D62" w:rsidRDefault="1EF1C9BC" w:rsidP="0066232B">
      <w:pPr>
        <w:rPr>
          <w:rFonts w:cs="Arial"/>
        </w:rPr>
      </w:pPr>
      <w:r w:rsidRPr="00B85D62">
        <w:rPr>
          <w:rFonts w:cs="Arial"/>
        </w:rPr>
        <w:t xml:space="preserve">Historically, the Simon-Broome </w:t>
      </w:r>
      <w:r w:rsidR="7CECBFB5" w:rsidRPr="00B85D62">
        <w:rPr>
          <w:rFonts w:cs="Arial"/>
        </w:rPr>
        <w:t xml:space="preserve">FH </w:t>
      </w:r>
      <w:r w:rsidRPr="00B85D62">
        <w:rPr>
          <w:rFonts w:cs="Arial"/>
        </w:rPr>
        <w:t xml:space="preserve">disease registry has been linked to </w:t>
      </w:r>
      <w:r w:rsidR="00B85D62" w:rsidRPr="00B85D62">
        <w:rPr>
          <w:rFonts w:cs="Arial"/>
          <w:color w:val="00B0F0"/>
        </w:rPr>
        <w:t>Office for National Statistics</w:t>
      </w:r>
      <w:r w:rsidRPr="00B85D62">
        <w:rPr>
          <w:rFonts w:cs="Arial"/>
        </w:rPr>
        <w:t xml:space="preserve"> for ascertainment of annual death records which have provided outcomes related to annual mortality rates (up to 2016). However, much of the participant journey through their life-course is missing including outcomes related to disease morbidity, treatments, procedures and operations, and health utilisation. These outcomes have not been previously assessed.</w:t>
      </w:r>
    </w:p>
    <w:p w14:paraId="35C95FEB" w14:textId="5FCCEA33" w:rsidR="00201D4F" w:rsidRPr="00B85D62" w:rsidRDefault="62E16D3F" w:rsidP="006C7E71">
      <w:pPr>
        <w:pStyle w:val="Heading3"/>
        <w:rPr>
          <w:rFonts w:eastAsia="Yu Gothic Light"/>
          <w:bCs/>
        </w:rPr>
      </w:pPr>
      <w:bookmarkStart w:id="130" w:name="_Toc61283523"/>
      <w:bookmarkStart w:id="131" w:name="_Toc76461059"/>
      <w:bookmarkStart w:id="132" w:name="_Toc107157471"/>
      <w:r w:rsidRPr="00B85D62">
        <w:t>Research objectives</w:t>
      </w:r>
      <w:bookmarkEnd w:id="130"/>
      <w:bookmarkEnd w:id="131"/>
      <w:bookmarkEnd w:id="132"/>
    </w:p>
    <w:p w14:paraId="2F1BF2E6" w14:textId="77777777" w:rsidR="00B85D62" w:rsidRPr="00B85D62" w:rsidRDefault="1EF1C9BC" w:rsidP="0066232B">
      <w:pPr>
        <w:rPr>
          <w:rFonts w:eastAsia="Calibri" w:cs="Arial"/>
        </w:rPr>
      </w:pPr>
      <w:r w:rsidRPr="00B85D62">
        <w:rPr>
          <w:rFonts w:eastAsia="Calibri" w:cs="Arial"/>
        </w:rPr>
        <w:t xml:space="preserve">To evaluate the long-term </w:t>
      </w:r>
      <w:r w:rsidR="00BA4F41" w:rsidRPr="00B85D62">
        <w:rPr>
          <w:rFonts w:eastAsia="Calibri" w:cs="Arial"/>
        </w:rPr>
        <w:t>cardiovascular</w:t>
      </w:r>
      <w:r w:rsidRPr="00B85D62">
        <w:rPr>
          <w:rFonts w:eastAsia="Calibri" w:cs="Arial"/>
        </w:rPr>
        <w:t xml:space="preserve"> outcomes of individuals with FH.</w:t>
      </w:r>
    </w:p>
    <w:p w14:paraId="62199246" w14:textId="43264B1A" w:rsidR="00201D4F" w:rsidRPr="00B85D62" w:rsidRDefault="62E16D3F" w:rsidP="006C7E71">
      <w:pPr>
        <w:pStyle w:val="Heading3"/>
        <w:rPr>
          <w:rFonts w:eastAsia="Yu Gothic Light"/>
          <w:bCs/>
        </w:rPr>
      </w:pPr>
      <w:bookmarkStart w:id="133" w:name="_Toc61283524"/>
      <w:bookmarkStart w:id="134" w:name="_Toc76461060"/>
      <w:bookmarkStart w:id="135" w:name="_Toc107157472"/>
      <w:r w:rsidRPr="00B85D62">
        <w:t>Methodology</w:t>
      </w:r>
      <w:bookmarkEnd w:id="133"/>
      <w:bookmarkEnd w:id="134"/>
      <w:bookmarkEnd w:id="135"/>
    </w:p>
    <w:p w14:paraId="0A0D7C8C" w14:textId="6FB7282D" w:rsidR="00201D4F" w:rsidRPr="00B85D62" w:rsidRDefault="1EF1C9BC" w:rsidP="0066232B">
      <w:pPr>
        <w:rPr>
          <w:rFonts w:eastAsia="Calibri" w:cs="Arial"/>
        </w:rPr>
      </w:pPr>
      <w:r w:rsidRPr="00B85D62">
        <w:rPr>
          <w:rFonts w:eastAsia="Calibri" w:cs="Arial"/>
        </w:rPr>
        <w:t xml:space="preserve">A total of 3,553 </w:t>
      </w:r>
      <w:r w:rsidR="001066FA" w:rsidRPr="00B85D62">
        <w:rPr>
          <w:rFonts w:eastAsia="Calibri" w:cs="Arial"/>
        </w:rPr>
        <w:t>people</w:t>
      </w:r>
      <w:r w:rsidRPr="00B85D62">
        <w:rPr>
          <w:rFonts w:eastAsia="Calibri" w:cs="Arial"/>
        </w:rPr>
        <w:t xml:space="preserve"> in the Simon Broome (SB) database were recruited from participating lipid clinics between 01 January 1980 and 20 December 2010. Of these, 2,988 (84%) had linked HES admitted patient care records, and </w:t>
      </w:r>
      <w:r w:rsidR="5C2EC42B" w:rsidRPr="00B85D62">
        <w:rPr>
          <w:rFonts w:eastAsia="Calibri" w:cs="Arial"/>
        </w:rPr>
        <w:t xml:space="preserve">these </w:t>
      </w:r>
      <w:r w:rsidRPr="00B85D62">
        <w:rPr>
          <w:rFonts w:eastAsia="Calibri" w:cs="Arial"/>
        </w:rPr>
        <w:t xml:space="preserve">comprised the final study cohort. Individuals without linked HES records had comparable baseline demographic characteristics to those with linked </w:t>
      </w:r>
      <w:r w:rsidRPr="00B85D62">
        <w:rPr>
          <w:rFonts w:eastAsia="Calibri" w:cs="Arial"/>
          <w:highlight w:val="magenta"/>
        </w:rPr>
        <w:t>data</w:t>
      </w:r>
      <w:r w:rsidRPr="00B85D62">
        <w:rPr>
          <w:rFonts w:eastAsia="Calibri" w:cs="Arial"/>
        </w:rPr>
        <w:t>, but a higher proportion of them had records of previous history of CVD.</w:t>
      </w:r>
    </w:p>
    <w:p w14:paraId="426FB6AA" w14:textId="77777777" w:rsidR="00201D4F" w:rsidRPr="00B85D62" w:rsidRDefault="62E16D3F" w:rsidP="006C7E71">
      <w:pPr>
        <w:pStyle w:val="Heading4"/>
        <w:numPr>
          <w:ilvl w:val="0"/>
          <w:numId w:val="0"/>
        </w:numPr>
        <w:rPr>
          <w:rFonts w:eastAsia="Yu Gothic Light"/>
          <w:bCs/>
        </w:rPr>
      </w:pPr>
      <w:bookmarkStart w:id="136" w:name="_Toc61283525"/>
      <w:bookmarkStart w:id="137" w:name="_Toc76461061"/>
      <w:r w:rsidRPr="00B85D62">
        <w:lastRenderedPageBreak/>
        <w:t>Outcomes</w:t>
      </w:r>
      <w:bookmarkEnd w:id="136"/>
      <w:bookmarkEnd w:id="137"/>
    </w:p>
    <w:p w14:paraId="52BF6D40" w14:textId="59EF7A88" w:rsidR="00201D4F" w:rsidRPr="00B85D62" w:rsidRDefault="1EF1C9BC" w:rsidP="0066232B">
      <w:pPr>
        <w:rPr>
          <w:rFonts w:eastAsia="Calibri" w:cs="Arial"/>
        </w:rPr>
      </w:pPr>
      <w:r w:rsidRPr="00B85D62">
        <w:rPr>
          <w:rFonts w:eastAsia="Calibri" w:cs="Arial"/>
        </w:rPr>
        <w:t xml:space="preserve">Incident </w:t>
      </w:r>
      <w:r w:rsidR="00E7573F" w:rsidRPr="00B85D62">
        <w:rPr>
          <w:rFonts w:eastAsia="Calibri" w:cs="Arial"/>
        </w:rPr>
        <w:t>CVD</w:t>
      </w:r>
      <w:r w:rsidRPr="00B85D62">
        <w:rPr>
          <w:rFonts w:eastAsia="Calibri" w:cs="Arial"/>
        </w:rPr>
        <w:t xml:space="preserve"> was defined as the first hospital admission recorded in HES for coronary heart disease (CHD), myocardial infarction (MI), angina (stable or unstable), stroke, </w:t>
      </w:r>
      <w:r w:rsidR="009E48EF" w:rsidRPr="00B85D62">
        <w:rPr>
          <w:rFonts w:eastAsia="Calibri" w:cs="Arial"/>
        </w:rPr>
        <w:t>TIA</w:t>
      </w:r>
      <w:r w:rsidRPr="00B85D62">
        <w:rPr>
          <w:rFonts w:eastAsia="Calibri" w:cs="Arial"/>
        </w:rPr>
        <w:t>, PVD, heart failure, or coronary revascularisation interventions such as percutaneous coronary interventions (PCI) or coronary artery bypass graft (CABG). Cardiovascular disease outcomes were identified from HES using the relevant IC</w:t>
      </w:r>
      <w:r w:rsidR="00B85D62" w:rsidRPr="00B85D62">
        <w:rPr>
          <w:rFonts w:eastAsia="Calibri" w:cs="Arial"/>
          <w:color w:val="00B0F0"/>
        </w:rPr>
        <w:t>D</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0 and OPCS codes.</w:t>
      </w:r>
    </w:p>
    <w:p w14:paraId="14CF13C2" w14:textId="77777777" w:rsidR="00201D4F" w:rsidRPr="00B85D62" w:rsidRDefault="62E16D3F" w:rsidP="006C7E71">
      <w:pPr>
        <w:pStyle w:val="Heading4"/>
        <w:numPr>
          <w:ilvl w:val="0"/>
          <w:numId w:val="0"/>
        </w:numPr>
        <w:rPr>
          <w:rFonts w:eastAsia="Yu Gothic Light"/>
          <w:bCs/>
        </w:rPr>
      </w:pPr>
      <w:bookmarkStart w:id="138" w:name="_Toc61283526"/>
      <w:bookmarkStart w:id="139" w:name="_Toc76461062"/>
      <w:r w:rsidRPr="00B85D62">
        <w:t>Statistical Analyses</w:t>
      </w:r>
      <w:bookmarkEnd w:id="138"/>
      <w:bookmarkEnd w:id="139"/>
    </w:p>
    <w:p w14:paraId="2DFB8B10" w14:textId="222535FD" w:rsidR="00B85D62" w:rsidRPr="00B85D62" w:rsidRDefault="00201D4F" w:rsidP="0066232B">
      <w:pPr>
        <w:rPr>
          <w:rFonts w:cs="Arial"/>
        </w:rPr>
      </w:pPr>
      <w:r w:rsidRPr="00B85D62">
        <w:rPr>
          <w:rFonts w:cs="Arial"/>
        </w:rPr>
        <w:t xml:space="preserve">Baseline characteristics of patients in the Simon Broome register were assessed, and these were reported as proportions, mean (standard deviation) and median (interquartile range) for categorical, continuous normally distributed and continuous non-normally distributed variables respectively. Appropriate statistical tests such as chi-squared, t-tests and </w:t>
      </w:r>
      <w:r w:rsidR="00B85D62" w:rsidRPr="00B85D62">
        <w:rPr>
          <w:rFonts w:cs="Arial"/>
          <w:color w:val="00B0F0"/>
        </w:rPr>
        <w:t>Mann–Whitney</w:t>
      </w:r>
      <w:r w:rsidRPr="00B85D62">
        <w:rPr>
          <w:rFonts w:cs="Arial"/>
        </w:rPr>
        <w:t xml:space="preserve"> U tests were used to assess differences in categorical and continuous variables, between males and females.</w:t>
      </w:r>
      <w:r w:rsidR="00895586" w:rsidRPr="00B85D62">
        <w:rPr>
          <w:rFonts w:cs="Arial"/>
        </w:rPr>
        <w:t xml:space="preserve"> </w:t>
      </w:r>
      <w:r w:rsidRPr="00B85D62">
        <w:rPr>
          <w:rFonts w:cs="Arial"/>
          <w:highlight w:val="magenta"/>
        </w:rPr>
        <w:t>Incidence</w:t>
      </w:r>
      <w:r w:rsidRPr="00B85D62">
        <w:rPr>
          <w:rFonts w:cs="Arial"/>
        </w:rPr>
        <w:t xml:space="preserve"> rates of composite CVD outcomes were assessed for all SB patients as well as within pre-defined patient subgroups, and Cox-proportional hazard models estimated hazards ratios for CVD. We determined the observed number of incident CVD events per person-years of follow-up, stratified by sex and age-groups </w:t>
      </w:r>
      <w:r w:rsidR="00B85D62" w:rsidRPr="00B85D62">
        <w:rPr>
          <w:rFonts w:cs="Arial"/>
          <w:color w:val="00B0F0"/>
        </w:rPr>
        <w:t>(</w:t>
      </w:r>
      <w:r w:rsidR="00F94040" w:rsidRPr="00B85D62">
        <w:rPr>
          <w:rFonts w:cs="Arial"/>
        </w:rPr>
        <w:t>under</w:t>
      </w:r>
      <w:r w:rsidRPr="00B85D62">
        <w:rPr>
          <w:rFonts w:cs="Arial"/>
        </w:rPr>
        <w:t xml:space="preserve">30 years, 30 to 50 years and in the over 50 year age-groups). Standardised morbidity ratios (SMbR) were calculated using indirect standardisation, with age and sex-specific CVD </w:t>
      </w:r>
      <w:r w:rsidRPr="00B85D62">
        <w:rPr>
          <w:rFonts w:cs="Arial"/>
          <w:highlight w:val="magenta"/>
        </w:rPr>
        <w:t>incidence</w:t>
      </w:r>
      <w:r w:rsidRPr="00B85D62">
        <w:rPr>
          <w:rFonts w:cs="Arial"/>
        </w:rPr>
        <w:t xml:space="preserve"> rates of the UK primary care non-FH population, as reference rates</w:t>
      </w:r>
      <w:r w:rsidR="004372AB" w:rsidRPr="00B85D62">
        <w:rPr>
          <w:rFonts w:cs="Arial"/>
          <w:noProof/>
          <w:color w:val="2B579A"/>
          <w:shd w:val="clear" w:color="auto" w:fill="E6E6E6"/>
          <w:vertAlign w:val="superscript"/>
        </w:rPr>
        <w:t>95</w:t>
      </w:r>
      <w:r w:rsidRPr="00B85D62">
        <w:rPr>
          <w:rFonts w:cs="Arial"/>
        </w:rPr>
        <w:t xml:space="preserve">. We calculated the expected number of CVD events as the number of person-years of follow-up in the SB cohort multiplied by the </w:t>
      </w:r>
      <w:r w:rsidRPr="00B85D62">
        <w:rPr>
          <w:rFonts w:cs="Arial"/>
          <w:highlight w:val="magenta"/>
        </w:rPr>
        <w:t>incidence</w:t>
      </w:r>
      <w:r w:rsidRPr="00B85D62">
        <w:rPr>
          <w:rFonts w:cs="Arial"/>
        </w:rPr>
        <w:t xml:space="preserve"> rate for the comparable age-group and sex in the reference population. Standardised morbidity ratios (SMbR) were computed as the observed number of CVD events divided by the expected number of events:</w:t>
      </w:r>
    </w:p>
    <w:p w14:paraId="36D2CDBB" w14:textId="4010EFC8" w:rsidR="00B85D62" w:rsidRPr="00B85D62" w:rsidRDefault="00201D4F" w:rsidP="00175351">
      <w:pPr>
        <w:keepNext/>
        <w:rPr>
          <w:rFonts w:cs="Arial"/>
        </w:rPr>
      </w:pPr>
      <w:r w:rsidRPr="00B85D62">
        <w:rPr>
          <w:rFonts w:cs="Arial"/>
        </w:rPr>
        <w:t>SMbR</w:t>
      </w:r>
      <w:r w:rsidR="00B85D62" w:rsidRPr="00B85D62">
        <w:rPr>
          <w:rFonts w:cs="Arial"/>
          <w:color w:val="00B0F0"/>
        </w:rPr>
        <w:t>=</w:t>
      </w:r>
      <m:oMath>
        <m:f>
          <m:fPr>
            <m:ctrlPr>
              <w:rPr>
                <w:rFonts w:ascii="Cambria Math" w:hAnsi="Cambria Math" w:cs="Arial"/>
                <w:i/>
              </w:rPr>
            </m:ctrlPr>
          </m:fPr>
          <m:num>
            <m:r>
              <m:rPr>
                <m:sty m:val="p"/>
              </m:rPr>
              <w:rPr>
                <w:rFonts w:ascii="Cambria Math" w:hAnsi="Cambria Math" w:cs="Arial"/>
              </w:rPr>
              <m:t>Σdi</m:t>
            </m:r>
          </m:num>
          <m:den>
            <m:r>
              <m:rPr>
                <m:sty m:val="p"/>
              </m:rPr>
              <w:rPr>
                <w:rFonts w:ascii="Cambria Math" w:hAnsi="Cambria Math" w:cs="Arial"/>
              </w:rPr>
              <m:t>ΣEi</m:t>
            </m:r>
          </m:den>
        </m:f>
        <m:r>
          <m:rPr>
            <m:sty m:val="p"/>
          </m:rPr>
          <w:rPr>
            <w:rFonts w:ascii="Cambria Math" w:hAnsi="Cambria Math" w:cs="Arial"/>
            <w:color w:val="00B0F0"/>
          </w:rPr>
          <m:t>=</m:t>
        </m:r>
        <m:f>
          <m:fPr>
            <m:ctrlPr>
              <w:rPr>
                <w:rFonts w:ascii="Cambria Math" w:hAnsi="Cambria Math" w:cs="Arial"/>
                <w:i/>
              </w:rPr>
            </m:ctrlPr>
          </m:fPr>
          <m:num>
            <m:r>
              <w:rPr>
                <w:rFonts w:ascii="Cambria Math" w:hAnsi="Cambria Math" w:cs="Arial"/>
              </w:rPr>
              <m:t>observed number of CVD events in the SB population</m:t>
            </m:r>
          </m:num>
          <m:den>
            <m:eqArr>
              <m:eqArrPr>
                <m:ctrlPr>
                  <w:rPr>
                    <w:rFonts w:ascii="Cambria Math" w:hAnsi="Cambria Math" w:cs="Arial"/>
                    <w:i/>
                  </w:rPr>
                </m:ctrlPr>
              </m:eqArrPr>
              <m:e>
                <m:r>
                  <w:rPr>
                    <w:rFonts w:ascii="Cambria Math" w:hAnsi="Cambria Math" w:cs="Arial"/>
                  </w:rPr>
                  <m:t xml:space="preserve">expected number of CVD events if the age-sex specific rates were the same as the </m:t>
                </m:r>
              </m:e>
              <m:e>
                <m:r>
                  <w:rPr>
                    <w:rFonts w:ascii="Cambria Math" w:hAnsi="Cambria Math" w:cs="Arial"/>
                  </w:rPr>
                  <m:t>reference population</m:t>
                </m:r>
              </m:e>
            </m:eqArr>
          </m:den>
        </m:f>
      </m:oMath>
    </w:p>
    <w:p w14:paraId="5A9AE73A" w14:textId="6FF594F4" w:rsidR="00201D4F" w:rsidRPr="00B85D62" w:rsidRDefault="00201D4F" w:rsidP="0066232B">
      <w:pPr>
        <w:rPr>
          <w:rFonts w:cs="Arial"/>
        </w:rPr>
      </w:pPr>
      <w:r w:rsidRPr="00B85D62">
        <w:rPr>
          <w:rFonts w:cs="Arial"/>
        </w:rPr>
        <w:t>The 95% confidence intervals of the SMbR were derived using an error factor (EF), with the equation:</w:t>
      </w:r>
      <w:r w:rsidR="00895586" w:rsidRPr="00B85D62">
        <w:rPr>
          <w:rFonts w:cs="Arial"/>
        </w:rPr>
        <w:t xml:space="preserve"> </w:t>
      </w:r>
      <w:r w:rsidRPr="00B85D62">
        <w:rPr>
          <w:rFonts w:cs="Arial"/>
        </w:rPr>
        <w:t>95% CI</w:t>
      </w:r>
      <w:r w:rsidR="00B85D62" w:rsidRPr="00B85D62">
        <w:rPr>
          <w:rFonts w:cs="Arial"/>
          <w:color w:val="00B0F0"/>
        </w:rPr>
        <w:t>=</w:t>
      </w:r>
      <w:r w:rsidRPr="00B85D62">
        <w:rPr>
          <w:rFonts w:cs="Arial"/>
        </w:rPr>
        <w:t>SMbR ̸ EF to SMbR × EF, where EF</w:t>
      </w:r>
      <w:r w:rsidR="00B85D62" w:rsidRPr="00B85D62">
        <w:rPr>
          <w:rFonts w:cs="Arial"/>
          <w:color w:val="00B0F0"/>
        </w:rPr>
        <w:t>=</w:t>
      </w:r>
      <w:r w:rsidRPr="00B85D62">
        <w:rPr>
          <w:rFonts w:cs="Arial"/>
        </w:rPr>
        <w:t>exp(1.96 ̸ √di)</w:t>
      </w:r>
    </w:p>
    <w:p w14:paraId="03A5886C" w14:textId="1D8E75F0" w:rsidR="00201D4F" w:rsidRPr="00B85D62" w:rsidRDefault="1EF1C9BC" w:rsidP="0066232B">
      <w:pPr>
        <w:rPr>
          <w:rFonts w:cs="Arial"/>
        </w:rPr>
      </w:pPr>
      <w:r w:rsidRPr="00B85D62">
        <w:rPr>
          <w:rFonts w:cs="Arial"/>
        </w:rPr>
        <w:t xml:space="preserve">SMbR was estimated for both composite CVD and constituent </w:t>
      </w:r>
      <w:r w:rsidR="00DC44A9" w:rsidRPr="00B85D62">
        <w:rPr>
          <w:rFonts w:cs="Arial"/>
        </w:rPr>
        <w:t xml:space="preserve">cardiovascular </w:t>
      </w:r>
      <w:r w:rsidRPr="00B85D62">
        <w:rPr>
          <w:rFonts w:cs="Arial"/>
        </w:rPr>
        <w:t xml:space="preserve">outcomes. We conducted the primary analyses on all eligible individuals in the Simon Broome register, with or without a history of CVD. To evaluate the impact of having a previous history of CVD, we conducted sensitivity analyses by restricting the population to a subset of patients who had no history of previous CVD at the time of registration. Considering that secondary care records in HES only became available after </w:t>
      </w:r>
      <w:r w:rsidR="00B85D62" w:rsidRPr="00B85D62">
        <w:rPr>
          <w:rFonts w:cs="Arial"/>
          <w:color w:val="00B0F0"/>
        </w:rPr>
        <w:t>1st</w:t>
      </w:r>
      <w:r w:rsidRPr="00B85D62">
        <w:rPr>
          <w:rFonts w:cs="Arial"/>
        </w:rPr>
        <w:t xml:space="preserve"> April 1997, a further sensitivity analyses was done with analyses restricted to only those individuals with registration dates in Simon Broome on or after the </w:t>
      </w:r>
      <w:r w:rsidR="00B85D62" w:rsidRPr="00B85D62">
        <w:rPr>
          <w:rFonts w:cs="Arial"/>
          <w:color w:val="00B0F0"/>
        </w:rPr>
        <w:t>1st</w:t>
      </w:r>
      <w:r w:rsidRPr="00B85D62">
        <w:rPr>
          <w:rFonts w:cs="Arial"/>
        </w:rPr>
        <w:t xml:space="preserve"> of April 1997. All analyses were conducted using Stata SE version 15.</w:t>
      </w:r>
    </w:p>
    <w:p w14:paraId="006F3D61" w14:textId="32FB8E28" w:rsidR="00201D4F" w:rsidRPr="00B85D62" w:rsidRDefault="62E16D3F" w:rsidP="006C7E71">
      <w:pPr>
        <w:pStyle w:val="Heading3"/>
        <w:rPr>
          <w:rFonts w:eastAsia="Yu Gothic Light"/>
          <w:bCs/>
        </w:rPr>
      </w:pPr>
      <w:bookmarkStart w:id="140" w:name="_Toc61283527"/>
      <w:bookmarkStart w:id="141" w:name="_Toc76461063"/>
      <w:bookmarkStart w:id="142" w:name="_Toc107157473"/>
      <w:r w:rsidRPr="00B85D62">
        <w:t>Results</w:t>
      </w:r>
      <w:bookmarkEnd w:id="140"/>
      <w:bookmarkEnd w:id="141"/>
      <w:bookmarkEnd w:id="142"/>
    </w:p>
    <w:p w14:paraId="28A55920" w14:textId="5A4ED72E" w:rsidR="00B85D62" w:rsidRPr="00B85D62" w:rsidRDefault="1EF1C9BC" w:rsidP="0066232B">
      <w:pPr>
        <w:rPr>
          <w:rFonts w:eastAsia="Calibri" w:cs="Arial"/>
        </w:rPr>
      </w:pPr>
      <w:r w:rsidRPr="00B85D62">
        <w:rPr>
          <w:rFonts w:eastAsia="Calibri" w:cs="Arial"/>
        </w:rPr>
        <w:t>The characteristics of the study population, at the time of registration into Simon Broome register are shown in</w:t>
      </w:r>
      <w:r w:rsidR="00895586" w:rsidRPr="00B85D62">
        <w:rPr>
          <w:rFonts w:eastAsia="Calibri"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4</w:t>
      </w:r>
      <w:r w:rsidRPr="00B85D62">
        <w:rPr>
          <w:rFonts w:eastAsia="Calibri" w:cs="Arial"/>
        </w:rPr>
        <w:t xml:space="preserve">. Of the cohort, 1,418 (47.5%) were male. </w:t>
      </w:r>
      <w:r w:rsidRPr="00B85D62">
        <w:rPr>
          <w:rFonts w:eastAsia="Calibri" w:cs="Arial"/>
          <w:highlight w:val="magenta"/>
        </w:rPr>
        <w:t>Compared to</w:t>
      </w:r>
      <w:r w:rsidRPr="00B85D62">
        <w:rPr>
          <w:rFonts w:eastAsia="Calibri" w:cs="Arial"/>
        </w:rPr>
        <w:t xml:space="preserve"> men, women were 5 years older at registration and 4.8 years older at time of commencing lipid lowering treatment (LLT). While women had a slightly lower BMI than men, their mean untreated total cholesterol concentration was significantly higher but median triglyceride concentration was significantly lower. Consumption of alcohol was significantly higher in men than women but significantly fewer women reported ever smoking, while the prevalence of current smoking was similar in men and women.</w:t>
      </w:r>
      <w:r w:rsidR="00895586" w:rsidRPr="00B85D62">
        <w:rPr>
          <w:rFonts w:eastAsia="Calibri" w:cs="Arial"/>
        </w:rPr>
        <w:t xml:space="preserve"> </w:t>
      </w:r>
      <w:r w:rsidRPr="00B85D62">
        <w:rPr>
          <w:rFonts w:eastAsia="Calibri" w:cs="Arial"/>
        </w:rPr>
        <w:t>Fewer of the women reported a prior history of CVD than men, with significant difference in myocardial infarction (MI), CHD and previous revascularisation, and women having had their first MI 8 years later than men. While significantly more women than men had a history of hypertension, the prevalence of Type 2 Diabetes was similar in men and women. Overall, women on the SB register had a better CVD risk factor profile, but a later age at FH diagnosis and commencement of LLT.</w:t>
      </w:r>
    </w:p>
    <w:p w14:paraId="259DCFA2" w14:textId="1A17172E" w:rsidR="00895586" w:rsidRPr="00B85D62" w:rsidRDefault="00B85D62" w:rsidP="00895586">
      <w:pPr>
        <w:pStyle w:val="Caption"/>
        <w:keepNext/>
        <w:rPr>
          <w:rFonts w:cs="Arial"/>
        </w:rPr>
      </w:pPr>
      <w:bookmarkStart w:id="143" w:name="_Toc79495149"/>
      <w:bookmarkStart w:id="144" w:name="_Toc79740199"/>
      <w:bookmarkStart w:id="145" w:name="_Toc107157358"/>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4</w:t>
      </w:r>
      <w:r w:rsidR="00895586" w:rsidRPr="00B85D62">
        <w:rPr>
          <w:rFonts w:cs="Arial"/>
        </w:rPr>
        <w:t xml:space="preserve"> Baseline characteristics of </w:t>
      </w:r>
      <w:r w:rsidR="001066FA" w:rsidRPr="00B85D62">
        <w:rPr>
          <w:rFonts w:cs="Arial"/>
        </w:rPr>
        <w:t>people</w:t>
      </w:r>
      <w:r w:rsidR="00895586" w:rsidRPr="00B85D62">
        <w:rPr>
          <w:rFonts w:cs="Arial"/>
        </w:rPr>
        <w:t xml:space="preserve"> with FH in the Simon Broome register</w:t>
      </w:r>
      <w:bookmarkEnd w:id="143"/>
      <w:bookmarkEnd w:id="144"/>
      <w:bookmarkEnd w:id="145"/>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222"/>
        <w:gridCol w:w="1014"/>
        <w:gridCol w:w="1531"/>
        <w:gridCol w:w="1531"/>
        <w:gridCol w:w="691"/>
      </w:tblGrid>
      <w:tr w:rsidR="00201D4F" w:rsidRPr="00B85D62" w14:paraId="3AE03A9A" w14:textId="77777777" w:rsidTr="00B85D62">
        <w:trPr>
          <w:cantSplit/>
        </w:trPr>
        <w:tc>
          <w:tcPr>
            <w:tcW w:w="0" w:type="auto"/>
            <w:shd w:val="clear" w:color="auto" w:fill="auto"/>
          </w:tcPr>
          <w:p w14:paraId="4894B25E" w14:textId="77777777" w:rsidR="00B85D62" w:rsidRPr="00B85D62" w:rsidRDefault="00B85D62" w:rsidP="0066232B">
            <w:pPr>
              <w:rPr>
                <w:rFonts w:eastAsiaTheme="minorEastAsia" w:cs="Arial"/>
                <w:b/>
                <w:bCs/>
                <w:sz w:val="16"/>
                <w:szCs w:val="16"/>
              </w:rPr>
            </w:pPr>
          </w:p>
          <w:p w14:paraId="0DF36B4C" w14:textId="2BC53BD2" w:rsidR="00201D4F" w:rsidRPr="00B85D62" w:rsidRDefault="00201D4F" w:rsidP="0066232B">
            <w:pPr>
              <w:rPr>
                <w:rFonts w:eastAsiaTheme="minorEastAsia" w:cs="Arial"/>
                <w:b/>
                <w:bCs/>
                <w:sz w:val="16"/>
                <w:szCs w:val="16"/>
              </w:rPr>
            </w:pPr>
          </w:p>
        </w:tc>
        <w:tc>
          <w:tcPr>
            <w:tcW w:w="0" w:type="auto"/>
            <w:shd w:val="clear" w:color="auto" w:fill="auto"/>
          </w:tcPr>
          <w:p w14:paraId="4E67F170"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 xml:space="preserve"> </w:t>
            </w:r>
          </w:p>
        </w:tc>
        <w:tc>
          <w:tcPr>
            <w:tcW w:w="0" w:type="auto"/>
            <w:shd w:val="clear" w:color="auto" w:fill="auto"/>
          </w:tcPr>
          <w:p w14:paraId="04A643B0"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 xml:space="preserve">Male </w:t>
            </w:r>
            <w:r w:rsidRPr="00B85D62">
              <w:rPr>
                <w:rFonts w:eastAsiaTheme="minorEastAsia" w:cs="Arial"/>
                <w:b/>
                <w:bCs/>
                <w:i/>
                <w:color w:val="00B0F0"/>
                <w:sz w:val="16"/>
                <w:szCs w:val="16"/>
              </w:rPr>
              <w:t>n</w:t>
            </w:r>
            <w:r w:rsidRPr="00B85D62">
              <w:rPr>
                <w:rFonts w:eastAsiaTheme="minorEastAsia" w:cs="Arial"/>
                <w:b/>
                <w:bCs/>
                <w:sz w:val="16"/>
                <w:szCs w:val="16"/>
              </w:rPr>
              <w:t>(%)</w:t>
            </w:r>
          </w:p>
          <w:p w14:paraId="797F5CEC"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1,418 (47.46)</w:t>
            </w:r>
          </w:p>
        </w:tc>
        <w:tc>
          <w:tcPr>
            <w:tcW w:w="0" w:type="auto"/>
            <w:shd w:val="clear" w:color="auto" w:fill="auto"/>
          </w:tcPr>
          <w:p w14:paraId="261CCD76"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 xml:space="preserve">Female </w:t>
            </w:r>
            <w:r w:rsidRPr="00B85D62">
              <w:rPr>
                <w:rFonts w:eastAsiaTheme="minorEastAsia" w:cs="Arial"/>
                <w:b/>
                <w:bCs/>
                <w:i/>
                <w:color w:val="00B0F0"/>
                <w:sz w:val="16"/>
                <w:szCs w:val="16"/>
              </w:rPr>
              <w:t>n</w:t>
            </w:r>
            <w:r w:rsidRPr="00B85D62">
              <w:rPr>
                <w:rFonts w:eastAsiaTheme="minorEastAsia" w:cs="Arial"/>
                <w:b/>
                <w:bCs/>
                <w:sz w:val="16"/>
                <w:szCs w:val="16"/>
              </w:rPr>
              <w:t>(%)</w:t>
            </w:r>
          </w:p>
          <w:p w14:paraId="3A02E7EE"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1,570 (52.54)</w:t>
            </w:r>
          </w:p>
        </w:tc>
        <w:tc>
          <w:tcPr>
            <w:tcW w:w="0" w:type="auto"/>
            <w:shd w:val="clear" w:color="auto" w:fill="auto"/>
          </w:tcPr>
          <w:p w14:paraId="1C887AEB" w14:textId="77777777" w:rsidR="00201D4F" w:rsidRPr="00B85D62" w:rsidRDefault="00201D4F" w:rsidP="0066232B">
            <w:pPr>
              <w:rPr>
                <w:rFonts w:eastAsiaTheme="minorEastAsia" w:cs="Arial"/>
                <w:b/>
                <w:bCs/>
                <w:sz w:val="16"/>
                <w:szCs w:val="16"/>
                <w:vertAlign w:val="superscript"/>
              </w:rPr>
            </w:pPr>
            <w:r w:rsidRPr="00B85D62">
              <w:rPr>
                <w:rFonts w:eastAsiaTheme="minorEastAsia" w:cs="Arial"/>
                <w:b/>
                <w:bCs/>
                <w:i/>
                <w:color w:val="00B0F0"/>
                <w:sz w:val="16"/>
                <w:szCs w:val="16"/>
              </w:rPr>
              <w:t>p</w:t>
            </w:r>
            <w:r w:rsidRPr="00B85D62">
              <w:rPr>
                <w:rFonts w:eastAsiaTheme="minorEastAsia" w:cs="Arial"/>
                <w:b/>
                <w:bCs/>
                <w:sz w:val="16"/>
                <w:szCs w:val="16"/>
              </w:rPr>
              <w:t>-value</w:t>
            </w:r>
            <w:r w:rsidRPr="00B85D62">
              <w:rPr>
                <w:rFonts w:eastAsiaTheme="minorEastAsia" w:cs="Arial"/>
                <w:b/>
                <w:bCs/>
                <w:sz w:val="16"/>
                <w:szCs w:val="16"/>
                <w:vertAlign w:val="superscript"/>
              </w:rPr>
              <w:t>a</w:t>
            </w:r>
          </w:p>
        </w:tc>
      </w:tr>
      <w:tr w:rsidR="00201D4F" w:rsidRPr="00B85D62" w14:paraId="3977C4CE" w14:textId="77777777" w:rsidTr="00B85D62">
        <w:trPr>
          <w:cantSplit/>
        </w:trPr>
        <w:tc>
          <w:tcPr>
            <w:tcW w:w="0" w:type="auto"/>
            <w:shd w:val="clear" w:color="auto" w:fill="auto"/>
          </w:tcPr>
          <w:p w14:paraId="4734E662"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Age at registration (years)</w:t>
            </w:r>
          </w:p>
        </w:tc>
        <w:tc>
          <w:tcPr>
            <w:tcW w:w="0" w:type="auto"/>
            <w:shd w:val="clear" w:color="auto" w:fill="auto"/>
          </w:tcPr>
          <w:p w14:paraId="53771F88" w14:textId="77777777" w:rsidR="00201D4F" w:rsidRPr="00B85D62" w:rsidRDefault="00201D4F" w:rsidP="0066232B">
            <w:pPr>
              <w:rPr>
                <w:rFonts w:eastAsiaTheme="minorEastAsia" w:cs="Arial"/>
                <w:sz w:val="16"/>
                <w:szCs w:val="16"/>
              </w:rPr>
            </w:pPr>
            <w:r w:rsidRPr="00B85D62">
              <w:rPr>
                <w:rFonts w:eastAsiaTheme="minorEastAsia" w:cs="Arial"/>
                <w:sz w:val="16"/>
                <w:szCs w:val="16"/>
              </w:rPr>
              <w:t>mean (SD)</w:t>
            </w:r>
          </w:p>
        </w:tc>
        <w:tc>
          <w:tcPr>
            <w:tcW w:w="0" w:type="auto"/>
            <w:shd w:val="clear" w:color="auto" w:fill="auto"/>
          </w:tcPr>
          <w:p w14:paraId="1C018DC2" w14:textId="77777777" w:rsidR="00201D4F" w:rsidRPr="00B85D62" w:rsidRDefault="00201D4F" w:rsidP="0066232B">
            <w:pPr>
              <w:rPr>
                <w:rFonts w:eastAsiaTheme="minorEastAsia" w:cs="Arial"/>
                <w:sz w:val="16"/>
                <w:szCs w:val="16"/>
              </w:rPr>
            </w:pPr>
            <w:r w:rsidRPr="00B85D62">
              <w:rPr>
                <w:rFonts w:eastAsiaTheme="minorEastAsia" w:cs="Arial"/>
                <w:sz w:val="16"/>
                <w:szCs w:val="16"/>
              </w:rPr>
              <w:t>41.1 (15.0)</w:t>
            </w:r>
          </w:p>
        </w:tc>
        <w:tc>
          <w:tcPr>
            <w:tcW w:w="0" w:type="auto"/>
            <w:shd w:val="clear" w:color="auto" w:fill="auto"/>
          </w:tcPr>
          <w:p w14:paraId="02A80DCB" w14:textId="77777777" w:rsidR="00201D4F" w:rsidRPr="00B85D62" w:rsidRDefault="00201D4F" w:rsidP="0066232B">
            <w:pPr>
              <w:rPr>
                <w:rFonts w:eastAsiaTheme="minorEastAsia" w:cs="Arial"/>
                <w:sz w:val="16"/>
                <w:szCs w:val="16"/>
              </w:rPr>
            </w:pPr>
            <w:r w:rsidRPr="00B85D62">
              <w:rPr>
                <w:rFonts w:eastAsiaTheme="minorEastAsia" w:cs="Arial"/>
                <w:sz w:val="16"/>
                <w:szCs w:val="16"/>
              </w:rPr>
              <w:t>46.1 (16.8)</w:t>
            </w:r>
          </w:p>
        </w:tc>
        <w:tc>
          <w:tcPr>
            <w:tcW w:w="0" w:type="auto"/>
            <w:shd w:val="clear" w:color="auto" w:fill="auto"/>
          </w:tcPr>
          <w:p w14:paraId="0425CEB6" w14:textId="50DF5890" w:rsidR="00201D4F" w:rsidRPr="00B85D62" w:rsidRDefault="00B85D62" w:rsidP="0066232B">
            <w:pPr>
              <w:rPr>
                <w:rFonts w:eastAsiaTheme="minorEastAsia" w:cs="Arial"/>
                <w:sz w:val="16"/>
                <w:szCs w:val="16"/>
              </w:rPr>
            </w:pPr>
            <w:r w:rsidRPr="00B85D62">
              <w:rPr>
                <w:rFonts w:eastAsiaTheme="minorEastAsia" w:cs="Arial"/>
                <w:color w:val="00B0F0"/>
                <w:sz w:val="16"/>
                <w:szCs w:val="16"/>
              </w:rPr>
              <w:t>&lt;</w:t>
            </w:r>
            <w:r w:rsidRPr="00B85D62">
              <w:rPr>
                <w:rFonts w:eastAsiaTheme="minorEastAsia" w:cs="Arial"/>
                <w:color w:val="00B0F0"/>
                <w:sz w:val="16"/>
                <w:szCs w:val="16"/>
              </w:rPr>
              <w:t> </w:t>
            </w:r>
            <w:r w:rsidRPr="00B85D62">
              <w:rPr>
                <w:rFonts w:eastAsiaTheme="minorEastAsia" w:cs="Arial"/>
                <w:color w:val="00B0F0"/>
                <w:sz w:val="16"/>
                <w:szCs w:val="16"/>
              </w:rPr>
              <w:t>0</w:t>
            </w:r>
            <w:r w:rsidR="00201D4F" w:rsidRPr="00B85D62">
              <w:rPr>
                <w:rFonts w:eastAsiaTheme="minorEastAsia" w:cs="Arial"/>
                <w:sz w:val="16"/>
                <w:szCs w:val="16"/>
              </w:rPr>
              <w:t>.0001</w:t>
            </w:r>
          </w:p>
        </w:tc>
      </w:tr>
      <w:tr w:rsidR="00201D4F" w:rsidRPr="00B85D62" w14:paraId="6696DB12" w14:textId="77777777" w:rsidTr="00B85D62">
        <w:trPr>
          <w:cantSplit/>
        </w:trPr>
        <w:tc>
          <w:tcPr>
            <w:tcW w:w="0" w:type="auto"/>
            <w:shd w:val="clear" w:color="auto" w:fill="auto"/>
          </w:tcPr>
          <w:p w14:paraId="42C5F582"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BMI at registration (Kg/m</w:t>
            </w:r>
            <w:r w:rsidRPr="00B85D62">
              <w:rPr>
                <w:rFonts w:eastAsiaTheme="minorEastAsia" w:cs="Arial"/>
                <w:b/>
                <w:bCs/>
                <w:sz w:val="16"/>
                <w:szCs w:val="16"/>
                <w:vertAlign w:val="superscript"/>
              </w:rPr>
              <w:t>2</w:t>
            </w:r>
            <w:r w:rsidRPr="00B85D62">
              <w:rPr>
                <w:rFonts w:eastAsiaTheme="minorEastAsia" w:cs="Arial"/>
                <w:b/>
                <w:bCs/>
                <w:sz w:val="16"/>
                <w:szCs w:val="16"/>
              </w:rPr>
              <w:t xml:space="preserve">) </w:t>
            </w:r>
          </w:p>
        </w:tc>
        <w:tc>
          <w:tcPr>
            <w:tcW w:w="0" w:type="auto"/>
            <w:shd w:val="clear" w:color="auto" w:fill="auto"/>
          </w:tcPr>
          <w:p w14:paraId="3F684F3F" w14:textId="77777777" w:rsidR="00201D4F" w:rsidRPr="00B85D62" w:rsidRDefault="00201D4F" w:rsidP="0066232B">
            <w:pPr>
              <w:rPr>
                <w:rFonts w:eastAsiaTheme="minorEastAsia" w:cs="Arial"/>
                <w:sz w:val="16"/>
                <w:szCs w:val="16"/>
              </w:rPr>
            </w:pPr>
            <w:r w:rsidRPr="00B85D62">
              <w:rPr>
                <w:rFonts w:eastAsiaTheme="minorEastAsia" w:cs="Arial"/>
                <w:sz w:val="16"/>
                <w:szCs w:val="16"/>
              </w:rPr>
              <w:t>mean (SD)</w:t>
            </w:r>
          </w:p>
        </w:tc>
        <w:tc>
          <w:tcPr>
            <w:tcW w:w="0" w:type="auto"/>
            <w:shd w:val="clear" w:color="auto" w:fill="auto"/>
          </w:tcPr>
          <w:p w14:paraId="1FB5079E" w14:textId="77777777" w:rsidR="00201D4F" w:rsidRPr="00B85D62" w:rsidRDefault="00201D4F" w:rsidP="0066232B">
            <w:pPr>
              <w:rPr>
                <w:rFonts w:eastAsiaTheme="minorEastAsia" w:cs="Arial"/>
                <w:sz w:val="16"/>
                <w:szCs w:val="16"/>
              </w:rPr>
            </w:pPr>
            <w:r w:rsidRPr="00B85D62">
              <w:rPr>
                <w:rFonts w:eastAsiaTheme="minorEastAsia" w:cs="Arial"/>
                <w:sz w:val="16"/>
                <w:szCs w:val="16"/>
              </w:rPr>
              <w:t>25.17 (4.1)</w:t>
            </w:r>
          </w:p>
        </w:tc>
        <w:tc>
          <w:tcPr>
            <w:tcW w:w="0" w:type="auto"/>
            <w:shd w:val="clear" w:color="auto" w:fill="auto"/>
          </w:tcPr>
          <w:p w14:paraId="7EF2092B" w14:textId="77777777" w:rsidR="00201D4F" w:rsidRPr="00B85D62" w:rsidRDefault="00201D4F" w:rsidP="0066232B">
            <w:pPr>
              <w:rPr>
                <w:rFonts w:eastAsiaTheme="minorEastAsia" w:cs="Arial"/>
                <w:sz w:val="16"/>
                <w:szCs w:val="16"/>
              </w:rPr>
            </w:pPr>
            <w:r w:rsidRPr="00B85D62">
              <w:rPr>
                <w:rFonts w:eastAsiaTheme="minorEastAsia" w:cs="Arial"/>
                <w:sz w:val="16"/>
                <w:szCs w:val="16"/>
              </w:rPr>
              <w:t>24.78 (5.2)</w:t>
            </w:r>
          </w:p>
        </w:tc>
        <w:tc>
          <w:tcPr>
            <w:tcW w:w="0" w:type="auto"/>
            <w:shd w:val="clear" w:color="auto" w:fill="auto"/>
          </w:tcPr>
          <w:p w14:paraId="2656AF7B" w14:textId="77777777" w:rsidR="00201D4F" w:rsidRPr="00B85D62" w:rsidRDefault="00201D4F" w:rsidP="0066232B">
            <w:pPr>
              <w:rPr>
                <w:rFonts w:eastAsiaTheme="minorEastAsia" w:cs="Arial"/>
                <w:sz w:val="16"/>
                <w:szCs w:val="16"/>
              </w:rPr>
            </w:pPr>
            <w:r w:rsidRPr="00B85D62">
              <w:rPr>
                <w:rFonts w:eastAsiaTheme="minorEastAsia" w:cs="Arial"/>
                <w:sz w:val="16"/>
                <w:szCs w:val="16"/>
              </w:rPr>
              <w:t>0.0343</w:t>
            </w:r>
          </w:p>
        </w:tc>
      </w:tr>
      <w:tr w:rsidR="00201D4F" w:rsidRPr="00B85D62" w14:paraId="350CD768" w14:textId="77777777" w:rsidTr="00B85D62">
        <w:trPr>
          <w:cantSplit/>
        </w:trPr>
        <w:tc>
          <w:tcPr>
            <w:tcW w:w="0" w:type="auto"/>
            <w:shd w:val="clear" w:color="auto" w:fill="auto"/>
          </w:tcPr>
          <w:p w14:paraId="445F3621"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Follow-up (years)</w:t>
            </w:r>
          </w:p>
        </w:tc>
        <w:tc>
          <w:tcPr>
            <w:tcW w:w="0" w:type="auto"/>
            <w:shd w:val="clear" w:color="auto" w:fill="auto"/>
          </w:tcPr>
          <w:p w14:paraId="13AC5BBE" w14:textId="77777777" w:rsidR="00201D4F" w:rsidRPr="00B85D62" w:rsidRDefault="00201D4F" w:rsidP="0066232B">
            <w:pPr>
              <w:rPr>
                <w:rFonts w:eastAsiaTheme="minorEastAsia" w:cs="Arial"/>
                <w:sz w:val="16"/>
                <w:szCs w:val="16"/>
              </w:rPr>
            </w:pPr>
            <w:r w:rsidRPr="00B85D62">
              <w:rPr>
                <w:rFonts w:eastAsiaTheme="minorEastAsia" w:cs="Arial"/>
                <w:sz w:val="16"/>
                <w:szCs w:val="16"/>
              </w:rPr>
              <w:t>median (IQR)</w:t>
            </w:r>
          </w:p>
        </w:tc>
        <w:tc>
          <w:tcPr>
            <w:tcW w:w="0" w:type="auto"/>
            <w:shd w:val="clear" w:color="auto" w:fill="auto"/>
          </w:tcPr>
          <w:p w14:paraId="56485400" w14:textId="47970F0D" w:rsidR="00201D4F" w:rsidRPr="00B85D62" w:rsidRDefault="00201D4F" w:rsidP="0066232B">
            <w:pPr>
              <w:rPr>
                <w:rFonts w:eastAsiaTheme="minorEastAsia" w:cs="Arial"/>
                <w:sz w:val="16"/>
                <w:szCs w:val="16"/>
              </w:rPr>
            </w:pPr>
            <w:r w:rsidRPr="00B85D62">
              <w:rPr>
                <w:rFonts w:eastAsiaTheme="minorEastAsia" w:cs="Arial"/>
                <w:sz w:val="16"/>
                <w:szCs w:val="16"/>
              </w:rPr>
              <w:t>17.93 (11.17</w:t>
            </w:r>
            <w:r w:rsidR="00B85D62" w:rsidRPr="00B85D62">
              <w:rPr>
                <w:rFonts w:eastAsiaTheme="minorEastAsia" w:cs="Arial"/>
                <w:color w:val="00B0F0"/>
                <w:sz w:val="16"/>
                <w:szCs w:val="16"/>
              </w:rPr>
              <w:t>–</w:t>
            </w:r>
            <w:r w:rsidR="00B85D62" w:rsidRPr="00B85D62">
              <w:rPr>
                <w:rFonts w:eastAsiaTheme="minorEastAsia" w:cs="Arial"/>
                <w:color w:val="00B0F0"/>
                <w:sz w:val="16"/>
                <w:szCs w:val="16"/>
              </w:rPr>
              <w:t>2</w:t>
            </w:r>
            <w:r w:rsidRPr="00B85D62">
              <w:rPr>
                <w:rFonts w:eastAsiaTheme="minorEastAsia" w:cs="Arial"/>
                <w:sz w:val="16"/>
                <w:szCs w:val="16"/>
              </w:rPr>
              <w:t>3.98)</w:t>
            </w:r>
          </w:p>
        </w:tc>
        <w:tc>
          <w:tcPr>
            <w:tcW w:w="0" w:type="auto"/>
            <w:shd w:val="clear" w:color="auto" w:fill="auto"/>
          </w:tcPr>
          <w:p w14:paraId="2FCB64E2" w14:textId="79369968" w:rsidR="00201D4F" w:rsidRPr="00B85D62" w:rsidRDefault="00201D4F" w:rsidP="0066232B">
            <w:pPr>
              <w:rPr>
                <w:rFonts w:eastAsiaTheme="minorEastAsia" w:cs="Arial"/>
                <w:sz w:val="16"/>
                <w:szCs w:val="16"/>
              </w:rPr>
            </w:pPr>
            <w:r w:rsidRPr="00B85D62">
              <w:rPr>
                <w:rFonts w:eastAsiaTheme="minorEastAsia" w:cs="Arial"/>
                <w:sz w:val="16"/>
                <w:szCs w:val="16"/>
              </w:rPr>
              <w:t>18.15 (11.59</w:t>
            </w:r>
            <w:r w:rsidR="00B85D62" w:rsidRPr="00B85D62">
              <w:rPr>
                <w:rFonts w:eastAsiaTheme="minorEastAsia" w:cs="Arial"/>
                <w:color w:val="00B0F0"/>
                <w:sz w:val="16"/>
                <w:szCs w:val="16"/>
              </w:rPr>
              <w:t>–</w:t>
            </w:r>
            <w:r w:rsidR="00B85D62" w:rsidRPr="00B85D62">
              <w:rPr>
                <w:rFonts w:eastAsiaTheme="minorEastAsia" w:cs="Arial"/>
                <w:color w:val="00B0F0"/>
                <w:sz w:val="16"/>
                <w:szCs w:val="16"/>
              </w:rPr>
              <w:t>2</w:t>
            </w:r>
            <w:r w:rsidRPr="00B85D62">
              <w:rPr>
                <w:rFonts w:eastAsiaTheme="minorEastAsia" w:cs="Arial"/>
                <w:sz w:val="16"/>
                <w:szCs w:val="16"/>
              </w:rPr>
              <w:t>3.73)</w:t>
            </w:r>
          </w:p>
        </w:tc>
        <w:tc>
          <w:tcPr>
            <w:tcW w:w="0" w:type="auto"/>
            <w:shd w:val="clear" w:color="auto" w:fill="auto"/>
          </w:tcPr>
          <w:p w14:paraId="28EA069F" w14:textId="77777777" w:rsidR="00201D4F" w:rsidRPr="00B85D62" w:rsidRDefault="00201D4F" w:rsidP="0066232B">
            <w:pPr>
              <w:rPr>
                <w:rFonts w:eastAsiaTheme="minorEastAsia" w:cs="Arial"/>
                <w:sz w:val="16"/>
                <w:szCs w:val="16"/>
              </w:rPr>
            </w:pPr>
            <w:r w:rsidRPr="00B85D62">
              <w:rPr>
                <w:rFonts w:eastAsiaTheme="minorEastAsia" w:cs="Arial"/>
                <w:sz w:val="16"/>
                <w:szCs w:val="16"/>
              </w:rPr>
              <w:t>0.5993</w:t>
            </w:r>
          </w:p>
        </w:tc>
      </w:tr>
      <w:tr w:rsidR="00201D4F" w:rsidRPr="00B85D62" w14:paraId="48A08FA0" w14:textId="77777777" w:rsidTr="00B85D62">
        <w:trPr>
          <w:cantSplit/>
        </w:trPr>
        <w:tc>
          <w:tcPr>
            <w:tcW w:w="0" w:type="auto"/>
            <w:shd w:val="clear" w:color="auto" w:fill="auto"/>
          </w:tcPr>
          <w:p w14:paraId="48B07BDC"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FH diagnosis type</w:t>
            </w:r>
          </w:p>
          <w:p w14:paraId="358C80E9" w14:textId="77777777" w:rsidR="00201D4F" w:rsidRPr="00B85D62" w:rsidRDefault="00201D4F" w:rsidP="0066232B">
            <w:pPr>
              <w:rPr>
                <w:rFonts w:eastAsiaTheme="minorEastAsia" w:cs="Arial"/>
                <w:sz w:val="16"/>
                <w:szCs w:val="16"/>
              </w:rPr>
            </w:pPr>
            <w:r w:rsidRPr="00B85D62">
              <w:rPr>
                <w:rFonts w:eastAsiaTheme="minorEastAsia" w:cs="Arial"/>
                <w:sz w:val="16"/>
                <w:szCs w:val="16"/>
              </w:rPr>
              <w:t>Definite FH</w:t>
            </w:r>
          </w:p>
          <w:p w14:paraId="6A3A4A40" w14:textId="77777777" w:rsidR="00201D4F" w:rsidRPr="00B85D62" w:rsidRDefault="00201D4F" w:rsidP="0066232B">
            <w:pPr>
              <w:rPr>
                <w:rFonts w:eastAsiaTheme="minorEastAsia" w:cs="Arial"/>
                <w:sz w:val="16"/>
                <w:szCs w:val="16"/>
              </w:rPr>
            </w:pPr>
            <w:r w:rsidRPr="00B85D62">
              <w:rPr>
                <w:rFonts w:eastAsiaTheme="minorEastAsia" w:cs="Arial"/>
                <w:sz w:val="16"/>
                <w:szCs w:val="16"/>
              </w:rPr>
              <w:t>Possible FH</w:t>
            </w:r>
          </w:p>
        </w:tc>
        <w:tc>
          <w:tcPr>
            <w:tcW w:w="0" w:type="auto"/>
            <w:shd w:val="clear" w:color="auto" w:fill="auto"/>
          </w:tcPr>
          <w:p w14:paraId="1CB31678" w14:textId="77777777" w:rsidR="00B85D62" w:rsidRPr="00B85D62" w:rsidRDefault="00B85D62" w:rsidP="0066232B">
            <w:pPr>
              <w:rPr>
                <w:rFonts w:eastAsiaTheme="minorEastAsia" w:cs="Arial"/>
                <w:sz w:val="16"/>
                <w:szCs w:val="16"/>
              </w:rPr>
            </w:pPr>
          </w:p>
          <w:p w14:paraId="71D5B7D0" w14:textId="77777777" w:rsidR="00201D4F"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 xml:space="preserve"> (%)</w:t>
            </w:r>
          </w:p>
        </w:tc>
        <w:tc>
          <w:tcPr>
            <w:tcW w:w="0" w:type="auto"/>
            <w:shd w:val="clear" w:color="auto" w:fill="auto"/>
          </w:tcPr>
          <w:p w14:paraId="2EF991A3" w14:textId="77777777" w:rsidR="00201D4F"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=1,418</w:t>
            </w:r>
          </w:p>
          <w:p w14:paraId="3754E36C" w14:textId="77777777" w:rsidR="00201D4F" w:rsidRPr="00B85D62" w:rsidRDefault="00201D4F" w:rsidP="0066232B">
            <w:pPr>
              <w:rPr>
                <w:rFonts w:eastAsiaTheme="minorEastAsia" w:cs="Arial"/>
                <w:sz w:val="16"/>
                <w:szCs w:val="16"/>
              </w:rPr>
            </w:pPr>
            <w:r w:rsidRPr="00B85D62">
              <w:rPr>
                <w:rFonts w:eastAsiaTheme="minorEastAsia" w:cs="Arial"/>
                <w:sz w:val="16"/>
                <w:szCs w:val="16"/>
              </w:rPr>
              <w:t>770 (54.3)</w:t>
            </w:r>
          </w:p>
          <w:p w14:paraId="4EA56B78" w14:textId="77777777" w:rsidR="00201D4F" w:rsidRPr="00B85D62" w:rsidRDefault="00201D4F" w:rsidP="0066232B">
            <w:pPr>
              <w:rPr>
                <w:rFonts w:eastAsiaTheme="minorEastAsia" w:cs="Arial"/>
                <w:sz w:val="16"/>
                <w:szCs w:val="16"/>
              </w:rPr>
            </w:pPr>
            <w:r w:rsidRPr="00B85D62">
              <w:rPr>
                <w:rFonts w:eastAsiaTheme="minorEastAsia" w:cs="Arial"/>
                <w:sz w:val="16"/>
                <w:szCs w:val="16"/>
              </w:rPr>
              <w:t>648 (45.7)</w:t>
            </w:r>
          </w:p>
        </w:tc>
        <w:tc>
          <w:tcPr>
            <w:tcW w:w="0" w:type="auto"/>
            <w:shd w:val="clear" w:color="auto" w:fill="auto"/>
          </w:tcPr>
          <w:p w14:paraId="3B18AE24" w14:textId="77777777" w:rsidR="00201D4F"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=1,570</w:t>
            </w:r>
          </w:p>
          <w:p w14:paraId="3CDD62DC" w14:textId="77777777" w:rsidR="00201D4F" w:rsidRPr="00B85D62" w:rsidRDefault="00201D4F" w:rsidP="0066232B">
            <w:pPr>
              <w:rPr>
                <w:rFonts w:eastAsiaTheme="minorEastAsia" w:cs="Arial"/>
                <w:sz w:val="16"/>
                <w:szCs w:val="16"/>
              </w:rPr>
            </w:pPr>
            <w:r w:rsidRPr="00B85D62">
              <w:rPr>
                <w:rFonts w:eastAsiaTheme="minorEastAsia" w:cs="Arial"/>
                <w:sz w:val="16"/>
                <w:szCs w:val="16"/>
              </w:rPr>
              <w:t>814 (51.9)</w:t>
            </w:r>
          </w:p>
          <w:p w14:paraId="14266C37" w14:textId="77777777" w:rsidR="00201D4F" w:rsidRPr="00B85D62" w:rsidRDefault="00201D4F" w:rsidP="0066232B">
            <w:pPr>
              <w:rPr>
                <w:rFonts w:eastAsiaTheme="minorEastAsia" w:cs="Arial"/>
                <w:sz w:val="16"/>
                <w:szCs w:val="16"/>
              </w:rPr>
            </w:pPr>
            <w:r w:rsidRPr="00B85D62">
              <w:rPr>
                <w:rFonts w:eastAsiaTheme="minorEastAsia" w:cs="Arial"/>
                <w:sz w:val="16"/>
                <w:szCs w:val="16"/>
              </w:rPr>
              <w:t>756 (48.1)</w:t>
            </w:r>
          </w:p>
        </w:tc>
        <w:tc>
          <w:tcPr>
            <w:tcW w:w="0" w:type="auto"/>
            <w:shd w:val="clear" w:color="auto" w:fill="auto"/>
          </w:tcPr>
          <w:p w14:paraId="1D71B04B" w14:textId="77777777" w:rsidR="00B85D62" w:rsidRPr="00B85D62" w:rsidRDefault="00B85D62" w:rsidP="0066232B">
            <w:pPr>
              <w:rPr>
                <w:rFonts w:eastAsiaTheme="minorEastAsia" w:cs="Arial"/>
                <w:sz w:val="16"/>
                <w:szCs w:val="16"/>
              </w:rPr>
            </w:pPr>
          </w:p>
          <w:p w14:paraId="50B19B53" w14:textId="77777777" w:rsidR="00201D4F" w:rsidRPr="00B85D62" w:rsidRDefault="00201D4F" w:rsidP="0066232B">
            <w:pPr>
              <w:rPr>
                <w:rFonts w:eastAsiaTheme="minorEastAsia" w:cs="Arial"/>
                <w:sz w:val="16"/>
                <w:szCs w:val="16"/>
              </w:rPr>
            </w:pPr>
            <w:r w:rsidRPr="00B85D62">
              <w:rPr>
                <w:rFonts w:eastAsiaTheme="minorEastAsia" w:cs="Arial"/>
                <w:sz w:val="16"/>
                <w:szCs w:val="16"/>
              </w:rPr>
              <w:t>0.179</w:t>
            </w:r>
          </w:p>
        </w:tc>
      </w:tr>
      <w:tr w:rsidR="00201D4F" w:rsidRPr="00B85D62" w14:paraId="0AA485BF" w14:textId="77777777" w:rsidTr="00B85D62">
        <w:trPr>
          <w:cantSplit/>
        </w:trPr>
        <w:tc>
          <w:tcPr>
            <w:tcW w:w="0" w:type="auto"/>
            <w:shd w:val="clear" w:color="auto" w:fill="auto"/>
          </w:tcPr>
          <w:p w14:paraId="52B2CA1C"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 xml:space="preserve">Age started on LLT (years) </w:t>
            </w:r>
          </w:p>
        </w:tc>
        <w:tc>
          <w:tcPr>
            <w:tcW w:w="0" w:type="auto"/>
            <w:shd w:val="clear" w:color="auto" w:fill="auto"/>
          </w:tcPr>
          <w:p w14:paraId="30007DF9" w14:textId="77777777" w:rsidR="00201D4F" w:rsidRPr="00B85D62" w:rsidRDefault="00201D4F" w:rsidP="0066232B">
            <w:pPr>
              <w:rPr>
                <w:rFonts w:eastAsiaTheme="minorEastAsia" w:cs="Arial"/>
                <w:sz w:val="16"/>
                <w:szCs w:val="16"/>
              </w:rPr>
            </w:pPr>
            <w:r w:rsidRPr="00B85D62">
              <w:rPr>
                <w:rFonts w:eastAsiaTheme="minorEastAsia" w:cs="Arial"/>
                <w:sz w:val="16"/>
                <w:szCs w:val="16"/>
              </w:rPr>
              <w:t>mean (SD)</w:t>
            </w:r>
          </w:p>
        </w:tc>
        <w:tc>
          <w:tcPr>
            <w:tcW w:w="0" w:type="auto"/>
            <w:shd w:val="clear" w:color="auto" w:fill="auto"/>
          </w:tcPr>
          <w:p w14:paraId="1DED7F38" w14:textId="77777777" w:rsidR="00201D4F" w:rsidRPr="00B85D62" w:rsidRDefault="00201D4F" w:rsidP="0066232B">
            <w:pPr>
              <w:rPr>
                <w:rFonts w:eastAsiaTheme="minorEastAsia" w:cs="Arial"/>
                <w:sz w:val="16"/>
                <w:szCs w:val="16"/>
              </w:rPr>
            </w:pPr>
            <w:r w:rsidRPr="00B85D62">
              <w:rPr>
                <w:rFonts w:eastAsiaTheme="minorEastAsia" w:cs="Arial"/>
                <w:sz w:val="16"/>
                <w:szCs w:val="16"/>
              </w:rPr>
              <w:t>37.5 (14.7)</w:t>
            </w:r>
          </w:p>
        </w:tc>
        <w:tc>
          <w:tcPr>
            <w:tcW w:w="0" w:type="auto"/>
            <w:shd w:val="clear" w:color="auto" w:fill="auto"/>
          </w:tcPr>
          <w:p w14:paraId="3B363EF1" w14:textId="77777777" w:rsidR="00201D4F" w:rsidRPr="00B85D62" w:rsidRDefault="00201D4F" w:rsidP="0066232B">
            <w:pPr>
              <w:rPr>
                <w:rFonts w:eastAsiaTheme="minorEastAsia" w:cs="Arial"/>
                <w:sz w:val="16"/>
                <w:szCs w:val="16"/>
              </w:rPr>
            </w:pPr>
            <w:r w:rsidRPr="00B85D62">
              <w:rPr>
                <w:rFonts w:eastAsiaTheme="minorEastAsia" w:cs="Arial"/>
                <w:sz w:val="16"/>
                <w:szCs w:val="16"/>
              </w:rPr>
              <w:t>42.3 (17.0)</w:t>
            </w:r>
          </w:p>
        </w:tc>
        <w:tc>
          <w:tcPr>
            <w:tcW w:w="0" w:type="auto"/>
            <w:shd w:val="clear" w:color="auto" w:fill="auto"/>
          </w:tcPr>
          <w:p w14:paraId="2B1974D9" w14:textId="4D97B128" w:rsidR="00201D4F" w:rsidRPr="00B85D62" w:rsidRDefault="00B85D62" w:rsidP="0066232B">
            <w:pPr>
              <w:rPr>
                <w:rFonts w:eastAsiaTheme="minorEastAsia" w:cs="Arial"/>
                <w:sz w:val="16"/>
                <w:szCs w:val="16"/>
              </w:rPr>
            </w:pPr>
            <w:r w:rsidRPr="00B85D62">
              <w:rPr>
                <w:rFonts w:eastAsiaTheme="minorEastAsia" w:cs="Arial"/>
                <w:color w:val="00B0F0"/>
                <w:sz w:val="16"/>
                <w:szCs w:val="16"/>
              </w:rPr>
              <w:t>&lt;</w:t>
            </w:r>
            <w:r w:rsidRPr="00B85D62">
              <w:rPr>
                <w:rFonts w:eastAsiaTheme="minorEastAsia" w:cs="Arial"/>
                <w:color w:val="00B0F0"/>
                <w:sz w:val="16"/>
                <w:szCs w:val="16"/>
              </w:rPr>
              <w:t> </w:t>
            </w:r>
            <w:r w:rsidRPr="00B85D62">
              <w:rPr>
                <w:rFonts w:eastAsiaTheme="minorEastAsia" w:cs="Arial"/>
                <w:color w:val="00B0F0"/>
                <w:sz w:val="16"/>
                <w:szCs w:val="16"/>
              </w:rPr>
              <w:t>0</w:t>
            </w:r>
            <w:r w:rsidR="00201D4F" w:rsidRPr="00B85D62">
              <w:rPr>
                <w:rFonts w:eastAsiaTheme="minorEastAsia" w:cs="Arial"/>
                <w:sz w:val="16"/>
                <w:szCs w:val="16"/>
              </w:rPr>
              <w:t>.0001</w:t>
            </w:r>
          </w:p>
        </w:tc>
      </w:tr>
      <w:tr w:rsidR="00201D4F" w:rsidRPr="00B85D62" w14:paraId="09BE5161" w14:textId="77777777" w:rsidTr="00B85D62">
        <w:trPr>
          <w:cantSplit/>
        </w:trPr>
        <w:tc>
          <w:tcPr>
            <w:tcW w:w="0" w:type="auto"/>
            <w:shd w:val="clear" w:color="auto" w:fill="auto"/>
          </w:tcPr>
          <w:p w14:paraId="64ABACDA"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Pre-treatment cholesterol (mmol/l)</w:t>
            </w:r>
          </w:p>
        </w:tc>
        <w:tc>
          <w:tcPr>
            <w:tcW w:w="0" w:type="auto"/>
            <w:shd w:val="clear" w:color="auto" w:fill="auto"/>
          </w:tcPr>
          <w:p w14:paraId="29131771" w14:textId="77777777" w:rsidR="00201D4F" w:rsidRPr="00B85D62" w:rsidRDefault="00201D4F" w:rsidP="0066232B">
            <w:pPr>
              <w:rPr>
                <w:rFonts w:eastAsiaTheme="minorEastAsia" w:cs="Arial"/>
                <w:sz w:val="16"/>
                <w:szCs w:val="16"/>
              </w:rPr>
            </w:pPr>
            <w:r w:rsidRPr="00B85D62">
              <w:rPr>
                <w:rFonts w:eastAsiaTheme="minorEastAsia" w:cs="Arial"/>
                <w:sz w:val="16"/>
                <w:szCs w:val="16"/>
              </w:rPr>
              <w:t>mean (SD)</w:t>
            </w:r>
          </w:p>
        </w:tc>
        <w:tc>
          <w:tcPr>
            <w:tcW w:w="0" w:type="auto"/>
            <w:shd w:val="clear" w:color="auto" w:fill="auto"/>
          </w:tcPr>
          <w:p w14:paraId="5C770146" w14:textId="77777777" w:rsidR="00201D4F" w:rsidRPr="00B85D62" w:rsidRDefault="00201D4F" w:rsidP="0066232B">
            <w:pPr>
              <w:rPr>
                <w:rFonts w:eastAsiaTheme="minorEastAsia" w:cs="Arial"/>
                <w:sz w:val="16"/>
                <w:szCs w:val="16"/>
              </w:rPr>
            </w:pPr>
            <w:r w:rsidRPr="00B85D62">
              <w:rPr>
                <w:rFonts w:eastAsiaTheme="minorEastAsia" w:cs="Arial"/>
                <w:sz w:val="16"/>
                <w:szCs w:val="16"/>
              </w:rPr>
              <w:t>9.4 (2.8)</w:t>
            </w:r>
          </w:p>
        </w:tc>
        <w:tc>
          <w:tcPr>
            <w:tcW w:w="0" w:type="auto"/>
            <w:shd w:val="clear" w:color="auto" w:fill="auto"/>
          </w:tcPr>
          <w:p w14:paraId="5C78AF3F" w14:textId="77777777" w:rsidR="00201D4F" w:rsidRPr="00B85D62" w:rsidRDefault="00201D4F" w:rsidP="0066232B">
            <w:pPr>
              <w:rPr>
                <w:rFonts w:eastAsiaTheme="minorEastAsia" w:cs="Arial"/>
                <w:sz w:val="16"/>
                <w:szCs w:val="16"/>
              </w:rPr>
            </w:pPr>
            <w:r w:rsidRPr="00B85D62">
              <w:rPr>
                <w:rFonts w:eastAsiaTheme="minorEastAsia" w:cs="Arial"/>
                <w:sz w:val="16"/>
                <w:szCs w:val="16"/>
              </w:rPr>
              <w:t>9.7 (2.0)</w:t>
            </w:r>
          </w:p>
        </w:tc>
        <w:tc>
          <w:tcPr>
            <w:tcW w:w="0" w:type="auto"/>
            <w:shd w:val="clear" w:color="auto" w:fill="auto"/>
          </w:tcPr>
          <w:p w14:paraId="1CE7F568" w14:textId="77777777" w:rsidR="00201D4F" w:rsidRPr="00B85D62" w:rsidRDefault="00201D4F" w:rsidP="0066232B">
            <w:pPr>
              <w:rPr>
                <w:rFonts w:eastAsiaTheme="minorEastAsia" w:cs="Arial"/>
                <w:sz w:val="16"/>
                <w:szCs w:val="16"/>
              </w:rPr>
            </w:pPr>
            <w:r w:rsidRPr="00B85D62">
              <w:rPr>
                <w:rFonts w:eastAsiaTheme="minorEastAsia" w:cs="Arial"/>
                <w:sz w:val="16"/>
                <w:szCs w:val="16"/>
              </w:rPr>
              <w:t>0.0136</w:t>
            </w:r>
          </w:p>
        </w:tc>
      </w:tr>
      <w:tr w:rsidR="00201D4F" w:rsidRPr="00B85D62" w14:paraId="14BB375E" w14:textId="77777777" w:rsidTr="00B85D62">
        <w:trPr>
          <w:cantSplit/>
        </w:trPr>
        <w:tc>
          <w:tcPr>
            <w:tcW w:w="0" w:type="auto"/>
            <w:shd w:val="clear" w:color="auto" w:fill="auto"/>
          </w:tcPr>
          <w:p w14:paraId="6544AB5C"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Pre-treatment triglyceride (mmol/l)</w:t>
            </w:r>
          </w:p>
        </w:tc>
        <w:tc>
          <w:tcPr>
            <w:tcW w:w="0" w:type="auto"/>
            <w:shd w:val="clear" w:color="auto" w:fill="auto"/>
          </w:tcPr>
          <w:p w14:paraId="166EE04F" w14:textId="77777777" w:rsidR="00201D4F" w:rsidRPr="00B85D62" w:rsidRDefault="00201D4F" w:rsidP="0066232B">
            <w:pPr>
              <w:rPr>
                <w:rFonts w:eastAsiaTheme="minorEastAsia" w:cs="Arial"/>
                <w:sz w:val="16"/>
                <w:szCs w:val="16"/>
              </w:rPr>
            </w:pPr>
            <w:r w:rsidRPr="00B85D62">
              <w:rPr>
                <w:rFonts w:eastAsiaTheme="minorEastAsia" w:cs="Arial"/>
                <w:sz w:val="16"/>
                <w:szCs w:val="16"/>
              </w:rPr>
              <w:t>median (IQR)</w:t>
            </w:r>
          </w:p>
        </w:tc>
        <w:tc>
          <w:tcPr>
            <w:tcW w:w="0" w:type="auto"/>
            <w:shd w:val="clear" w:color="auto" w:fill="auto"/>
          </w:tcPr>
          <w:p w14:paraId="36A00227" w14:textId="305047C0" w:rsidR="00201D4F" w:rsidRPr="00B85D62" w:rsidRDefault="00201D4F" w:rsidP="0066232B">
            <w:pPr>
              <w:rPr>
                <w:rFonts w:eastAsiaTheme="minorEastAsia" w:cs="Arial"/>
                <w:sz w:val="16"/>
                <w:szCs w:val="16"/>
              </w:rPr>
            </w:pPr>
            <w:r w:rsidRPr="00B85D62">
              <w:rPr>
                <w:rFonts w:eastAsiaTheme="minorEastAsia" w:cs="Arial"/>
                <w:sz w:val="16"/>
                <w:szCs w:val="16"/>
              </w:rPr>
              <w:t>1.8 (1.2</w:t>
            </w:r>
            <w:r w:rsidR="00B85D62" w:rsidRPr="00B85D62">
              <w:rPr>
                <w:rFonts w:eastAsiaTheme="minorEastAsia" w:cs="Arial"/>
                <w:color w:val="00B0F0"/>
                <w:sz w:val="16"/>
                <w:szCs w:val="16"/>
              </w:rPr>
              <w:t>–</w:t>
            </w:r>
            <w:r w:rsidR="00B85D62" w:rsidRPr="00B85D62">
              <w:rPr>
                <w:rFonts w:eastAsiaTheme="minorEastAsia" w:cs="Arial"/>
                <w:color w:val="00B0F0"/>
                <w:sz w:val="16"/>
                <w:szCs w:val="16"/>
              </w:rPr>
              <w:t>2</w:t>
            </w:r>
            <w:r w:rsidRPr="00B85D62">
              <w:rPr>
                <w:rFonts w:eastAsiaTheme="minorEastAsia" w:cs="Arial"/>
                <w:sz w:val="16"/>
                <w:szCs w:val="16"/>
              </w:rPr>
              <w:t>.7)</w:t>
            </w:r>
          </w:p>
        </w:tc>
        <w:tc>
          <w:tcPr>
            <w:tcW w:w="0" w:type="auto"/>
            <w:shd w:val="clear" w:color="auto" w:fill="auto"/>
          </w:tcPr>
          <w:p w14:paraId="337F68A3" w14:textId="503630A7" w:rsidR="00201D4F" w:rsidRPr="00B85D62" w:rsidRDefault="00201D4F" w:rsidP="0066232B">
            <w:pPr>
              <w:rPr>
                <w:rFonts w:eastAsiaTheme="minorEastAsia" w:cs="Arial"/>
                <w:sz w:val="16"/>
                <w:szCs w:val="16"/>
              </w:rPr>
            </w:pPr>
            <w:r w:rsidRPr="00B85D62">
              <w:rPr>
                <w:rFonts w:eastAsiaTheme="minorEastAsia" w:cs="Arial"/>
                <w:sz w:val="16"/>
                <w:szCs w:val="16"/>
              </w:rPr>
              <w:t>1.4 (1.0</w:t>
            </w:r>
            <w:r w:rsidR="00B85D62" w:rsidRPr="00B85D62">
              <w:rPr>
                <w:rFonts w:eastAsiaTheme="minorEastAsia" w:cs="Arial"/>
                <w:color w:val="00B0F0"/>
                <w:sz w:val="16"/>
                <w:szCs w:val="16"/>
              </w:rPr>
              <w:t>–</w:t>
            </w:r>
            <w:r w:rsidR="00B85D62" w:rsidRPr="00B85D62">
              <w:rPr>
                <w:rFonts w:eastAsiaTheme="minorEastAsia" w:cs="Arial"/>
                <w:color w:val="00B0F0"/>
                <w:sz w:val="16"/>
                <w:szCs w:val="16"/>
              </w:rPr>
              <w:t>2</w:t>
            </w:r>
            <w:r w:rsidRPr="00B85D62">
              <w:rPr>
                <w:rFonts w:eastAsiaTheme="minorEastAsia" w:cs="Arial"/>
                <w:sz w:val="16"/>
                <w:szCs w:val="16"/>
              </w:rPr>
              <w:t>.2)</w:t>
            </w:r>
          </w:p>
        </w:tc>
        <w:tc>
          <w:tcPr>
            <w:tcW w:w="0" w:type="auto"/>
            <w:shd w:val="clear" w:color="auto" w:fill="auto"/>
          </w:tcPr>
          <w:p w14:paraId="39DE0038" w14:textId="79B43AB3" w:rsidR="00201D4F" w:rsidRPr="00B85D62" w:rsidRDefault="00B85D62" w:rsidP="0066232B">
            <w:pPr>
              <w:rPr>
                <w:rFonts w:eastAsiaTheme="minorEastAsia" w:cs="Arial"/>
                <w:sz w:val="16"/>
                <w:szCs w:val="16"/>
              </w:rPr>
            </w:pPr>
            <w:r w:rsidRPr="00B85D62">
              <w:rPr>
                <w:rFonts w:eastAsiaTheme="minorEastAsia" w:cs="Arial"/>
                <w:color w:val="00B0F0"/>
                <w:sz w:val="16"/>
                <w:szCs w:val="16"/>
              </w:rPr>
              <w:t>&lt;</w:t>
            </w:r>
            <w:r w:rsidRPr="00B85D62">
              <w:rPr>
                <w:rFonts w:eastAsiaTheme="minorEastAsia" w:cs="Arial"/>
                <w:color w:val="00B0F0"/>
                <w:sz w:val="16"/>
                <w:szCs w:val="16"/>
              </w:rPr>
              <w:t> </w:t>
            </w:r>
            <w:r w:rsidRPr="00B85D62">
              <w:rPr>
                <w:rFonts w:eastAsiaTheme="minorEastAsia" w:cs="Arial"/>
                <w:color w:val="00B0F0"/>
                <w:sz w:val="16"/>
                <w:szCs w:val="16"/>
              </w:rPr>
              <w:t>0</w:t>
            </w:r>
            <w:r w:rsidR="00201D4F" w:rsidRPr="00B85D62">
              <w:rPr>
                <w:rFonts w:eastAsiaTheme="minorEastAsia" w:cs="Arial"/>
                <w:sz w:val="16"/>
                <w:szCs w:val="16"/>
              </w:rPr>
              <w:t>.0001</w:t>
            </w:r>
          </w:p>
        </w:tc>
      </w:tr>
      <w:tr w:rsidR="00201D4F" w:rsidRPr="00B85D62" w14:paraId="4B8C0713" w14:textId="77777777" w:rsidTr="00B85D62">
        <w:trPr>
          <w:cantSplit/>
        </w:trPr>
        <w:tc>
          <w:tcPr>
            <w:tcW w:w="0" w:type="auto"/>
            <w:shd w:val="clear" w:color="auto" w:fill="auto"/>
          </w:tcPr>
          <w:p w14:paraId="6D47CE83"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Pre-treatment lipoprotein Lp(a) (mg/dl)</w:t>
            </w:r>
          </w:p>
        </w:tc>
        <w:tc>
          <w:tcPr>
            <w:tcW w:w="0" w:type="auto"/>
            <w:shd w:val="clear" w:color="auto" w:fill="auto"/>
          </w:tcPr>
          <w:p w14:paraId="76CA6EB9" w14:textId="77777777" w:rsidR="00201D4F" w:rsidRPr="00B85D62" w:rsidRDefault="00201D4F" w:rsidP="0066232B">
            <w:pPr>
              <w:rPr>
                <w:rFonts w:eastAsiaTheme="minorEastAsia" w:cs="Arial"/>
                <w:sz w:val="16"/>
                <w:szCs w:val="16"/>
              </w:rPr>
            </w:pPr>
            <w:r w:rsidRPr="00B85D62">
              <w:rPr>
                <w:rFonts w:eastAsiaTheme="minorEastAsia" w:cs="Arial"/>
                <w:sz w:val="16"/>
                <w:szCs w:val="16"/>
              </w:rPr>
              <w:t>median (IQR)</w:t>
            </w:r>
          </w:p>
        </w:tc>
        <w:tc>
          <w:tcPr>
            <w:tcW w:w="0" w:type="auto"/>
            <w:shd w:val="clear" w:color="auto" w:fill="auto"/>
          </w:tcPr>
          <w:p w14:paraId="4F06A837" w14:textId="0BF97B3B" w:rsidR="00201D4F" w:rsidRPr="00B85D62" w:rsidRDefault="00201D4F" w:rsidP="0066232B">
            <w:pPr>
              <w:rPr>
                <w:rFonts w:eastAsiaTheme="minorEastAsia" w:cs="Arial"/>
                <w:sz w:val="16"/>
                <w:szCs w:val="16"/>
              </w:rPr>
            </w:pPr>
            <w:r w:rsidRPr="00B85D62">
              <w:rPr>
                <w:rFonts w:eastAsiaTheme="minorEastAsia" w:cs="Arial"/>
                <w:sz w:val="16"/>
                <w:szCs w:val="16"/>
              </w:rPr>
              <w:t>29 (10</w:t>
            </w:r>
            <w:r w:rsidR="00B85D62" w:rsidRPr="00B85D62">
              <w:rPr>
                <w:rFonts w:eastAsiaTheme="minorEastAsia" w:cs="Arial"/>
                <w:color w:val="00B0F0"/>
                <w:sz w:val="16"/>
                <w:szCs w:val="16"/>
              </w:rPr>
              <w:t>–</w:t>
            </w:r>
            <w:r w:rsidR="00B85D62" w:rsidRPr="00B85D62">
              <w:rPr>
                <w:rFonts w:eastAsiaTheme="minorEastAsia" w:cs="Arial"/>
                <w:color w:val="00B0F0"/>
                <w:sz w:val="16"/>
                <w:szCs w:val="16"/>
              </w:rPr>
              <w:t>6</w:t>
            </w:r>
            <w:r w:rsidRPr="00B85D62">
              <w:rPr>
                <w:rFonts w:eastAsiaTheme="minorEastAsia" w:cs="Arial"/>
                <w:sz w:val="16"/>
                <w:szCs w:val="16"/>
              </w:rPr>
              <w:t xml:space="preserve">3), </w:t>
            </w:r>
            <w:r w:rsidRPr="00B85D62">
              <w:rPr>
                <w:rFonts w:eastAsiaTheme="minorEastAsia" w:cs="Arial"/>
                <w:i/>
                <w:color w:val="00B0F0"/>
                <w:sz w:val="16"/>
                <w:szCs w:val="16"/>
              </w:rPr>
              <w:t>n</w:t>
            </w:r>
            <w:r w:rsidRPr="00B85D62">
              <w:rPr>
                <w:rFonts w:eastAsiaTheme="minorEastAsia" w:cs="Arial"/>
                <w:sz w:val="16"/>
                <w:szCs w:val="16"/>
              </w:rPr>
              <w:t>=314</w:t>
            </w:r>
          </w:p>
        </w:tc>
        <w:tc>
          <w:tcPr>
            <w:tcW w:w="0" w:type="auto"/>
            <w:shd w:val="clear" w:color="auto" w:fill="auto"/>
          </w:tcPr>
          <w:p w14:paraId="4D702D4E" w14:textId="6E29C2A1" w:rsidR="00201D4F" w:rsidRPr="00B85D62" w:rsidRDefault="00201D4F" w:rsidP="0066232B">
            <w:pPr>
              <w:rPr>
                <w:rFonts w:eastAsiaTheme="minorEastAsia" w:cs="Arial"/>
                <w:sz w:val="16"/>
                <w:szCs w:val="16"/>
              </w:rPr>
            </w:pPr>
            <w:r w:rsidRPr="00B85D62">
              <w:rPr>
                <w:rFonts w:eastAsiaTheme="minorEastAsia" w:cs="Arial"/>
                <w:sz w:val="16"/>
                <w:szCs w:val="16"/>
              </w:rPr>
              <w:t>25 (11</w:t>
            </w:r>
            <w:r w:rsidR="00B85D62" w:rsidRPr="00B85D62">
              <w:rPr>
                <w:rFonts w:eastAsiaTheme="minorEastAsia" w:cs="Arial"/>
                <w:color w:val="00B0F0"/>
                <w:sz w:val="16"/>
                <w:szCs w:val="16"/>
              </w:rPr>
              <w:t>–</w:t>
            </w:r>
            <w:r w:rsidR="00B85D62" w:rsidRPr="00B85D62">
              <w:rPr>
                <w:rFonts w:eastAsiaTheme="minorEastAsia" w:cs="Arial"/>
                <w:color w:val="00B0F0"/>
                <w:sz w:val="16"/>
                <w:szCs w:val="16"/>
              </w:rPr>
              <w:t>7</w:t>
            </w:r>
            <w:r w:rsidRPr="00B85D62">
              <w:rPr>
                <w:rFonts w:eastAsiaTheme="minorEastAsia" w:cs="Arial"/>
                <w:sz w:val="16"/>
                <w:szCs w:val="16"/>
              </w:rPr>
              <w:t xml:space="preserve">0), </w:t>
            </w:r>
            <w:r w:rsidRPr="00B85D62">
              <w:rPr>
                <w:rFonts w:eastAsiaTheme="minorEastAsia" w:cs="Arial"/>
                <w:i/>
                <w:color w:val="00B0F0"/>
                <w:sz w:val="16"/>
                <w:szCs w:val="16"/>
              </w:rPr>
              <w:t>n</w:t>
            </w:r>
            <w:r w:rsidRPr="00B85D62">
              <w:rPr>
                <w:rFonts w:eastAsiaTheme="minorEastAsia" w:cs="Arial"/>
                <w:sz w:val="16"/>
                <w:szCs w:val="16"/>
              </w:rPr>
              <w:t>=339</w:t>
            </w:r>
          </w:p>
        </w:tc>
        <w:tc>
          <w:tcPr>
            <w:tcW w:w="0" w:type="auto"/>
            <w:shd w:val="clear" w:color="auto" w:fill="auto"/>
          </w:tcPr>
          <w:p w14:paraId="6386F5AE" w14:textId="77777777" w:rsidR="00201D4F" w:rsidRPr="00B85D62" w:rsidRDefault="00201D4F" w:rsidP="0066232B">
            <w:pPr>
              <w:rPr>
                <w:rFonts w:eastAsiaTheme="minorEastAsia" w:cs="Arial"/>
                <w:sz w:val="16"/>
                <w:szCs w:val="16"/>
              </w:rPr>
            </w:pPr>
            <w:r w:rsidRPr="00B85D62">
              <w:rPr>
                <w:rFonts w:eastAsiaTheme="minorEastAsia" w:cs="Arial"/>
                <w:sz w:val="16"/>
                <w:szCs w:val="16"/>
              </w:rPr>
              <w:t>0.9927</w:t>
            </w:r>
          </w:p>
        </w:tc>
      </w:tr>
      <w:tr w:rsidR="00201D4F" w:rsidRPr="00B85D62" w14:paraId="5BBB8B1A" w14:textId="77777777" w:rsidTr="00B85D62">
        <w:trPr>
          <w:cantSplit/>
        </w:trPr>
        <w:tc>
          <w:tcPr>
            <w:tcW w:w="0" w:type="auto"/>
            <w:shd w:val="clear" w:color="auto" w:fill="auto"/>
          </w:tcPr>
          <w:p w14:paraId="55F84F33"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lastRenderedPageBreak/>
              <w:t>Alcohol consumption (units/week)</w:t>
            </w:r>
          </w:p>
        </w:tc>
        <w:tc>
          <w:tcPr>
            <w:tcW w:w="0" w:type="auto"/>
            <w:shd w:val="clear" w:color="auto" w:fill="auto"/>
          </w:tcPr>
          <w:p w14:paraId="32033590" w14:textId="77777777" w:rsidR="00201D4F" w:rsidRPr="00B85D62" w:rsidRDefault="00201D4F" w:rsidP="0066232B">
            <w:pPr>
              <w:rPr>
                <w:rFonts w:eastAsiaTheme="minorEastAsia" w:cs="Arial"/>
                <w:sz w:val="16"/>
                <w:szCs w:val="16"/>
              </w:rPr>
            </w:pPr>
            <w:r w:rsidRPr="00B85D62">
              <w:rPr>
                <w:rFonts w:eastAsiaTheme="minorEastAsia" w:cs="Arial"/>
                <w:sz w:val="16"/>
                <w:szCs w:val="16"/>
              </w:rPr>
              <w:t>median (IQR)</w:t>
            </w:r>
          </w:p>
        </w:tc>
        <w:tc>
          <w:tcPr>
            <w:tcW w:w="0" w:type="auto"/>
            <w:shd w:val="clear" w:color="auto" w:fill="auto"/>
          </w:tcPr>
          <w:p w14:paraId="402AAD94" w14:textId="37D3440F" w:rsidR="00201D4F" w:rsidRPr="00B85D62" w:rsidRDefault="00201D4F" w:rsidP="0066232B">
            <w:pPr>
              <w:rPr>
                <w:rFonts w:eastAsiaTheme="minorEastAsia" w:cs="Arial"/>
                <w:sz w:val="16"/>
                <w:szCs w:val="16"/>
              </w:rPr>
            </w:pPr>
            <w:r w:rsidRPr="00B85D62">
              <w:rPr>
                <w:rFonts w:eastAsiaTheme="minorEastAsia" w:cs="Arial"/>
                <w:sz w:val="16"/>
                <w:szCs w:val="16"/>
              </w:rPr>
              <w:t>10 (1</w:t>
            </w:r>
            <w:r w:rsidR="00B85D62" w:rsidRPr="00B85D62">
              <w:rPr>
                <w:rFonts w:eastAsiaTheme="minorEastAsia" w:cs="Arial"/>
                <w:color w:val="00B0F0"/>
                <w:sz w:val="16"/>
                <w:szCs w:val="16"/>
              </w:rPr>
              <w:t>–</w:t>
            </w:r>
            <w:r w:rsidR="00B85D62" w:rsidRPr="00B85D62">
              <w:rPr>
                <w:rFonts w:eastAsiaTheme="minorEastAsia" w:cs="Arial"/>
                <w:color w:val="00B0F0"/>
                <w:sz w:val="16"/>
                <w:szCs w:val="16"/>
              </w:rPr>
              <w:t>2</w:t>
            </w:r>
            <w:r w:rsidRPr="00B85D62">
              <w:rPr>
                <w:rFonts w:eastAsiaTheme="minorEastAsia" w:cs="Arial"/>
                <w:sz w:val="16"/>
                <w:szCs w:val="16"/>
              </w:rPr>
              <w:t>0)</w:t>
            </w:r>
          </w:p>
        </w:tc>
        <w:tc>
          <w:tcPr>
            <w:tcW w:w="0" w:type="auto"/>
            <w:shd w:val="clear" w:color="auto" w:fill="auto"/>
          </w:tcPr>
          <w:p w14:paraId="4051DF8E" w14:textId="23BDF3A8" w:rsidR="00201D4F" w:rsidRPr="00B85D62" w:rsidRDefault="00201D4F" w:rsidP="0066232B">
            <w:pPr>
              <w:rPr>
                <w:rFonts w:eastAsiaTheme="minorEastAsia" w:cs="Arial"/>
                <w:sz w:val="16"/>
                <w:szCs w:val="16"/>
              </w:rPr>
            </w:pPr>
            <w:r w:rsidRPr="00B85D62">
              <w:rPr>
                <w:rFonts w:eastAsiaTheme="minorEastAsia" w:cs="Arial"/>
                <w:sz w:val="16"/>
                <w:szCs w:val="16"/>
              </w:rPr>
              <w:t>2 (0</w:t>
            </w:r>
            <w:r w:rsidR="00B85D62" w:rsidRPr="00B85D62">
              <w:rPr>
                <w:rFonts w:eastAsiaTheme="minorEastAsia" w:cs="Arial"/>
                <w:color w:val="00B0F0"/>
                <w:sz w:val="16"/>
                <w:szCs w:val="16"/>
              </w:rPr>
              <w:t>–</w:t>
            </w:r>
            <w:r w:rsidR="00B85D62" w:rsidRPr="00B85D62">
              <w:rPr>
                <w:rFonts w:eastAsiaTheme="minorEastAsia" w:cs="Arial"/>
                <w:color w:val="00B0F0"/>
                <w:sz w:val="16"/>
                <w:szCs w:val="16"/>
              </w:rPr>
              <w:t>9</w:t>
            </w:r>
            <w:r w:rsidRPr="00B85D62">
              <w:rPr>
                <w:rFonts w:eastAsiaTheme="minorEastAsia" w:cs="Arial"/>
                <w:sz w:val="16"/>
                <w:szCs w:val="16"/>
              </w:rPr>
              <w:t>)</w:t>
            </w:r>
          </w:p>
        </w:tc>
        <w:tc>
          <w:tcPr>
            <w:tcW w:w="0" w:type="auto"/>
            <w:shd w:val="clear" w:color="auto" w:fill="auto"/>
          </w:tcPr>
          <w:p w14:paraId="1FFA2DCB" w14:textId="77777777" w:rsidR="00201D4F" w:rsidRPr="00B85D62" w:rsidRDefault="00201D4F" w:rsidP="0066232B">
            <w:pPr>
              <w:rPr>
                <w:rFonts w:eastAsiaTheme="minorEastAsia" w:cs="Arial"/>
                <w:sz w:val="16"/>
                <w:szCs w:val="16"/>
              </w:rPr>
            </w:pPr>
            <w:r w:rsidRPr="00B85D62">
              <w:rPr>
                <w:rFonts w:eastAsiaTheme="minorEastAsia" w:cs="Arial"/>
                <w:sz w:val="16"/>
                <w:szCs w:val="16"/>
              </w:rPr>
              <w:t>0.0001</w:t>
            </w:r>
          </w:p>
        </w:tc>
      </w:tr>
      <w:tr w:rsidR="00201D4F" w:rsidRPr="00B85D62" w14:paraId="17E2D08F" w14:textId="77777777" w:rsidTr="00B85D62">
        <w:trPr>
          <w:cantSplit/>
        </w:trPr>
        <w:tc>
          <w:tcPr>
            <w:tcW w:w="0" w:type="auto"/>
            <w:shd w:val="clear" w:color="auto" w:fill="auto"/>
          </w:tcPr>
          <w:p w14:paraId="44D453CA"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Cigarette smoke exposure</w:t>
            </w:r>
          </w:p>
          <w:p w14:paraId="209F4314" w14:textId="77777777" w:rsidR="00201D4F" w:rsidRPr="00B85D62" w:rsidRDefault="00201D4F" w:rsidP="0066232B">
            <w:pPr>
              <w:rPr>
                <w:rFonts w:eastAsiaTheme="minorEastAsia" w:cs="Arial"/>
                <w:sz w:val="16"/>
                <w:szCs w:val="16"/>
              </w:rPr>
            </w:pPr>
            <w:r w:rsidRPr="00B85D62">
              <w:rPr>
                <w:rFonts w:eastAsiaTheme="minorEastAsia" w:cs="Arial"/>
                <w:sz w:val="16"/>
                <w:szCs w:val="16"/>
              </w:rPr>
              <w:t>Ever smoked cigarette (yes)</w:t>
            </w:r>
          </w:p>
          <w:p w14:paraId="18DD0FD0" w14:textId="77777777" w:rsidR="00201D4F" w:rsidRPr="00B85D62" w:rsidRDefault="00201D4F" w:rsidP="0066232B">
            <w:pPr>
              <w:rPr>
                <w:rFonts w:eastAsiaTheme="minorEastAsia" w:cs="Arial"/>
                <w:sz w:val="16"/>
                <w:szCs w:val="16"/>
              </w:rPr>
            </w:pPr>
            <w:r w:rsidRPr="00B85D62">
              <w:rPr>
                <w:rFonts w:eastAsiaTheme="minorEastAsia" w:cs="Arial"/>
                <w:sz w:val="16"/>
                <w:szCs w:val="16"/>
              </w:rPr>
              <w:t>Current cigarette smoker (yes)</w:t>
            </w:r>
          </w:p>
        </w:tc>
        <w:tc>
          <w:tcPr>
            <w:tcW w:w="0" w:type="auto"/>
            <w:shd w:val="clear" w:color="auto" w:fill="auto"/>
          </w:tcPr>
          <w:p w14:paraId="2D84F7A7" w14:textId="77777777" w:rsidR="00B85D62" w:rsidRPr="00B85D62" w:rsidRDefault="00B85D62" w:rsidP="0066232B">
            <w:pPr>
              <w:rPr>
                <w:rFonts w:eastAsiaTheme="minorEastAsia" w:cs="Arial"/>
                <w:sz w:val="16"/>
                <w:szCs w:val="16"/>
              </w:rPr>
            </w:pPr>
          </w:p>
          <w:p w14:paraId="6A9BFA32" w14:textId="77777777" w:rsidR="00201D4F"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 xml:space="preserve"> (%)</w:t>
            </w:r>
          </w:p>
        </w:tc>
        <w:tc>
          <w:tcPr>
            <w:tcW w:w="0" w:type="auto"/>
            <w:shd w:val="clear" w:color="auto" w:fill="auto"/>
          </w:tcPr>
          <w:p w14:paraId="611D834E" w14:textId="77777777" w:rsidR="00B85D62" w:rsidRPr="00B85D62" w:rsidRDefault="00B85D62" w:rsidP="0066232B">
            <w:pPr>
              <w:rPr>
                <w:rFonts w:eastAsiaTheme="minorEastAsia" w:cs="Arial"/>
                <w:sz w:val="16"/>
                <w:szCs w:val="16"/>
              </w:rPr>
            </w:pPr>
          </w:p>
          <w:p w14:paraId="5B5E9972"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638 (45.0%, </w:t>
            </w:r>
            <w:r w:rsidRPr="00B85D62">
              <w:rPr>
                <w:rFonts w:eastAsiaTheme="minorEastAsia" w:cs="Arial"/>
                <w:i/>
                <w:color w:val="00B0F0"/>
                <w:sz w:val="16"/>
                <w:szCs w:val="16"/>
              </w:rPr>
              <w:t>n</w:t>
            </w:r>
            <w:r w:rsidRPr="00B85D62">
              <w:rPr>
                <w:rFonts w:eastAsiaTheme="minorEastAsia" w:cs="Arial"/>
                <w:sz w:val="16"/>
                <w:szCs w:val="16"/>
              </w:rPr>
              <w:t>=1,418)</w:t>
            </w:r>
          </w:p>
          <w:p w14:paraId="57318141"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224 (16.0%, </w:t>
            </w:r>
            <w:r w:rsidRPr="00B85D62">
              <w:rPr>
                <w:rFonts w:eastAsiaTheme="minorEastAsia" w:cs="Arial"/>
                <w:i/>
                <w:color w:val="00B0F0"/>
                <w:sz w:val="16"/>
                <w:szCs w:val="16"/>
              </w:rPr>
              <w:t>n</w:t>
            </w:r>
            <w:r w:rsidRPr="00B85D62">
              <w:rPr>
                <w:rFonts w:eastAsiaTheme="minorEastAsia" w:cs="Arial"/>
                <w:sz w:val="16"/>
                <w:szCs w:val="16"/>
              </w:rPr>
              <w:t>=1,404)</w:t>
            </w:r>
          </w:p>
        </w:tc>
        <w:tc>
          <w:tcPr>
            <w:tcW w:w="0" w:type="auto"/>
            <w:shd w:val="clear" w:color="auto" w:fill="auto"/>
          </w:tcPr>
          <w:p w14:paraId="444325AC" w14:textId="77777777" w:rsidR="00B85D62" w:rsidRPr="00B85D62" w:rsidRDefault="00B85D62" w:rsidP="0066232B">
            <w:pPr>
              <w:rPr>
                <w:rFonts w:eastAsiaTheme="minorEastAsia" w:cs="Arial"/>
                <w:sz w:val="16"/>
                <w:szCs w:val="16"/>
              </w:rPr>
            </w:pPr>
          </w:p>
          <w:p w14:paraId="10D7D549"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605 (38.6%, </w:t>
            </w:r>
            <w:r w:rsidRPr="00B85D62">
              <w:rPr>
                <w:rFonts w:eastAsiaTheme="minorEastAsia" w:cs="Arial"/>
                <w:i/>
                <w:color w:val="00B0F0"/>
                <w:sz w:val="16"/>
                <w:szCs w:val="16"/>
              </w:rPr>
              <w:t>n</w:t>
            </w:r>
            <w:r w:rsidRPr="00B85D62">
              <w:rPr>
                <w:rFonts w:eastAsiaTheme="minorEastAsia" w:cs="Arial"/>
                <w:sz w:val="16"/>
                <w:szCs w:val="16"/>
              </w:rPr>
              <w:t>=1,568)</w:t>
            </w:r>
          </w:p>
          <w:p w14:paraId="431E10C2"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293 (18.8%, </w:t>
            </w:r>
            <w:r w:rsidRPr="00B85D62">
              <w:rPr>
                <w:rFonts w:eastAsiaTheme="minorEastAsia" w:cs="Arial"/>
                <w:i/>
                <w:color w:val="00B0F0"/>
                <w:sz w:val="16"/>
                <w:szCs w:val="16"/>
              </w:rPr>
              <w:t>n</w:t>
            </w:r>
            <w:r w:rsidRPr="00B85D62">
              <w:rPr>
                <w:rFonts w:eastAsiaTheme="minorEastAsia" w:cs="Arial"/>
                <w:sz w:val="16"/>
                <w:szCs w:val="16"/>
              </w:rPr>
              <w:t>=1,556)</w:t>
            </w:r>
          </w:p>
        </w:tc>
        <w:tc>
          <w:tcPr>
            <w:tcW w:w="0" w:type="auto"/>
            <w:shd w:val="clear" w:color="auto" w:fill="auto"/>
          </w:tcPr>
          <w:p w14:paraId="5F090542" w14:textId="77777777" w:rsidR="00B85D62" w:rsidRPr="00B85D62" w:rsidRDefault="00B85D62" w:rsidP="0066232B">
            <w:pPr>
              <w:rPr>
                <w:rFonts w:eastAsiaTheme="minorEastAsia" w:cs="Arial"/>
                <w:sz w:val="16"/>
                <w:szCs w:val="16"/>
              </w:rPr>
            </w:pPr>
          </w:p>
          <w:p w14:paraId="0886ACED" w14:textId="77777777" w:rsidR="00201D4F" w:rsidRPr="00B85D62" w:rsidRDefault="00201D4F" w:rsidP="0066232B">
            <w:pPr>
              <w:rPr>
                <w:rFonts w:eastAsiaTheme="minorEastAsia" w:cs="Arial"/>
                <w:sz w:val="16"/>
                <w:szCs w:val="16"/>
              </w:rPr>
            </w:pPr>
            <w:r w:rsidRPr="00B85D62">
              <w:rPr>
                <w:rFonts w:eastAsiaTheme="minorEastAsia" w:cs="Arial"/>
                <w:sz w:val="16"/>
                <w:szCs w:val="16"/>
              </w:rPr>
              <w:t>0.001</w:t>
            </w:r>
          </w:p>
          <w:p w14:paraId="31A4BC91" w14:textId="77777777" w:rsidR="00201D4F" w:rsidRPr="00B85D62" w:rsidRDefault="00201D4F" w:rsidP="0066232B">
            <w:pPr>
              <w:rPr>
                <w:rFonts w:eastAsiaTheme="minorEastAsia" w:cs="Arial"/>
                <w:sz w:val="16"/>
                <w:szCs w:val="16"/>
              </w:rPr>
            </w:pPr>
            <w:r w:rsidRPr="00B85D62">
              <w:rPr>
                <w:rFonts w:eastAsiaTheme="minorEastAsia" w:cs="Arial"/>
                <w:sz w:val="16"/>
                <w:szCs w:val="16"/>
              </w:rPr>
              <w:t>0.116</w:t>
            </w:r>
          </w:p>
        </w:tc>
      </w:tr>
      <w:tr w:rsidR="00201D4F" w:rsidRPr="00B85D62" w14:paraId="50977B17" w14:textId="77777777" w:rsidTr="00B85D62">
        <w:trPr>
          <w:cantSplit/>
        </w:trPr>
        <w:tc>
          <w:tcPr>
            <w:tcW w:w="0" w:type="auto"/>
            <w:shd w:val="clear" w:color="auto" w:fill="auto"/>
          </w:tcPr>
          <w:p w14:paraId="5761D5A5" w14:textId="77777777" w:rsidR="00B85D62" w:rsidRPr="00B85D62" w:rsidRDefault="00201D4F" w:rsidP="0066232B">
            <w:pPr>
              <w:rPr>
                <w:rFonts w:eastAsiaTheme="minorEastAsia" w:cs="Arial"/>
                <w:b/>
                <w:bCs/>
                <w:sz w:val="16"/>
                <w:szCs w:val="16"/>
              </w:rPr>
            </w:pPr>
            <w:r w:rsidRPr="00B85D62">
              <w:rPr>
                <w:rFonts w:eastAsiaTheme="minorEastAsia" w:cs="Arial"/>
                <w:b/>
                <w:bCs/>
                <w:sz w:val="16"/>
                <w:szCs w:val="16"/>
              </w:rPr>
              <w:t>History of previous cardiovascular disease</w:t>
            </w:r>
          </w:p>
          <w:p w14:paraId="6C9E2DCD" w14:textId="781BA3A4" w:rsidR="00201D4F" w:rsidRPr="00B85D62" w:rsidRDefault="00201D4F" w:rsidP="0066232B">
            <w:pPr>
              <w:rPr>
                <w:rFonts w:eastAsiaTheme="minorEastAsia" w:cs="Arial"/>
                <w:sz w:val="16"/>
                <w:szCs w:val="16"/>
              </w:rPr>
            </w:pPr>
            <w:r w:rsidRPr="00B85D62">
              <w:rPr>
                <w:rFonts w:eastAsiaTheme="minorEastAsia" w:cs="Arial"/>
                <w:sz w:val="16"/>
                <w:szCs w:val="16"/>
              </w:rPr>
              <w:t>Angina</w:t>
            </w:r>
          </w:p>
          <w:p w14:paraId="0B5002FE" w14:textId="77777777" w:rsidR="00201D4F" w:rsidRPr="00B85D62" w:rsidRDefault="00201D4F" w:rsidP="0066232B">
            <w:pPr>
              <w:rPr>
                <w:rFonts w:eastAsiaTheme="minorEastAsia" w:cs="Arial"/>
                <w:sz w:val="16"/>
                <w:szCs w:val="16"/>
              </w:rPr>
            </w:pPr>
            <w:r w:rsidRPr="00B85D62">
              <w:rPr>
                <w:rFonts w:eastAsiaTheme="minorEastAsia" w:cs="Arial"/>
                <w:sz w:val="16"/>
                <w:szCs w:val="16"/>
              </w:rPr>
              <w:t>Myocardial infarction</w:t>
            </w:r>
          </w:p>
          <w:p w14:paraId="178F84F2" w14:textId="77777777" w:rsidR="00201D4F" w:rsidRPr="00B85D62" w:rsidRDefault="00201D4F" w:rsidP="0066232B">
            <w:pPr>
              <w:rPr>
                <w:rFonts w:eastAsiaTheme="minorEastAsia" w:cs="Arial"/>
                <w:sz w:val="16"/>
                <w:szCs w:val="16"/>
              </w:rPr>
            </w:pPr>
            <w:r w:rsidRPr="00B85D62">
              <w:rPr>
                <w:rFonts w:eastAsiaTheme="minorEastAsia" w:cs="Arial"/>
                <w:sz w:val="16"/>
                <w:szCs w:val="16"/>
              </w:rPr>
              <w:t>Coronary heart disease (yes)</w:t>
            </w:r>
          </w:p>
          <w:p w14:paraId="77EBF401" w14:textId="77777777" w:rsidR="00201D4F" w:rsidRPr="00B85D62" w:rsidRDefault="00201D4F" w:rsidP="0066232B">
            <w:pPr>
              <w:rPr>
                <w:rFonts w:eastAsiaTheme="minorEastAsia" w:cs="Arial"/>
                <w:sz w:val="16"/>
                <w:szCs w:val="16"/>
              </w:rPr>
            </w:pPr>
            <w:r w:rsidRPr="00B85D62">
              <w:rPr>
                <w:rFonts w:eastAsiaTheme="minorEastAsia" w:cs="Arial"/>
                <w:sz w:val="16"/>
                <w:szCs w:val="16"/>
              </w:rPr>
              <w:t>Stroke (Yes)</w:t>
            </w:r>
          </w:p>
          <w:p w14:paraId="31FCBE21" w14:textId="77777777" w:rsidR="00201D4F" w:rsidRPr="00B85D62" w:rsidRDefault="00201D4F" w:rsidP="0066232B">
            <w:pPr>
              <w:rPr>
                <w:rFonts w:eastAsiaTheme="minorEastAsia" w:cs="Arial"/>
                <w:sz w:val="16"/>
                <w:szCs w:val="16"/>
              </w:rPr>
            </w:pPr>
            <w:r w:rsidRPr="00B85D62">
              <w:rPr>
                <w:rFonts w:eastAsiaTheme="minorEastAsia" w:cs="Arial"/>
                <w:sz w:val="16"/>
                <w:szCs w:val="16"/>
              </w:rPr>
              <w:t>Transient ischaemic attack</w:t>
            </w:r>
          </w:p>
          <w:p w14:paraId="4816C3E4" w14:textId="77777777" w:rsidR="00201D4F" w:rsidRPr="00B85D62" w:rsidRDefault="00201D4F" w:rsidP="0066232B">
            <w:pPr>
              <w:rPr>
                <w:rFonts w:eastAsiaTheme="minorEastAsia" w:cs="Arial"/>
                <w:sz w:val="16"/>
                <w:szCs w:val="16"/>
              </w:rPr>
            </w:pPr>
            <w:r w:rsidRPr="00B85D62">
              <w:rPr>
                <w:rFonts w:eastAsiaTheme="minorEastAsia" w:cs="Arial"/>
                <w:sz w:val="16"/>
                <w:szCs w:val="16"/>
              </w:rPr>
              <w:t>History of claudication</w:t>
            </w:r>
          </w:p>
          <w:p w14:paraId="2C65DBBE" w14:textId="77777777" w:rsidR="00201D4F" w:rsidRPr="00B85D62" w:rsidRDefault="00201D4F" w:rsidP="0066232B">
            <w:pPr>
              <w:rPr>
                <w:rFonts w:eastAsiaTheme="minorEastAsia" w:cs="Arial"/>
                <w:sz w:val="16"/>
                <w:szCs w:val="16"/>
              </w:rPr>
            </w:pPr>
            <w:r w:rsidRPr="00B85D62">
              <w:rPr>
                <w:rFonts w:eastAsiaTheme="minorEastAsia" w:cs="Arial"/>
                <w:sz w:val="16"/>
                <w:szCs w:val="16"/>
              </w:rPr>
              <w:t>Previous revascularisation (Angioplasty/CABG)</w:t>
            </w:r>
          </w:p>
        </w:tc>
        <w:tc>
          <w:tcPr>
            <w:tcW w:w="0" w:type="auto"/>
            <w:shd w:val="clear" w:color="auto" w:fill="auto"/>
          </w:tcPr>
          <w:p w14:paraId="5F4DF993" w14:textId="77777777" w:rsidR="00B85D62" w:rsidRPr="00B85D62" w:rsidRDefault="00B85D62" w:rsidP="0066232B">
            <w:pPr>
              <w:rPr>
                <w:rFonts w:eastAsiaTheme="minorEastAsia" w:cs="Arial"/>
                <w:sz w:val="16"/>
                <w:szCs w:val="16"/>
              </w:rPr>
            </w:pPr>
          </w:p>
          <w:p w14:paraId="28A924BC" w14:textId="77777777" w:rsidR="00B85D62"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 xml:space="preserve"> (%)</w:t>
            </w:r>
          </w:p>
          <w:p w14:paraId="469A2938" w14:textId="502B5001" w:rsidR="00201D4F" w:rsidRPr="00B85D62" w:rsidRDefault="00201D4F" w:rsidP="0066232B">
            <w:pPr>
              <w:rPr>
                <w:rFonts w:eastAsiaTheme="minorEastAsia" w:cs="Arial"/>
                <w:sz w:val="16"/>
                <w:szCs w:val="16"/>
              </w:rPr>
            </w:pPr>
          </w:p>
        </w:tc>
        <w:tc>
          <w:tcPr>
            <w:tcW w:w="0" w:type="auto"/>
            <w:shd w:val="clear" w:color="auto" w:fill="auto"/>
          </w:tcPr>
          <w:p w14:paraId="0DDB507D" w14:textId="77777777" w:rsidR="00B85D62" w:rsidRPr="00B85D62" w:rsidRDefault="00B85D62" w:rsidP="0066232B">
            <w:pPr>
              <w:rPr>
                <w:rFonts w:eastAsiaTheme="minorEastAsia" w:cs="Arial"/>
                <w:sz w:val="16"/>
                <w:szCs w:val="16"/>
              </w:rPr>
            </w:pPr>
          </w:p>
          <w:p w14:paraId="70A4A45B"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250 (17.8%, </w:t>
            </w:r>
            <w:r w:rsidRPr="00B85D62">
              <w:rPr>
                <w:rFonts w:eastAsiaTheme="minorEastAsia" w:cs="Arial"/>
                <w:i/>
                <w:color w:val="00B0F0"/>
                <w:sz w:val="16"/>
                <w:szCs w:val="16"/>
              </w:rPr>
              <w:t>n</w:t>
            </w:r>
            <w:r w:rsidRPr="00B85D62">
              <w:rPr>
                <w:rFonts w:eastAsiaTheme="minorEastAsia" w:cs="Arial"/>
                <w:sz w:val="16"/>
                <w:szCs w:val="16"/>
              </w:rPr>
              <w:t>=1,403)</w:t>
            </w:r>
          </w:p>
          <w:p w14:paraId="774218C3"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187 (13.2%, </w:t>
            </w:r>
            <w:r w:rsidRPr="00B85D62">
              <w:rPr>
                <w:rFonts w:eastAsiaTheme="minorEastAsia" w:cs="Arial"/>
                <w:i/>
                <w:color w:val="00B0F0"/>
                <w:sz w:val="16"/>
                <w:szCs w:val="16"/>
              </w:rPr>
              <w:t>n</w:t>
            </w:r>
            <w:r w:rsidRPr="00B85D62">
              <w:rPr>
                <w:rFonts w:eastAsiaTheme="minorEastAsia" w:cs="Arial"/>
                <w:sz w:val="16"/>
                <w:szCs w:val="16"/>
              </w:rPr>
              <w:t>=1,418)</w:t>
            </w:r>
          </w:p>
          <w:p w14:paraId="3DBCEBA6"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352 (24.8%, </w:t>
            </w:r>
            <w:r w:rsidRPr="00B85D62">
              <w:rPr>
                <w:rFonts w:eastAsiaTheme="minorEastAsia" w:cs="Arial"/>
                <w:i/>
                <w:color w:val="00B0F0"/>
                <w:sz w:val="16"/>
                <w:szCs w:val="16"/>
              </w:rPr>
              <w:t>n</w:t>
            </w:r>
            <w:r w:rsidRPr="00B85D62">
              <w:rPr>
                <w:rFonts w:eastAsiaTheme="minorEastAsia" w:cs="Arial"/>
                <w:sz w:val="16"/>
                <w:szCs w:val="16"/>
              </w:rPr>
              <w:t>=1,418)</w:t>
            </w:r>
          </w:p>
          <w:p w14:paraId="13A90E0F"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10 (0.7%, </w:t>
            </w:r>
            <w:r w:rsidRPr="00B85D62">
              <w:rPr>
                <w:rFonts w:eastAsiaTheme="minorEastAsia" w:cs="Arial"/>
                <w:i/>
                <w:color w:val="00B0F0"/>
                <w:sz w:val="16"/>
                <w:szCs w:val="16"/>
              </w:rPr>
              <w:t>n</w:t>
            </w:r>
            <w:r w:rsidRPr="00B85D62">
              <w:rPr>
                <w:rFonts w:eastAsiaTheme="minorEastAsia" w:cs="Arial"/>
                <w:sz w:val="16"/>
                <w:szCs w:val="16"/>
              </w:rPr>
              <w:t>=1,404)</w:t>
            </w:r>
          </w:p>
          <w:p w14:paraId="578D0541"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13 (1.3%, </w:t>
            </w:r>
            <w:r w:rsidRPr="00B85D62">
              <w:rPr>
                <w:rFonts w:eastAsiaTheme="minorEastAsia" w:cs="Arial"/>
                <w:i/>
                <w:color w:val="00B0F0"/>
                <w:sz w:val="16"/>
                <w:szCs w:val="16"/>
              </w:rPr>
              <w:t>n</w:t>
            </w:r>
            <w:r w:rsidRPr="00B85D62">
              <w:rPr>
                <w:rFonts w:eastAsiaTheme="minorEastAsia" w:cs="Arial"/>
                <w:sz w:val="16"/>
                <w:szCs w:val="16"/>
              </w:rPr>
              <w:t>=1,027)</w:t>
            </w:r>
          </w:p>
          <w:p w14:paraId="580F641B"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38 (2.7%, </w:t>
            </w:r>
            <w:r w:rsidRPr="00B85D62">
              <w:rPr>
                <w:rFonts w:eastAsiaTheme="minorEastAsia" w:cs="Arial"/>
                <w:i/>
                <w:color w:val="00B0F0"/>
                <w:sz w:val="16"/>
                <w:szCs w:val="16"/>
              </w:rPr>
              <w:t>n</w:t>
            </w:r>
            <w:r w:rsidRPr="00B85D62">
              <w:rPr>
                <w:rFonts w:eastAsiaTheme="minorEastAsia" w:cs="Arial"/>
                <w:sz w:val="16"/>
                <w:szCs w:val="16"/>
              </w:rPr>
              <w:t>=1,402)</w:t>
            </w:r>
          </w:p>
          <w:p w14:paraId="61804350"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174 (17.0%, </w:t>
            </w:r>
            <w:r w:rsidRPr="00B85D62">
              <w:rPr>
                <w:rFonts w:eastAsiaTheme="minorEastAsia" w:cs="Arial"/>
                <w:i/>
                <w:color w:val="00B0F0"/>
                <w:sz w:val="16"/>
                <w:szCs w:val="16"/>
              </w:rPr>
              <w:t>n</w:t>
            </w:r>
            <w:r w:rsidRPr="00B85D62">
              <w:rPr>
                <w:rFonts w:eastAsiaTheme="minorEastAsia" w:cs="Arial"/>
                <w:sz w:val="16"/>
                <w:szCs w:val="16"/>
              </w:rPr>
              <w:t>=1,025)</w:t>
            </w:r>
          </w:p>
        </w:tc>
        <w:tc>
          <w:tcPr>
            <w:tcW w:w="0" w:type="auto"/>
            <w:shd w:val="clear" w:color="auto" w:fill="auto"/>
          </w:tcPr>
          <w:p w14:paraId="31AB7599" w14:textId="77777777" w:rsidR="00B85D62" w:rsidRPr="00B85D62" w:rsidRDefault="00B85D62" w:rsidP="0066232B">
            <w:pPr>
              <w:rPr>
                <w:rFonts w:eastAsiaTheme="minorEastAsia" w:cs="Arial"/>
                <w:sz w:val="16"/>
                <w:szCs w:val="16"/>
              </w:rPr>
            </w:pPr>
          </w:p>
          <w:p w14:paraId="6066BA1B"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226 (14.5%, </w:t>
            </w:r>
            <w:r w:rsidRPr="00B85D62">
              <w:rPr>
                <w:rFonts w:eastAsiaTheme="minorEastAsia" w:cs="Arial"/>
                <w:i/>
                <w:color w:val="00B0F0"/>
                <w:sz w:val="16"/>
                <w:szCs w:val="16"/>
              </w:rPr>
              <w:t>n</w:t>
            </w:r>
            <w:r w:rsidRPr="00B85D62">
              <w:rPr>
                <w:rFonts w:eastAsiaTheme="minorEastAsia" w:cs="Arial"/>
                <w:sz w:val="16"/>
                <w:szCs w:val="16"/>
              </w:rPr>
              <w:t>=1,554)</w:t>
            </w:r>
          </w:p>
          <w:p w14:paraId="5FFE75FF"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99 (6.31%, </w:t>
            </w:r>
            <w:r w:rsidRPr="00B85D62">
              <w:rPr>
                <w:rFonts w:eastAsiaTheme="minorEastAsia" w:cs="Arial"/>
                <w:i/>
                <w:color w:val="00B0F0"/>
                <w:sz w:val="16"/>
                <w:szCs w:val="16"/>
              </w:rPr>
              <w:t>n</w:t>
            </w:r>
            <w:r w:rsidRPr="00B85D62">
              <w:rPr>
                <w:rFonts w:eastAsiaTheme="minorEastAsia" w:cs="Arial"/>
                <w:sz w:val="16"/>
                <w:szCs w:val="16"/>
              </w:rPr>
              <w:t>=1,570)</w:t>
            </w:r>
          </w:p>
          <w:p w14:paraId="4001AFD2"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276 (17.6%, </w:t>
            </w:r>
            <w:r w:rsidRPr="00B85D62">
              <w:rPr>
                <w:rFonts w:eastAsiaTheme="minorEastAsia" w:cs="Arial"/>
                <w:i/>
                <w:color w:val="00B0F0"/>
                <w:sz w:val="16"/>
                <w:szCs w:val="16"/>
              </w:rPr>
              <w:t>n</w:t>
            </w:r>
            <w:r w:rsidRPr="00B85D62">
              <w:rPr>
                <w:rFonts w:eastAsiaTheme="minorEastAsia" w:cs="Arial"/>
                <w:sz w:val="16"/>
                <w:szCs w:val="16"/>
              </w:rPr>
              <w:t>=1,570)</w:t>
            </w:r>
          </w:p>
          <w:p w14:paraId="1BC2F29E"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20 (1.3%, </w:t>
            </w:r>
            <w:r w:rsidRPr="00B85D62">
              <w:rPr>
                <w:rFonts w:eastAsiaTheme="minorEastAsia" w:cs="Arial"/>
                <w:i/>
                <w:color w:val="00B0F0"/>
                <w:sz w:val="16"/>
                <w:szCs w:val="16"/>
              </w:rPr>
              <w:t>n</w:t>
            </w:r>
            <w:r w:rsidRPr="00B85D62">
              <w:rPr>
                <w:rFonts w:eastAsiaTheme="minorEastAsia" w:cs="Arial"/>
                <w:sz w:val="16"/>
                <w:szCs w:val="16"/>
              </w:rPr>
              <w:t>=1,558)</w:t>
            </w:r>
          </w:p>
          <w:p w14:paraId="20E25D62"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18 (1.5%, </w:t>
            </w:r>
            <w:r w:rsidRPr="00B85D62">
              <w:rPr>
                <w:rFonts w:eastAsiaTheme="minorEastAsia" w:cs="Arial"/>
                <w:i/>
                <w:color w:val="00B0F0"/>
                <w:sz w:val="16"/>
                <w:szCs w:val="16"/>
              </w:rPr>
              <w:t>n</w:t>
            </w:r>
            <w:r w:rsidRPr="00B85D62">
              <w:rPr>
                <w:rFonts w:eastAsiaTheme="minorEastAsia" w:cs="Arial"/>
                <w:sz w:val="16"/>
                <w:szCs w:val="16"/>
              </w:rPr>
              <w:t>=1,168)</w:t>
            </w:r>
          </w:p>
          <w:p w14:paraId="2725451B"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49 (3.2, </w:t>
            </w:r>
            <w:r w:rsidRPr="00B85D62">
              <w:rPr>
                <w:rFonts w:eastAsiaTheme="minorEastAsia" w:cs="Arial"/>
                <w:i/>
                <w:color w:val="00B0F0"/>
                <w:sz w:val="16"/>
                <w:szCs w:val="16"/>
              </w:rPr>
              <w:t>n</w:t>
            </w:r>
            <w:r w:rsidRPr="00B85D62">
              <w:rPr>
                <w:rFonts w:eastAsiaTheme="minorEastAsia" w:cs="Arial"/>
                <w:sz w:val="16"/>
                <w:szCs w:val="16"/>
              </w:rPr>
              <w:t>=1,556)</w:t>
            </w:r>
          </w:p>
          <w:p w14:paraId="5BD8E1BE"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96 (8.3%, </w:t>
            </w:r>
            <w:r w:rsidRPr="00B85D62">
              <w:rPr>
                <w:rFonts w:eastAsiaTheme="minorEastAsia" w:cs="Arial"/>
                <w:i/>
                <w:color w:val="00B0F0"/>
                <w:sz w:val="16"/>
                <w:szCs w:val="16"/>
              </w:rPr>
              <w:t>n</w:t>
            </w:r>
            <w:r w:rsidRPr="00B85D62">
              <w:rPr>
                <w:rFonts w:eastAsiaTheme="minorEastAsia" w:cs="Arial"/>
                <w:sz w:val="16"/>
                <w:szCs w:val="16"/>
              </w:rPr>
              <w:t>=1,161)</w:t>
            </w:r>
          </w:p>
        </w:tc>
        <w:tc>
          <w:tcPr>
            <w:tcW w:w="0" w:type="auto"/>
            <w:shd w:val="clear" w:color="auto" w:fill="auto"/>
          </w:tcPr>
          <w:p w14:paraId="19CB2C2D" w14:textId="77777777" w:rsidR="00B85D62" w:rsidRPr="00B85D62" w:rsidRDefault="00B85D62" w:rsidP="0066232B">
            <w:pPr>
              <w:rPr>
                <w:rFonts w:eastAsiaTheme="minorEastAsia" w:cs="Arial"/>
                <w:sz w:val="16"/>
                <w:szCs w:val="16"/>
              </w:rPr>
            </w:pPr>
          </w:p>
          <w:p w14:paraId="36635BB7" w14:textId="77777777" w:rsidR="00201D4F" w:rsidRPr="00B85D62" w:rsidRDefault="00201D4F" w:rsidP="0066232B">
            <w:pPr>
              <w:rPr>
                <w:rFonts w:eastAsiaTheme="minorEastAsia" w:cs="Arial"/>
                <w:sz w:val="16"/>
                <w:szCs w:val="16"/>
              </w:rPr>
            </w:pPr>
            <w:r w:rsidRPr="00B85D62">
              <w:rPr>
                <w:rFonts w:eastAsiaTheme="minorEastAsia" w:cs="Arial"/>
                <w:sz w:val="16"/>
                <w:szCs w:val="16"/>
              </w:rPr>
              <w:t>0.091</w:t>
            </w:r>
          </w:p>
          <w:p w14:paraId="1CC25446" w14:textId="4D76A3E9" w:rsidR="00201D4F" w:rsidRPr="00B85D62" w:rsidRDefault="00B85D62" w:rsidP="0066232B">
            <w:pPr>
              <w:rPr>
                <w:rFonts w:eastAsiaTheme="minorEastAsia" w:cs="Arial"/>
                <w:sz w:val="16"/>
                <w:szCs w:val="16"/>
              </w:rPr>
            </w:pPr>
            <w:r w:rsidRPr="00B85D62">
              <w:rPr>
                <w:rFonts w:eastAsiaTheme="minorEastAsia" w:cs="Arial"/>
                <w:color w:val="00B0F0"/>
                <w:sz w:val="16"/>
                <w:szCs w:val="16"/>
              </w:rPr>
              <w:t>&lt;</w:t>
            </w:r>
            <w:r w:rsidRPr="00B85D62">
              <w:rPr>
                <w:rFonts w:eastAsiaTheme="minorEastAsia" w:cs="Arial"/>
                <w:color w:val="00B0F0"/>
                <w:sz w:val="16"/>
                <w:szCs w:val="16"/>
              </w:rPr>
              <w:t> </w:t>
            </w:r>
            <w:r w:rsidRPr="00B85D62">
              <w:rPr>
                <w:rFonts w:eastAsiaTheme="minorEastAsia" w:cs="Arial"/>
                <w:color w:val="00B0F0"/>
                <w:sz w:val="16"/>
                <w:szCs w:val="16"/>
              </w:rPr>
              <w:t>0</w:t>
            </w:r>
            <w:r w:rsidR="00201D4F" w:rsidRPr="00B85D62">
              <w:rPr>
                <w:rFonts w:eastAsiaTheme="minorEastAsia" w:cs="Arial"/>
                <w:sz w:val="16"/>
                <w:szCs w:val="16"/>
              </w:rPr>
              <w:t>.0001</w:t>
            </w:r>
          </w:p>
          <w:p w14:paraId="6627BE45" w14:textId="7172D340" w:rsidR="00201D4F" w:rsidRPr="00B85D62" w:rsidRDefault="00B85D62" w:rsidP="0066232B">
            <w:pPr>
              <w:rPr>
                <w:rFonts w:eastAsiaTheme="minorEastAsia" w:cs="Arial"/>
                <w:sz w:val="16"/>
                <w:szCs w:val="16"/>
              </w:rPr>
            </w:pPr>
            <w:r w:rsidRPr="00B85D62">
              <w:rPr>
                <w:rFonts w:eastAsiaTheme="minorEastAsia" w:cs="Arial"/>
                <w:color w:val="00B0F0"/>
                <w:sz w:val="16"/>
                <w:szCs w:val="16"/>
              </w:rPr>
              <w:t>&lt;</w:t>
            </w:r>
            <w:r w:rsidRPr="00B85D62">
              <w:rPr>
                <w:rFonts w:eastAsiaTheme="minorEastAsia" w:cs="Arial"/>
                <w:color w:val="00B0F0"/>
                <w:sz w:val="16"/>
                <w:szCs w:val="16"/>
              </w:rPr>
              <w:t> </w:t>
            </w:r>
            <w:r w:rsidRPr="00B85D62">
              <w:rPr>
                <w:rFonts w:eastAsiaTheme="minorEastAsia" w:cs="Arial"/>
                <w:color w:val="00B0F0"/>
                <w:sz w:val="16"/>
                <w:szCs w:val="16"/>
              </w:rPr>
              <w:t>0</w:t>
            </w:r>
            <w:r w:rsidR="00201D4F" w:rsidRPr="00B85D62">
              <w:rPr>
                <w:rFonts w:eastAsiaTheme="minorEastAsia" w:cs="Arial"/>
                <w:sz w:val="16"/>
                <w:szCs w:val="16"/>
              </w:rPr>
              <w:t>.0001</w:t>
            </w:r>
          </w:p>
          <w:p w14:paraId="1DBB49CA" w14:textId="77777777" w:rsidR="00201D4F" w:rsidRPr="00B85D62" w:rsidRDefault="00201D4F" w:rsidP="0066232B">
            <w:pPr>
              <w:rPr>
                <w:rFonts w:eastAsiaTheme="minorEastAsia" w:cs="Arial"/>
                <w:sz w:val="16"/>
                <w:szCs w:val="16"/>
              </w:rPr>
            </w:pPr>
            <w:r w:rsidRPr="00B85D62">
              <w:rPr>
                <w:rFonts w:eastAsiaTheme="minorEastAsia" w:cs="Arial"/>
                <w:sz w:val="16"/>
                <w:szCs w:val="16"/>
              </w:rPr>
              <w:t>0.173</w:t>
            </w:r>
          </w:p>
          <w:p w14:paraId="350A935D" w14:textId="77777777" w:rsidR="00201D4F" w:rsidRPr="00B85D62" w:rsidRDefault="00201D4F" w:rsidP="0066232B">
            <w:pPr>
              <w:rPr>
                <w:rFonts w:eastAsiaTheme="minorEastAsia" w:cs="Arial"/>
                <w:sz w:val="16"/>
                <w:szCs w:val="16"/>
              </w:rPr>
            </w:pPr>
            <w:r w:rsidRPr="00B85D62">
              <w:rPr>
                <w:rFonts w:eastAsiaTheme="minorEastAsia" w:cs="Arial"/>
                <w:sz w:val="16"/>
                <w:szCs w:val="16"/>
              </w:rPr>
              <w:t>0.254</w:t>
            </w:r>
          </w:p>
          <w:p w14:paraId="71C42D79" w14:textId="77777777" w:rsidR="00201D4F" w:rsidRPr="00B85D62" w:rsidRDefault="00201D4F" w:rsidP="0066232B">
            <w:pPr>
              <w:rPr>
                <w:rFonts w:eastAsiaTheme="minorEastAsia" w:cs="Arial"/>
                <w:sz w:val="16"/>
                <w:szCs w:val="16"/>
              </w:rPr>
            </w:pPr>
            <w:r w:rsidRPr="00B85D62">
              <w:rPr>
                <w:rFonts w:eastAsiaTheme="minorEastAsia" w:cs="Arial"/>
                <w:sz w:val="16"/>
                <w:szCs w:val="16"/>
              </w:rPr>
              <w:t>0.790</w:t>
            </w:r>
          </w:p>
          <w:p w14:paraId="0E11813B" w14:textId="67431C78" w:rsidR="00201D4F" w:rsidRPr="00B85D62" w:rsidRDefault="00B85D62" w:rsidP="0066232B">
            <w:pPr>
              <w:rPr>
                <w:rFonts w:eastAsiaTheme="minorEastAsia" w:cs="Arial"/>
                <w:sz w:val="16"/>
                <w:szCs w:val="16"/>
              </w:rPr>
            </w:pPr>
            <w:r w:rsidRPr="00B85D62">
              <w:rPr>
                <w:rFonts w:eastAsiaTheme="minorEastAsia" w:cs="Arial"/>
                <w:color w:val="00B0F0"/>
                <w:sz w:val="16"/>
                <w:szCs w:val="16"/>
              </w:rPr>
              <w:t>&lt;</w:t>
            </w:r>
            <w:r w:rsidRPr="00B85D62">
              <w:rPr>
                <w:rFonts w:eastAsiaTheme="minorEastAsia" w:cs="Arial"/>
                <w:color w:val="00B0F0"/>
                <w:sz w:val="16"/>
                <w:szCs w:val="16"/>
              </w:rPr>
              <w:t> </w:t>
            </w:r>
            <w:r w:rsidRPr="00B85D62">
              <w:rPr>
                <w:rFonts w:eastAsiaTheme="minorEastAsia" w:cs="Arial"/>
                <w:color w:val="00B0F0"/>
                <w:sz w:val="16"/>
                <w:szCs w:val="16"/>
              </w:rPr>
              <w:t>0</w:t>
            </w:r>
            <w:r w:rsidR="00201D4F" w:rsidRPr="00B85D62">
              <w:rPr>
                <w:rFonts w:eastAsiaTheme="minorEastAsia" w:cs="Arial"/>
                <w:sz w:val="16"/>
                <w:szCs w:val="16"/>
              </w:rPr>
              <w:t>.0001</w:t>
            </w:r>
          </w:p>
        </w:tc>
      </w:tr>
      <w:tr w:rsidR="00201D4F" w:rsidRPr="00B85D62" w14:paraId="4BD6A58A" w14:textId="77777777" w:rsidTr="00B85D62">
        <w:trPr>
          <w:cantSplit/>
        </w:trPr>
        <w:tc>
          <w:tcPr>
            <w:tcW w:w="0" w:type="auto"/>
            <w:shd w:val="clear" w:color="auto" w:fill="auto"/>
          </w:tcPr>
          <w:p w14:paraId="5E5A0635"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Age at first MI (years)</w:t>
            </w:r>
          </w:p>
        </w:tc>
        <w:tc>
          <w:tcPr>
            <w:tcW w:w="0" w:type="auto"/>
            <w:shd w:val="clear" w:color="auto" w:fill="auto"/>
          </w:tcPr>
          <w:p w14:paraId="3EAD0BD3" w14:textId="77777777" w:rsidR="00201D4F" w:rsidRPr="00B85D62" w:rsidRDefault="00201D4F" w:rsidP="0066232B">
            <w:pPr>
              <w:rPr>
                <w:rFonts w:eastAsiaTheme="minorEastAsia" w:cs="Arial"/>
                <w:sz w:val="16"/>
                <w:szCs w:val="16"/>
              </w:rPr>
            </w:pPr>
            <w:r w:rsidRPr="00B85D62">
              <w:rPr>
                <w:rFonts w:eastAsiaTheme="minorEastAsia" w:cs="Arial"/>
                <w:sz w:val="16"/>
                <w:szCs w:val="16"/>
              </w:rPr>
              <w:t>median (IQR)</w:t>
            </w:r>
          </w:p>
        </w:tc>
        <w:tc>
          <w:tcPr>
            <w:tcW w:w="0" w:type="auto"/>
            <w:shd w:val="clear" w:color="auto" w:fill="auto"/>
          </w:tcPr>
          <w:p w14:paraId="0FAB7F10" w14:textId="39B2C1E8" w:rsidR="00201D4F" w:rsidRPr="00B85D62" w:rsidRDefault="00201D4F" w:rsidP="0066232B">
            <w:pPr>
              <w:rPr>
                <w:rFonts w:eastAsiaTheme="minorEastAsia" w:cs="Arial"/>
                <w:sz w:val="16"/>
                <w:szCs w:val="16"/>
              </w:rPr>
            </w:pPr>
            <w:r w:rsidRPr="00B85D62">
              <w:rPr>
                <w:rFonts w:eastAsiaTheme="minorEastAsia" w:cs="Arial"/>
                <w:sz w:val="16"/>
                <w:szCs w:val="16"/>
              </w:rPr>
              <w:t>43 (37</w:t>
            </w:r>
            <w:r w:rsidR="00B85D62" w:rsidRPr="00B85D62">
              <w:rPr>
                <w:rFonts w:eastAsiaTheme="minorEastAsia" w:cs="Arial"/>
                <w:color w:val="00B0F0"/>
                <w:sz w:val="16"/>
                <w:szCs w:val="16"/>
              </w:rPr>
              <w:t>–</w:t>
            </w:r>
            <w:r w:rsidR="00B85D62" w:rsidRPr="00B85D62">
              <w:rPr>
                <w:rFonts w:eastAsiaTheme="minorEastAsia" w:cs="Arial"/>
                <w:color w:val="00B0F0"/>
                <w:sz w:val="16"/>
                <w:szCs w:val="16"/>
              </w:rPr>
              <w:t>4</w:t>
            </w:r>
            <w:r w:rsidRPr="00B85D62">
              <w:rPr>
                <w:rFonts w:eastAsiaTheme="minorEastAsia" w:cs="Arial"/>
                <w:sz w:val="16"/>
                <w:szCs w:val="16"/>
              </w:rPr>
              <w:t>9)</w:t>
            </w:r>
          </w:p>
        </w:tc>
        <w:tc>
          <w:tcPr>
            <w:tcW w:w="0" w:type="auto"/>
            <w:shd w:val="clear" w:color="auto" w:fill="auto"/>
          </w:tcPr>
          <w:p w14:paraId="41364162" w14:textId="45C30A62" w:rsidR="00201D4F" w:rsidRPr="00B85D62" w:rsidRDefault="00201D4F" w:rsidP="0066232B">
            <w:pPr>
              <w:rPr>
                <w:rFonts w:eastAsiaTheme="minorEastAsia" w:cs="Arial"/>
                <w:sz w:val="16"/>
                <w:szCs w:val="16"/>
              </w:rPr>
            </w:pPr>
            <w:r w:rsidRPr="00B85D62">
              <w:rPr>
                <w:rFonts w:eastAsiaTheme="minorEastAsia" w:cs="Arial"/>
                <w:sz w:val="16"/>
                <w:szCs w:val="16"/>
              </w:rPr>
              <w:t>51 (44</w:t>
            </w:r>
            <w:r w:rsidR="00B85D62" w:rsidRPr="00B85D62">
              <w:rPr>
                <w:rFonts w:eastAsiaTheme="minorEastAsia" w:cs="Arial"/>
                <w:color w:val="00B0F0"/>
                <w:sz w:val="16"/>
                <w:szCs w:val="16"/>
              </w:rPr>
              <w:t>–</w:t>
            </w:r>
            <w:r w:rsidR="00B85D62" w:rsidRPr="00B85D62">
              <w:rPr>
                <w:rFonts w:eastAsiaTheme="minorEastAsia" w:cs="Arial"/>
                <w:color w:val="00B0F0"/>
                <w:sz w:val="16"/>
                <w:szCs w:val="16"/>
              </w:rPr>
              <w:t>5</w:t>
            </w:r>
            <w:r w:rsidRPr="00B85D62">
              <w:rPr>
                <w:rFonts w:eastAsiaTheme="minorEastAsia" w:cs="Arial"/>
                <w:sz w:val="16"/>
                <w:szCs w:val="16"/>
              </w:rPr>
              <w:t>8.5)</w:t>
            </w:r>
          </w:p>
        </w:tc>
        <w:tc>
          <w:tcPr>
            <w:tcW w:w="0" w:type="auto"/>
            <w:shd w:val="clear" w:color="auto" w:fill="auto"/>
          </w:tcPr>
          <w:p w14:paraId="59772BC2" w14:textId="77777777" w:rsidR="00201D4F" w:rsidRPr="00B85D62" w:rsidRDefault="00201D4F" w:rsidP="0066232B">
            <w:pPr>
              <w:rPr>
                <w:rFonts w:eastAsiaTheme="minorEastAsia" w:cs="Arial"/>
                <w:sz w:val="16"/>
                <w:szCs w:val="16"/>
              </w:rPr>
            </w:pPr>
            <w:r w:rsidRPr="00B85D62">
              <w:rPr>
                <w:rFonts w:eastAsiaTheme="minorEastAsia" w:cs="Arial"/>
                <w:sz w:val="16"/>
                <w:szCs w:val="16"/>
              </w:rPr>
              <w:t>0.0001</w:t>
            </w:r>
          </w:p>
        </w:tc>
      </w:tr>
      <w:tr w:rsidR="00201D4F" w:rsidRPr="00B85D62" w14:paraId="186C2938" w14:textId="77777777" w:rsidTr="00B85D62">
        <w:trPr>
          <w:cantSplit/>
        </w:trPr>
        <w:tc>
          <w:tcPr>
            <w:tcW w:w="0" w:type="auto"/>
            <w:shd w:val="clear" w:color="auto" w:fill="auto"/>
          </w:tcPr>
          <w:p w14:paraId="049986D6"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History of hypertension</w:t>
            </w:r>
          </w:p>
        </w:tc>
        <w:tc>
          <w:tcPr>
            <w:tcW w:w="0" w:type="auto"/>
            <w:shd w:val="clear" w:color="auto" w:fill="auto"/>
          </w:tcPr>
          <w:p w14:paraId="10D68235" w14:textId="77777777" w:rsidR="00201D4F"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 xml:space="preserve"> (%)</w:t>
            </w:r>
          </w:p>
        </w:tc>
        <w:tc>
          <w:tcPr>
            <w:tcW w:w="0" w:type="auto"/>
            <w:shd w:val="clear" w:color="auto" w:fill="auto"/>
          </w:tcPr>
          <w:p w14:paraId="104DE327"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111 (10.9%, </w:t>
            </w:r>
            <w:r w:rsidRPr="00B85D62">
              <w:rPr>
                <w:rFonts w:eastAsiaTheme="minorEastAsia" w:cs="Arial"/>
                <w:i/>
                <w:color w:val="00B0F0"/>
                <w:sz w:val="16"/>
                <w:szCs w:val="16"/>
              </w:rPr>
              <w:t>n</w:t>
            </w:r>
            <w:r w:rsidRPr="00B85D62">
              <w:rPr>
                <w:rFonts w:eastAsiaTheme="minorEastAsia" w:cs="Arial"/>
                <w:sz w:val="16"/>
                <w:szCs w:val="16"/>
              </w:rPr>
              <w:t xml:space="preserve">=1,021) </w:t>
            </w:r>
          </w:p>
        </w:tc>
        <w:tc>
          <w:tcPr>
            <w:tcW w:w="0" w:type="auto"/>
            <w:shd w:val="clear" w:color="auto" w:fill="auto"/>
          </w:tcPr>
          <w:p w14:paraId="171015FA"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196 (16.9%, </w:t>
            </w:r>
            <w:r w:rsidRPr="00B85D62">
              <w:rPr>
                <w:rFonts w:eastAsiaTheme="minorEastAsia" w:cs="Arial"/>
                <w:i/>
                <w:color w:val="00B0F0"/>
                <w:sz w:val="16"/>
                <w:szCs w:val="16"/>
              </w:rPr>
              <w:t>n</w:t>
            </w:r>
            <w:r w:rsidRPr="00B85D62">
              <w:rPr>
                <w:rFonts w:eastAsiaTheme="minorEastAsia" w:cs="Arial"/>
                <w:sz w:val="16"/>
                <w:szCs w:val="16"/>
              </w:rPr>
              <w:t>=1,162)</w:t>
            </w:r>
          </w:p>
        </w:tc>
        <w:tc>
          <w:tcPr>
            <w:tcW w:w="0" w:type="auto"/>
            <w:shd w:val="clear" w:color="auto" w:fill="auto"/>
          </w:tcPr>
          <w:p w14:paraId="5F27E43F" w14:textId="2707FD8E" w:rsidR="00201D4F" w:rsidRPr="00B85D62" w:rsidRDefault="00B85D62" w:rsidP="0066232B">
            <w:pPr>
              <w:rPr>
                <w:rFonts w:eastAsiaTheme="minorEastAsia" w:cs="Arial"/>
                <w:sz w:val="16"/>
                <w:szCs w:val="16"/>
              </w:rPr>
            </w:pPr>
            <w:r w:rsidRPr="00B85D62">
              <w:rPr>
                <w:rFonts w:eastAsiaTheme="minorEastAsia" w:cs="Arial"/>
                <w:color w:val="00B0F0"/>
                <w:sz w:val="16"/>
                <w:szCs w:val="16"/>
              </w:rPr>
              <w:t>&lt;</w:t>
            </w:r>
            <w:r w:rsidRPr="00B85D62">
              <w:rPr>
                <w:rFonts w:eastAsiaTheme="minorEastAsia" w:cs="Arial"/>
                <w:color w:val="00B0F0"/>
                <w:sz w:val="16"/>
                <w:szCs w:val="16"/>
              </w:rPr>
              <w:t> </w:t>
            </w:r>
            <w:r w:rsidRPr="00B85D62">
              <w:rPr>
                <w:rFonts w:eastAsiaTheme="minorEastAsia" w:cs="Arial"/>
                <w:color w:val="00B0F0"/>
                <w:sz w:val="16"/>
                <w:szCs w:val="16"/>
              </w:rPr>
              <w:t>0</w:t>
            </w:r>
            <w:r w:rsidR="00201D4F" w:rsidRPr="00B85D62">
              <w:rPr>
                <w:rFonts w:eastAsiaTheme="minorEastAsia" w:cs="Arial"/>
                <w:sz w:val="16"/>
                <w:szCs w:val="16"/>
              </w:rPr>
              <w:t>.0001</w:t>
            </w:r>
          </w:p>
        </w:tc>
      </w:tr>
      <w:tr w:rsidR="00201D4F" w:rsidRPr="00B85D62" w14:paraId="65543E08" w14:textId="77777777" w:rsidTr="00B85D62">
        <w:trPr>
          <w:cantSplit/>
        </w:trPr>
        <w:tc>
          <w:tcPr>
            <w:tcW w:w="0" w:type="auto"/>
            <w:shd w:val="clear" w:color="auto" w:fill="auto"/>
          </w:tcPr>
          <w:p w14:paraId="08760524" w14:textId="77777777" w:rsidR="00201D4F" w:rsidRPr="00B85D62" w:rsidRDefault="00201D4F" w:rsidP="0066232B">
            <w:pPr>
              <w:rPr>
                <w:rFonts w:eastAsiaTheme="minorEastAsia" w:cs="Arial"/>
                <w:b/>
                <w:bCs/>
                <w:sz w:val="16"/>
                <w:szCs w:val="16"/>
              </w:rPr>
            </w:pPr>
            <w:r w:rsidRPr="00B85D62">
              <w:rPr>
                <w:rFonts w:eastAsiaTheme="minorEastAsia" w:cs="Arial"/>
                <w:b/>
                <w:bCs/>
                <w:sz w:val="16"/>
                <w:szCs w:val="16"/>
              </w:rPr>
              <w:t>History of Diabetes</w:t>
            </w:r>
          </w:p>
        </w:tc>
        <w:tc>
          <w:tcPr>
            <w:tcW w:w="0" w:type="auto"/>
            <w:shd w:val="clear" w:color="auto" w:fill="auto"/>
          </w:tcPr>
          <w:p w14:paraId="32AFE79B" w14:textId="77777777" w:rsidR="00201D4F"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 xml:space="preserve"> (%)</w:t>
            </w:r>
          </w:p>
        </w:tc>
        <w:tc>
          <w:tcPr>
            <w:tcW w:w="0" w:type="auto"/>
            <w:shd w:val="clear" w:color="auto" w:fill="auto"/>
          </w:tcPr>
          <w:p w14:paraId="2155019F"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20 (1.4%, </w:t>
            </w:r>
            <w:r w:rsidRPr="00B85D62">
              <w:rPr>
                <w:rFonts w:eastAsiaTheme="minorEastAsia" w:cs="Arial"/>
                <w:i/>
                <w:color w:val="00B0F0"/>
                <w:sz w:val="16"/>
                <w:szCs w:val="16"/>
              </w:rPr>
              <w:t>n</w:t>
            </w:r>
            <w:r w:rsidRPr="00B85D62">
              <w:rPr>
                <w:rFonts w:eastAsiaTheme="minorEastAsia" w:cs="Arial"/>
                <w:sz w:val="16"/>
                <w:szCs w:val="16"/>
              </w:rPr>
              <w:t>=1,418)</w:t>
            </w:r>
          </w:p>
        </w:tc>
        <w:tc>
          <w:tcPr>
            <w:tcW w:w="0" w:type="auto"/>
            <w:shd w:val="clear" w:color="auto" w:fill="auto"/>
          </w:tcPr>
          <w:p w14:paraId="552C0235"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19 (1.2%, </w:t>
            </w:r>
            <w:r w:rsidRPr="00B85D62">
              <w:rPr>
                <w:rFonts w:eastAsiaTheme="minorEastAsia" w:cs="Arial"/>
                <w:i/>
                <w:color w:val="00B0F0"/>
                <w:sz w:val="16"/>
                <w:szCs w:val="16"/>
              </w:rPr>
              <w:t>n</w:t>
            </w:r>
            <w:r w:rsidRPr="00B85D62">
              <w:rPr>
                <w:rFonts w:eastAsiaTheme="minorEastAsia" w:cs="Arial"/>
                <w:sz w:val="16"/>
                <w:szCs w:val="16"/>
              </w:rPr>
              <w:t>=1,570)</w:t>
            </w:r>
          </w:p>
        </w:tc>
        <w:tc>
          <w:tcPr>
            <w:tcW w:w="0" w:type="auto"/>
            <w:shd w:val="clear" w:color="auto" w:fill="auto"/>
          </w:tcPr>
          <w:p w14:paraId="145D961B" w14:textId="77777777" w:rsidR="00201D4F" w:rsidRPr="00B85D62" w:rsidRDefault="00201D4F" w:rsidP="0066232B">
            <w:pPr>
              <w:rPr>
                <w:rFonts w:eastAsiaTheme="minorEastAsia" w:cs="Arial"/>
                <w:sz w:val="16"/>
                <w:szCs w:val="16"/>
              </w:rPr>
            </w:pPr>
            <w:r w:rsidRPr="00B85D62">
              <w:rPr>
                <w:rFonts w:eastAsiaTheme="minorEastAsia" w:cs="Arial"/>
                <w:sz w:val="16"/>
                <w:szCs w:val="16"/>
              </w:rPr>
              <w:t>0.718</w:t>
            </w:r>
          </w:p>
        </w:tc>
      </w:tr>
      <w:tr w:rsidR="00201D4F" w:rsidRPr="00B85D62" w14:paraId="3B73E2A9" w14:textId="77777777" w:rsidTr="00B85D62">
        <w:trPr>
          <w:cantSplit/>
        </w:trPr>
        <w:tc>
          <w:tcPr>
            <w:tcW w:w="0" w:type="auto"/>
            <w:shd w:val="clear" w:color="auto" w:fill="auto"/>
          </w:tcPr>
          <w:p w14:paraId="69CA34E3" w14:textId="77777777" w:rsidR="00B85D62" w:rsidRPr="00B85D62" w:rsidRDefault="00201D4F" w:rsidP="0066232B">
            <w:pPr>
              <w:rPr>
                <w:rFonts w:eastAsiaTheme="minorEastAsia" w:cs="Arial"/>
                <w:b/>
                <w:bCs/>
                <w:sz w:val="16"/>
                <w:szCs w:val="16"/>
              </w:rPr>
            </w:pPr>
            <w:r w:rsidRPr="00B85D62">
              <w:rPr>
                <w:rFonts w:eastAsiaTheme="minorEastAsia" w:cs="Arial"/>
                <w:b/>
                <w:bCs/>
                <w:sz w:val="16"/>
                <w:szCs w:val="16"/>
              </w:rPr>
              <w:t>Use of other medication</w:t>
            </w:r>
          </w:p>
          <w:p w14:paraId="0B6EB31A" w14:textId="226A79AA" w:rsidR="00201D4F" w:rsidRPr="00B85D62" w:rsidRDefault="00201D4F" w:rsidP="0066232B">
            <w:pPr>
              <w:rPr>
                <w:rFonts w:eastAsiaTheme="minorEastAsia" w:cs="Arial"/>
                <w:sz w:val="16"/>
                <w:szCs w:val="16"/>
              </w:rPr>
            </w:pPr>
            <w:r w:rsidRPr="00B85D62">
              <w:rPr>
                <w:rFonts w:eastAsiaTheme="minorEastAsia" w:cs="Arial"/>
                <w:sz w:val="16"/>
                <w:szCs w:val="16"/>
              </w:rPr>
              <w:t>Beta-blockers</w:t>
            </w:r>
          </w:p>
          <w:p w14:paraId="30D99821" w14:textId="77777777" w:rsidR="00201D4F" w:rsidRPr="00B85D62" w:rsidRDefault="00201D4F" w:rsidP="0066232B">
            <w:pPr>
              <w:rPr>
                <w:rFonts w:eastAsiaTheme="minorEastAsia" w:cs="Arial"/>
                <w:sz w:val="16"/>
                <w:szCs w:val="16"/>
              </w:rPr>
            </w:pPr>
            <w:r w:rsidRPr="00B85D62">
              <w:rPr>
                <w:rFonts w:eastAsiaTheme="minorEastAsia" w:cs="Arial"/>
                <w:sz w:val="16"/>
                <w:szCs w:val="16"/>
              </w:rPr>
              <w:t>Ace-inhibitors</w:t>
            </w:r>
          </w:p>
          <w:p w14:paraId="26ADFFDC" w14:textId="77777777" w:rsidR="00201D4F" w:rsidRPr="00B85D62" w:rsidRDefault="00201D4F" w:rsidP="0066232B">
            <w:pPr>
              <w:rPr>
                <w:rFonts w:eastAsiaTheme="minorEastAsia" w:cs="Arial"/>
                <w:sz w:val="16"/>
                <w:szCs w:val="16"/>
              </w:rPr>
            </w:pPr>
            <w:r w:rsidRPr="00B85D62">
              <w:rPr>
                <w:rFonts w:eastAsiaTheme="minorEastAsia" w:cs="Arial"/>
                <w:sz w:val="16"/>
                <w:szCs w:val="16"/>
              </w:rPr>
              <w:t>Anti-platelet medication</w:t>
            </w:r>
          </w:p>
          <w:p w14:paraId="7C3D548A" w14:textId="77777777" w:rsidR="00201D4F" w:rsidRPr="00B85D62" w:rsidRDefault="00201D4F" w:rsidP="0066232B">
            <w:pPr>
              <w:rPr>
                <w:rFonts w:eastAsiaTheme="minorEastAsia" w:cs="Arial"/>
                <w:sz w:val="16"/>
                <w:szCs w:val="16"/>
              </w:rPr>
            </w:pPr>
            <w:r w:rsidRPr="00B85D62">
              <w:rPr>
                <w:rFonts w:eastAsiaTheme="minorEastAsia" w:cs="Arial"/>
                <w:sz w:val="16"/>
                <w:szCs w:val="16"/>
              </w:rPr>
              <w:t>Anticoagulant medication</w:t>
            </w:r>
          </w:p>
          <w:p w14:paraId="57E1261F" w14:textId="77777777" w:rsidR="00201D4F" w:rsidRPr="00B85D62" w:rsidRDefault="00201D4F" w:rsidP="0066232B">
            <w:pPr>
              <w:rPr>
                <w:rFonts w:eastAsiaTheme="minorEastAsia" w:cs="Arial"/>
                <w:sz w:val="16"/>
                <w:szCs w:val="16"/>
              </w:rPr>
            </w:pPr>
            <w:r w:rsidRPr="00B85D62">
              <w:rPr>
                <w:rFonts w:eastAsiaTheme="minorEastAsia" w:cs="Arial"/>
                <w:sz w:val="16"/>
                <w:szCs w:val="16"/>
              </w:rPr>
              <w:t>Other antihypertensive medication</w:t>
            </w:r>
          </w:p>
        </w:tc>
        <w:tc>
          <w:tcPr>
            <w:tcW w:w="0" w:type="auto"/>
            <w:shd w:val="clear" w:color="auto" w:fill="auto"/>
          </w:tcPr>
          <w:p w14:paraId="0D5BE945" w14:textId="77777777" w:rsidR="00B85D62" w:rsidRPr="00B85D62" w:rsidRDefault="00B85D62" w:rsidP="0066232B">
            <w:pPr>
              <w:rPr>
                <w:rFonts w:eastAsiaTheme="minorEastAsia" w:cs="Arial"/>
                <w:sz w:val="16"/>
                <w:szCs w:val="16"/>
              </w:rPr>
            </w:pPr>
          </w:p>
          <w:p w14:paraId="35B1FFBF" w14:textId="77777777" w:rsidR="00B85D62"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 xml:space="preserve"> (%)</w:t>
            </w:r>
          </w:p>
          <w:p w14:paraId="47CB9F81" w14:textId="7BF30920" w:rsidR="00201D4F" w:rsidRPr="00B85D62" w:rsidRDefault="00201D4F" w:rsidP="0066232B">
            <w:pPr>
              <w:rPr>
                <w:rFonts w:eastAsiaTheme="minorEastAsia" w:cs="Arial"/>
                <w:sz w:val="16"/>
                <w:szCs w:val="16"/>
              </w:rPr>
            </w:pPr>
          </w:p>
        </w:tc>
        <w:tc>
          <w:tcPr>
            <w:tcW w:w="0" w:type="auto"/>
            <w:shd w:val="clear" w:color="auto" w:fill="auto"/>
          </w:tcPr>
          <w:p w14:paraId="0E8CC944" w14:textId="77777777" w:rsidR="00B85D62" w:rsidRPr="00B85D62" w:rsidRDefault="00B85D62" w:rsidP="0066232B">
            <w:pPr>
              <w:rPr>
                <w:rFonts w:eastAsiaTheme="minorEastAsia" w:cs="Arial"/>
                <w:sz w:val="16"/>
                <w:szCs w:val="16"/>
              </w:rPr>
            </w:pPr>
          </w:p>
          <w:p w14:paraId="10C719E0"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117 (11.4%, </w:t>
            </w:r>
            <w:r w:rsidRPr="00B85D62">
              <w:rPr>
                <w:rFonts w:eastAsiaTheme="minorEastAsia" w:cs="Arial"/>
                <w:i/>
                <w:color w:val="00B0F0"/>
                <w:sz w:val="16"/>
                <w:szCs w:val="16"/>
              </w:rPr>
              <w:t>n</w:t>
            </w:r>
            <w:r w:rsidRPr="00B85D62">
              <w:rPr>
                <w:rFonts w:eastAsiaTheme="minorEastAsia" w:cs="Arial"/>
                <w:sz w:val="16"/>
                <w:szCs w:val="16"/>
              </w:rPr>
              <w:t>=1,028)</w:t>
            </w:r>
          </w:p>
          <w:p w14:paraId="41386CBC"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39 (6.6%, </w:t>
            </w:r>
            <w:r w:rsidRPr="00B85D62">
              <w:rPr>
                <w:rFonts w:eastAsiaTheme="minorEastAsia" w:cs="Arial"/>
                <w:i/>
                <w:color w:val="00B0F0"/>
                <w:sz w:val="16"/>
                <w:szCs w:val="16"/>
              </w:rPr>
              <w:t>n</w:t>
            </w:r>
            <w:r w:rsidRPr="00B85D62">
              <w:rPr>
                <w:rFonts w:eastAsiaTheme="minorEastAsia" w:cs="Arial"/>
                <w:sz w:val="16"/>
                <w:szCs w:val="16"/>
              </w:rPr>
              <w:t>=587)</w:t>
            </w:r>
          </w:p>
          <w:p w14:paraId="2CB03147"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257 (18.1%, </w:t>
            </w:r>
            <w:r w:rsidRPr="00B85D62">
              <w:rPr>
                <w:rFonts w:eastAsiaTheme="minorEastAsia" w:cs="Arial"/>
                <w:i/>
                <w:color w:val="00B0F0"/>
                <w:sz w:val="16"/>
                <w:szCs w:val="16"/>
              </w:rPr>
              <w:t>n</w:t>
            </w:r>
            <w:r w:rsidRPr="00B85D62">
              <w:rPr>
                <w:rFonts w:eastAsiaTheme="minorEastAsia" w:cs="Arial"/>
                <w:sz w:val="16"/>
                <w:szCs w:val="16"/>
              </w:rPr>
              <w:t>=1,418)</w:t>
            </w:r>
          </w:p>
          <w:p w14:paraId="7E5F477B"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9 (1.5%, </w:t>
            </w:r>
            <w:r w:rsidRPr="00B85D62">
              <w:rPr>
                <w:rFonts w:eastAsiaTheme="minorEastAsia" w:cs="Arial"/>
                <w:i/>
                <w:color w:val="00B0F0"/>
                <w:sz w:val="16"/>
                <w:szCs w:val="16"/>
              </w:rPr>
              <w:t>n</w:t>
            </w:r>
            <w:r w:rsidRPr="00B85D62">
              <w:rPr>
                <w:rFonts w:eastAsiaTheme="minorEastAsia" w:cs="Arial"/>
                <w:sz w:val="16"/>
                <w:szCs w:val="16"/>
              </w:rPr>
              <w:t>=587)</w:t>
            </w:r>
          </w:p>
          <w:p w14:paraId="28463FF5"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49 (4.8%, </w:t>
            </w:r>
            <w:r w:rsidRPr="00B85D62">
              <w:rPr>
                <w:rFonts w:eastAsiaTheme="minorEastAsia" w:cs="Arial"/>
                <w:i/>
                <w:color w:val="00B0F0"/>
                <w:sz w:val="16"/>
                <w:szCs w:val="16"/>
              </w:rPr>
              <w:t>n</w:t>
            </w:r>
            <w:r w:rsidRPr="00B85D62">
              <w:rPr>
                <w:rFonts w:eastAsiaTheme="minorEastAsia" w:cs="Arial"/>
                <w:sz w:val="16"/>
                <w:szCs w:val="16"/>
              </w:rPr>
              <w:t>=1,027)</w:t>
            </w:r>
          </w:p>
        </w:tc>
        <w:tc>
          <w:tcPr>
            <w:tcW w:w="0" w:type="auto"/>
            <w:shd w:val="clear" w:color="auto" w:fill="auto"/>
          </w:tcPr>
          <w:p w14:paraId="4A11E090" w14:textId="77777777" w:rsidR="00B85D62" w:rsidRPr="00B85D62" w:rsidRDefault="00B85D62" w:rsidP="0066232B">
            <w:pPr>
              <w:rPr>
                <w:rFonts w:eastAsiaTheme="minorEastAsia" w:cs="Arial"/>
                <w:sz w:val="16"/>
                <w:szCs w:val="16"/>
              </w:rPr>
            </w:pPr>
          </w:p>
          <w:p w14:paraId="5159183F"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148 (12.7%, </w:t>
            </w:r>
            <w:r w:rsidRPr="00B85D62">
              <w:rPr>
                <w:rFonts w:eastAsiaTheme="minorEastAsia" w:cs="Arial"/>
                <w:i/>
                <w:color w:val="00B0F0"/>
                <w:sz w:val="16"/>
                <w:szCs w:val="16"/>
              </w:rPr>
              <w:t>n</w:t>
            </w:r>
            <w:r w:rsidRPr="00B85D62">
              <w:rPr>
                <w:rFonts w:eastAsiaTheme="minorEastAsia" w:cs="Arial"/>
                <w:sz w:val="16"/>
                <w:szCs w:val="16"/>
              </w:rPr>
              <w:t>=1,168)</w:t>
            </w:r>
          </w:p>
          <w:p w14:paraId="62041575"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54 (7.8%, </w:t>
            </w:r>
            <w:r w:rsidRPr="00B85D62">
              <w:rPr>
                <w:rFonts w:eastAsiaTheme="minorEastAsia" w:cs="Arial"/>
                <w:i/>
                <w:color w:val="00B0F0"/>
                <w:sz w:val="16"/>
                <w:szCs w:val="16"/>
              </w:rPr>
              <w:t>n</w:t>
            </w:r>
            <w:r w:rsidRPr="00B85D62">
              <w:rPr>
                <w:rFonts w:eastAsiaTheme="minorEastAsia" w:cs="Arial"/>
                <w:sz w:val="16"/>
                <w:szCs w:val="16"/>
              </w:rPr>
              <w:t>=697)</w:t>
            </w:r>
          </w:p>
          <w:p w14:paraId="51B80AE9"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234 (14.9%, </w:t>
            </w:r>
            <w:r w:rsidRPr="00B85D62">
              <w:rPr>
                <w:rFonts w:eastAsiaTheme="minorEastAsia" w:cs="Arial"/>
                <w:i/>
                <w:color w:val="00B0F0"/>
                <w:sz w:val="16"/>
                <w:szCs w:val="16"/>
              </w:rPr>
              <w:t>n</w:t>
            </w:r>
            <w:r w:rsidRPr="00B85D62">
              <w:rPr>
                <w:rFonts w:eastAsiaTheme="minorEastAsia" w:cs="Arial"/>
                <w:sz w:val="16"/>
                <w:szCs w:val="16"/>
              </w:rPr>
              <w:t>=1,570)</w:t>
            </w:r>
          </w:p>
          <w:p w14:paraId="1C876B95"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10 (1.4%, </w:t>
            </w:r>
            <w:r w:rsidRPr="00B85D62">
              <w:rPr>
                <w:rFonts w:eastAsiaTheme="minorEastAsia" w:cs="Arial"/>
                <w:i/>
                <w:color w:val="00B0F0"/>
                <w:sz w:val="16"/>
                <w:szCs w:val="16"/>
              </w:rPr>
              <w:t>n</w:t>
            </w:r>
            <w:r w:rsidRPr="00B85D62">
              <w:rPr>
                <w:rFonts w:eastAsiaTheme="minorEastAsia" w:cs="Arial"/>
                <w:sz w:val="16"/>
                <w:szCs w:val="16"/>
              </w:rPr>
              <w:t>=697)</w:t>
            </w:r>
          </w:p>
          <w:p w14:paraId="1236EBED" w14:textId="77777777" w:rsidR="00201D4F" w:rsidRPr="00B85D62" w:rsidRDefault="00201D4F" w:rsidP="0066232B">
            <w:pPr>
              <w:rPr>
                <w:rFonts w:eastAsiaTheme="minorEastAsia" w:cs="Arial"/>
                <w:sz w:val="16"/>
                <w:szCs w:val="16"/>
              </w:rPr>
            </w:pPr>
            <w:r w:rsidRPr="00B85D62">
              <w:rPr>
                <w:rFonts w:eastAsiaTheme="minorEastAsia" w:cs="Arial"/>
                <w:sz w:val="16"/>
                <w:szCs w:val="16"/>
              </w:rPr>
              <w:t xml:space="preserve">74 (6.3%, </w:t>
            </w:r>
            <w:r w:rsidRPr="00B85D62">
              <w:rPr>
                <w:rFonts w:eastAsiaTheme="minorEastAsia" w:cs="Arial"/>
                <w:i/>
                <w:color w:val="00B0F0"/>
                <w:sz w:val="16"/>
                <w:szCs w:val="16"/>
              </w:rPr>
              <w:t>n</w:t>
            </w:r>
            <w:r w:rsidRPr="00B85D62">
              <w:rPr>
                <w:rFonts w:eastAsiaTheme="minorEastAsia" w:cs="Arial"/>
                <w:sz w:val="16"/>
                <w:szCs w:val="16"/>
              </w:rPr>
              <w:t>=1,168)</w:t>
            </w:r>
          </w:p>
        </w:tc>
        <w:tc>
          <w:tcPr>
            <w:tcW w:w="0" w:type="auto"/>
            <w:shd w:val="clear" w:color="auto" w:fill="auto"/>
          </w:tcPr>
          <w:p w14:paraId="2AE0CA42" w14:textId="77777777" w:rsidR="00B85D62" w:rsidRPr="00B85D62" w:rsidRDefault="00B85D62" w:rsidP="0066232B">
            <w:pPr>
              <w:rPr>
                <w:rFonts w:eastAsiaTheme="minorEastAsia" w:cs="Arial"/>
                <w:sz w:val="16"/>
                <w:szCs w:val="16"/>
              </w:rPr>
            </w:pPr>
          </w:p>
          <w:p w14:paraId="555C69CF" w14:textId="77777777" w:rsidR="00201D4F" w:rsidRPr="00B85D62" w:rsidRDefault="00201D4F" w:rsidP="0066232B">
            <w:pPr>
              <w:rPr>
                <w:rFonts w:eastAsiaTheme="minorEastAsia" w:cs="Arial"/>
                <w:sz w:val="16"/>
                <w:szCs w:val="16"/>
              </w:rPr>
            </w:pPr>
            <w:r w:rsidRPr="00B85D62">
              <w:rPr>
                <w:rFonts w:eastAsiaTheme="minorEastAsia" w:cs="Arial"/>
                <w:sz w:val="16"/>
                <w:szCs w:val="16"/>
              </w:rPr>
              <w:t>0.644</w:t>
            </w:r>
          </w:p>
          <w:p w14:paraId="55541306" w14:textId="77777777" w:rsidR="00201D4F" w:rsidRPr="00B85D62" w:rsidRDefault="00201D4F" w:rsidP="0066232B">
            <w:pPr>
              <w:rPr>
                <w:rFonts w:eastAsiaTheme="minorEastAsia" w:cs="Arial"/>
                <w:sz w:val="16"/>
                <w:szCs w:val="16"/>
              </w:rPr>
            </w:pPr>
            <w:r w:rsidRPr="00B85D62">
              <w:rPr>
                <w:rFonts w:eastAsiaTheme="minorEastAsia" w:cs="Arial"/>
                <w:sz w:val="16"/>
                <w:szCs w:val="16"/>
              </w:rPr>
              <w:t>0.610</w:t>
            </w:r>
          </w:p>
          <w:p w14:paraId="156AAB71" w14:textId="77777777" w:rsidR="00201D4F" w:rsidRPr="00B85D62" w:rsidRDefault="00201D4F" w:rsidP="0066232B">
            <w:pPr>
              <w:rPr>
                <w:rFonts w:eastAsiaTheme="minorEastAsia" w:cs="Arial"/>
                <w:sz w:val="16"/>
                <w:szCs w:val="16"/>
              </w:rPr>
            </w:pPr>
            <w:r w:rsidRPr="00B85D62">
              <w:rPr>
                <w:rFonts w:eastAsiaTheme="minorEastAsia" w:cs="Arial"/>
                <w:sz w:val="16"/>
                <w:szCs w:val="16"/>
              </w:rPr>
              <w:t>0.010</w:t>
            </w:r>
          </w:p>
          <w:p w14:paraId="383FD4DC" w14:textId="77777777" w:rsidR="00201D4F" w:rsidRPr="00B85D62" w:rsidRDefault="00201D4F" w:rsidP="0066232B">
            <w:pPr>
              <w:rPr>
                <w:rFonts w:eastAsiaTheme="minorEastAsia" w:cs="Arial"/>
                <w:sz w:val="16"/>
                <w:szCs w:val="16"/>
              </w:rPr>
            </w:pPr>
            <w:r w:rsidRPr="00B85D62">
              <w:rPr>
                <w:rFonts w:eastAsiaTheme="minorEastAsia" w:cs="Arial"/>
                <w:sz w:val="16"/>
                <w:szCs w:val="16"/>
              </w:rPr>
              <w:t>0.830</w:t>
            </w:r>
          </w:p>
          <w:p w14:paraId="03D5C85A" w14:textId="77777777" w:rsidR="00201D4F" w:rsidRPr="00B85D62" w:rsidRDefault="00201D4F" w:rsidP="0066232B">
            <w:pPr>
              <w:rPr>
                <w:rFonts w:eastAsiaTheme="minorEastAsia" w:cs="Arial"/>
                <w:sz w:val="16"/>
                <w:szCs w:val="16"/>
              </w:rPr>
            </w:pPr>
            <w:r w:rsidRPr="00B85D62">
              <w:rPr>
                <w:rFonts w:eastAsiaTheme="minorEastAsia" w:cs="Arial"/>
                <w:sz w:val="16"/>
                <w:szCs w:val="16"/>
              </w:rPr>
              <w:t>0.274</w:t>
            </w:r>
          </w:p>
        </w:tc>
      </w:tr>
      <w:tr w:rsidR="00201D4F" w:rsidRPr="00B85D62" w14:paraId="2C882CEC" w14:textId="77777777" w:rsidTr="00B85D62">
        <w:trPr>
          <w:cantSplit/>
        </w:trPr>
        <w:tc>
          <w:tcPr>
            <w:tcW w:w="0" w:type="auto"/>
            <w:shd w:val="clear" w:color="auto" w:fill="auto"/>
          </w:tcPr>
          <w:p w14:paraId="2454B22F" w14:textId="77777777" w:rsidR="00B85D62" w:rsidRPr="00B85D62" w:rsidRDefault="00201D4F" w:rsidP="0066232B">
            <w:pPr>
              <w:rPr>
                <w:rFonts w:eastAsiaTheme="minorEastAsia" w:cs="Arial"/>
                <w:b/>
                <w:bCs/>
                <w:sz w:val="16"/>
                <w:szCs w:val="16"/>
              </w:rPr>
            </w:pPr>
            <w:r w:rsidRPr="00B85D62">
              <w:rPr>
                <w:rFonts w:eastAsiaTheme="minorEastAsia" w:cs="Arial"/>
                <w:b/>
                <w:bCs/>
                <w:sz w:val="16"/>
                <w:szCs w:val="16"/>
              </w:rPr>
              <w:t>Type of FH mutation</w:t>
            </w:r>
          </w:p>
          <w:p w14:paraId="7DB7AC1C" w14:textId="0CBC0691" w:rsidR="00201D4F" w:rsidRPr="00B85D62" w:rsidRDefault="00201D4F" w:rsidP="0066232B">
            <w:pPr>
              <w:rPr>
                <w:rFonts w:eastAsiaTheme="minorEastAsia" w:cs="Arial"/>
                <w:sz w:val="16"/>
                <w:szCs w:val="16"/>
              </w:rPr>
            </w:pPr>
            <w:r w:rsidRPr="00B85D62">
              <w:rPr>
                <w:rFonts w:eastAsiaTheme="minorEastAsia" w:cs="Arial"/>
                <w:sz w:val="16"/>
                <w:szCs w:val="16"/>
              </w:rPr>
              <w:t>LDL-receptor</w:t>
            </w:r>
          </w:p>
          <w:p w14:paraId="0A52B0DA" w14:textId="77777777" w:rsidR="00201D4F" w:rsidRPr="00B85D62" w:rsidRDefault="00201D4F" w:rsidP="0066232B">
            <w:pPr>
              <w:rPr>
                <w:rFonts w:eastAsiaTheme="minorEastAsia" w:cs="Arial"/>
                <w:sz w:val="16"/>
                <w:szCs w:val="16"/>
              </w:rPr>
            </w:pPr>
            <w:r w:rsidRPr="00B85D62">
              <w:rPr>
                <w:rFonts w:eastAsiaTheme="minorEastAsia" w:cs="Arial"/>
                <w:sz w:val="16"/>
                <w:szCs w:val="16"/>
              </w:rPr>
              <w:t>Apo-B</w:t>
            </w:r>
          </w:p>
          <w:p w14:paraId="21574648" w14:textId="77777777" w:rsidR="00201D4F" w:rsidRPr="00B85D62" w:rsidRDefault="00201D4F" w:rsidP="0066232B">
            <w:pPr>
              <w:rPr>
                <w:rFonts w:eastAsiaTheme="minorEastAsia" w:cs="Arial"/>
                <w:sz w:val="16"/>
                <w:szCs w:val="16"/>
              </w:rPr>
            </w:pPr>
            <w:r w:rsidRPr="00B85D62">
              <w:rPr>
                <w:rFonts w:eastAsiaTheme="minorEastAsia" w:cs="Arial"/>
                <w:sz w:val="16"/>
                <w:szCs w:val="16"/>
              </w:rPr>
              <w:t>PCSK9</w:t>
            </w:r>
          </w:p>
          <w:p w14:paraId="2C2FFCA4" w14:textId="77777777" w:rsidR="00201D4F" w:rsidRPr="00B85D62" w:rsidRDefault="00201D4F" w:rsidP="0066232B">
            <w:pPr>
              <w:rPr>
                <w:rFonts w:eastAsiaTheme="minorEastAsia" w:cs="Arial"/>
                <w:sz w:val="16"/>
                <w:szCs w:val="16"/>
              </w:rPr>
            </w:pPr>
            <w:r w:rsidRPr="00B85D62">
              <w:rPr>
                <w:rFonts w:eastAsiaTheme="minorEastAsia" w:cs="Arial"/>
                <w:sz w:val="16"/>
                <w:szCs w:val="16"/>
              </w:rPr>
              <w:t>None</w:t>
            </w:r>
          </w:p>
        </w:tc>
        <w:tc>
          <w:tcPr>
            <w:tcW w:w="0" w:type="auto"/>
            <w:shd w:val="clear" w:color="auto" w:fill="auto"/>
          </w:tcPr>
          <w:p w14:paraId="60446FD1" w14:textId="77777777" w:rsidR="00B85D62" w:rsidRPr="00B85D62" w:rsidRDefault="00B85D62" w:rsidP="0066232B">
            <w:pPr>
              <w:rPr>
                <w:rFonts w:eastAsiaTheme="minorEastAsia" w:cs="Arial"/>
                <w:sz w:val="16"/>
                <w:szCs w:val="16"/>
              </w:rPr>
            </w:pPr>
          </w:p>
          <w:p w14:paraId="28B90E40" w14:textId="77777777" w:rsidR="00201D4F"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 xml:space="preserve"> (%)</w:t>
            </w:r>
          </w:p>
        </w:tc>
        <w:tc>
          <w:tcPr>
            <w:tcW w:w="0" w:type="auto"/>
            <w:shd w:val="clear" w:color="auto" w:fill="auto"/>
          </w:tcPr>
          <w:p w14:paraId="5E6483CA" w14:textId="77777777" w:rsidR="00201D4F"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=295</w:t>
            </w:r>
          </w:p>
          <w:p w14:paraId="5120D4B8" w14:textId="77777777" w:rsidR="00201D4F" w:rsidRPr="00B85D62" w:rsidRDefault="00201D4F" w:rsidP="0066232B">
            <w:pPr>
              <w:rPr>
                <w:rFonts w:eastAsiaTheme="minorEastAsia" w:cs="Arial"/>
                <w:sz w:val="16"/>
                <w:szCs w:val="16"/>
              </w:rPr>
            </w:pPr>
            <w:r w:rsidRPr="00B85D62">
              <w:rPr>
                <w:rFonts w:eastAsiaTheme="minorEastAsia" w:cs="Arial"/>
                <w:sz w:val="16"/>
                <w:szCs w:val="16"/>
              </w:rPr>
              <w:t>178 (60.3%)</w:t>
            </w:r>
          </w:p>
          <w:p w14:paraId="738D65BE" w14:textId="77777777" w:rsidR="00201D4F" w:rsidRPr="00B85D62" w:rsidRDefault="00201D4F" w:rsidP="0066232B">
            <w:pPr>
              <w:rPr>
                <w:rFonts w:eastAsiaTheme="minorEastAsia" w:cs="Arial"/>
                <w:sz w:val="16"/>
                <w:szCs w:val="16"/>
              </w:rPr>
            </w:pPr>
            <w:r w:rsidRPr="00B85D62">
              <w:rPr>
                <w:rFonts w:eastAsiaTheme="minorEastAsia" w:cs="Arial"/>
                <w:sz w:val="16"/>
                <w:szCs w:val="16"/>
              </w:rPr>
              <w:t>10 (3.4%)</w:t>
            </w:r>
          </w:p>
          <w:p w14:paraId="12850E21" w14:textId="77777777" w:rsidR="00201D4F" w:rsidRPr="00B85D62" w:rsidRDefault="00201D4F" w:rsidP="0066232B">
            <w:pPr>
              <w:rPr>
                <w:rFonts w:eastAsiaTheme="minorEastAsia" w:cs="Arial"/>
                <w:sz w:val="16"/>
                <w:szCs w:val="16"/>
              </w:rPr>
            </w:pPr>
            <w:r w:rsidRPr="00B85D62">
              <w:rPr>
                <w:rFonts w:eastAsiaTheme="minorEastAsia" w:cs="Arial"/>
                <w:sz w:val="16"/>
                <w:szCs w:val="16"/>
              </w:rPr>
              <w:t>4 (1.4%)</w:t>
            </w:r>
          </w:p>
          <w:p w14:paraId="157BD53E" w14:textId="77777777" w:rsidR="00201D4F" w:rsidRPr="00B85D62" w:rsidRDefault="00201D4F" w:rsidP="0066232B">
            <w:pPr>
              <w:rPr>
                <w:rFonts w:eastAsiaTheme="minorEastAsia" w:cs="Arial"/>
                <w:sz w:val="16"/>
                <w:szCs w:val="16"/>
              </w:rPr>
            </w:pPr>
            <w:r w:rsidRPr="00B85D62">
              <w:rPr>
                <w:rFonts w:eastAsiaTheme="minorEastAsia" w:cs="Arial"/>
                <w:sz w:val="16"/>
                <w:szCs w:val="16"/>
              </w:rPr>
              <w:t>103 (34.9%)</w:t>
            </w:r>
          </w:p>
        </w:tc>
        <w:tc>
          <w:tcPr>
            <w:tcW w:w="0" w:type="auto"/>
            <w:shd w:val="clear" w:color="auto" w:fill="auto"/>
          </w:tcPr>
          <w:p w14:paraId="4AB0696A" w14:textId="77777777" w:rsidR="00201D4F" w:rsidRPr="00B85D62" w:rsidRDefault="00201D4F" w:rsidP="0066232B">
            <w:pPr>
              <w:rPr>
                <w:rFonts w:eastAsiaTheme="minorEastAsia" w:cs="Arial"/>
                <w:sz w:val="16"/>
                <w:szCs w:val="16"/>
              </w:rPr>
            </w:pPr>
            <w:r w:rsidRPr="00B85D62">
              <w:rPr>
                <w:rFonts w:eastAsiaTheme="minorEastAsia" w:cs="Arial"/>
                <w:i/>
                <w:color w:val="00B0F0"/>
                <w:sz w:val="16"/>
                <w:szCs w:val="16"/>
              </w:rPr>
              <w:t>n</w:t>
            </w:r>
            <w:r w:rsidRPr="00B85D62">
              <w:rPr>
                <w:rFonts w:eastAsiaTheme="minorEastAsia" w:cs="Arial"/>
                <w:sz w:val="16"/>
                <w:szCs w:val="16"/>
              </w:rPr>
              <w:t>=304</w:t>
            </w:r>
          </w:p>
          <w:p w14:paraId="6CC8E2B1" w14:textId="77777777" w:rsidR="00201D4F" w:rsidRPr="00B85D62" w:rsidRDefault="00201D4F" w:rsidP="0066232B">
            <w:pPr>
              <w:rPr>
                <w:rFonts w:eastAsiaTheme="minorEastAsia" w:cs="Arial"/>
                <w:sz w:val="16"/>
                <w:szCs w:val="16"/>
              </w:rPr>
            </w:pPr>
            <w:r w:rsidRPr="00B85D62">
              <w:rPr>
                <w:rFonts w:eastAsiaTheme="minorEastAsia" w:cs="Arial"/>
                <w:sz w:val="16"/>
                <w:szCs w:val="16"/>
              </w:rPr>
              <w:t>193 (63.5%)</w:t>
            </w:r>
          </w:p>
          <w:p w14:paraId="71ADA2AC" w14:textId="77777777" w:rsidR="00201D4F" w:rsidRPr="00B85D62" w:rsidRDefault="00201D4F" w:rsidP="0066232B">
            <w:pPr>
              <w:rPr>
                <w:rFonts w:eastAsiaTheme="minorEastAsia" w:cs="Arial"/>
                <w:sz w:val="16"/>
                <w:szCs w:val="16"/>
              </w:rPr>
            </w:pPr>
            <w:r w:rsidRPr="00B85D62">
              <w:rPr>
                <w:rFonts w:eastAsiaTheme="minorEastAsia" w:cs="Arial"/>
                <w:sz w:val="16"/>
                <w:szCs w:val="16"/>
              </w:rPr>
              <w:t>13 (4.3%)</w:t>
            </w:r>
          </w:p>
          <w:p w14:paraId="2D46A2C9" w14:textId="77777777" w:rsidR="00201D4F" w:rsidRPr="00B85D62" w:rsidRDefault="00201D4F" w:rsidP="0066232B">
            <w:pPr>
              <w:rPr>
                <w:rFonts w:eastAsiaTheme="minorEastAsia" w:cs="Arial"/>
                <w:sz w:val="16"/>
                <w:szCs w:val="16"/>
              </w:rPr>
            </w:pPr>
            <w:r w:rsidRPr="00B85D62">
              <w:rPr>
                <w:rFonts w:eastAsiaTheme="minorEastAsia" w:cs="Arial"/>
                <w:sz w:val="16"/>
                <w:szCs w:val="16"/>
              </w:rPr>
              <w:t>1 (0.3%)</w:t>
            </w:r>
          </w:p>
          <w:p w14:paraId="09DFCE11" w14:textId="77777777" w:rsidR="00201D4F" w:rsidRPr="00B85D62" w:rsidRDefault="00201D4F" w:rsidP="0066232B">
            <w:pPr>
              <w:rPr>
                <w:rFonts w:eastAsiaTheme="minorEastAsia" w:cs="Arial"/>
                <w:sz w:val="16"/>
                <w:szCs w:val="16"/>
              </w:rPr>
            </w:pPr>
            <w:r w:rsidRPr="00B85D62">
              <w:rPr>
                <w:rFonts w:eastAsiaTheme="minorEastAsia" w:cs="Arial"/>
                <w:sz w:val="16"/>
                <w:szCs w:val="16"/>
              </w:rPr>
              <w:t>97 (31.9%)</w:t>
            </w:r>
          </w:p>
        </w:tc>
        <w:tc>
          <w:tcPr>
            <w:tcW w:w="0" w:type="auto"/>
            <w:shd w:val="clear" w:color="auto" w:fill="auto"/>
          </w:tcPr>
          <w:p w14:paraId="3C828E5A" w14:textId="77777777" w:rsidR="00B85D62" w:rsidRPr="00B85D62" w:rsidRDefault="00B85D62" w:rsidP="0066232B">
            <w:pPr>
              <w:rPr>
                <w:rFonts w:eastAsiaTheme="minorEastAsia" w:cs="Arial"/>
                <w:sz w:val="16"/>
                <w:szCs w:val="16"/>
              </w:rPr>
            </w:pPr>
          </w:p>
          <w:p w14:paraId="61C70E9B" w14:textId="77777777" w:rsidR="00201D4F" w:rsidRPr="00B85D62" w:rsidRDefault="00201D4F" w:rsidP="0066232B">
            <w:pPr>
              <w:rPr>
                <w:rFonts w:eastAsiaTheme="minorEastAsia" w:cs="Arial"/>
                <w:sz w:val="16"/>
                <w:szCs w:val="16"/>
              </w:rPr>
            </w:pPr>
            <w:r w:rsidRPr="00B85D62">
              <w:rPr>
                <w:rFonts w:eastAsiaTheme="minorEastAsia" w:cs="Arial"/>
                <w:sz w:val="16"/>
                <w:szCs w:val="16"/>
              </w:rPr>
              <w:t>0.416</w:t>
            </w:r>
          </w:p>
        </w:tc>
      </w:tr>
    </w:tbl>
    <w:p w14:paraId="7F3020B0" w14:textId="52AE476E" w:rsidR="00201D4F" w:rsidRPr="00B85D62" w:rsidRDefault="00676920" w:rsidP="0066232B">
      <w:pPr>
        <w:tabs>
          <w:tab w:val="left" w:pos="9071"/>
        </w:tabs>
        <w:rPr>
          <w:rFonts w:eastAsia="Arial" w:cs="Arial"/>
          <w:sz w:val="18"/>
          <w:szCs w:val="18"/>
        </w:rPr>
      </w:pPr>
      <w:r w:rsidRPr="00B85D62">
        <w:rPr>
          <w:rFonts w:cs="Arial"/>
        </w:rPr>
        <w:t>(</w:t>
      </w:r>
      <w:r w:rsidRPr="00B85D62">
        <w:rPr>
          <w:rFonts w:cs="Arial"/>
          <w:i/>
          <w:color w:val="00B0F0"/>
        </w:rPr>
        <w:t>n</w:t>
      </w:r>
      <w:r w:rsidRPr="00B85D62">
        <w:rPr>
          <w:rFonts w:cs="Arial"/>
        </w:rPr>
        <w:t xml:space="preserve">=2,988) </w:t>
      </w:r>
      <w:r w:rsidR="1EF1C9BC" w:rsidRPr="00B85D62">
        <w:rPr>
          <w:rFonts w:eastAsia="Arial" w:cs="Arial"/>
          <w:sz w:val="18"/>
          <w:szCs w:val="18"/>
          <w:vertAlign w:val="superscript"/>
        </w:rPr>
        <w:t>a</w:t>
      </w:r>
      <w:r w:rsidR="1EF1C9BC" w:rsidRPr="00B85D62">
        <w:rPr>
          <w:rFonts w:eastAsia="Arial" w:cs="Arial"/>
          <w:sz w:val="18"/>
          <w:szCs w:val="18"/>
        </w:rPr>
        <w:t xml:space="preserve"> Independent t-test was used for comparison between continuous variables with normal distribution, and </w:t>
      </w:r>
      <w:r w:rsidR="00B85D62" w:rsidRPr="00B85D62">
        <w:rPr>
          <w:rFonts w:eastAsia="Arial" w:cs="Arial"/>
          <w:color w:val="00B0F0"/>
          <w:sz w:val="18"/>
          <w:szCs w:val="18"/>
        </w:rPr>
        <w:t>Mann–Whitney</w:t>
      </w:r>
      <w:r w:rsidR="1EF1C9BC" w:rsidRPr="00B85D62">
        <w:rPr>
          <w:rFonts w:eastAsia="Arial" w:cs="Arial"/>
          <w:sz w:val="18"/>
          <w:szCs w:val="18"/>
        </w:rPr>
        <w:t xml:space="preserve"> U test for variables with non-normal distribution. Tests of significance for categorical variables were derived using</w:t>
      </w:r>
      <w:r w:rsidR="1EF1C9BC" w:rsidRPr="00B85D62">
        <w:rPr>
          <w:rFonts w:eastAsia="Arial" w:cs="Arial"/>
          <w:color w:val="2A2A2A"/>
          <w:sz w:val="18"/>
          <w:szCs w:val="18"/>
        </w:rPr>
        <w:t xml:space="preserve"> the </w:t>
      </w:r>
      <w:r w:rsidR="1EF1C9BC" w:rsidRPr="00B85D62">
        <w:rPr>
          <w:rFonts w:eastAsia="Arial" w:cs="Arial"/>
          <w:sz w:val="18"/>
          <w:szCs w:val="18"/>
        </w:rPr>
        <w:t>Pearson</w:t>
      </w:r>
      <w:r w:rsidR="00B85D62" w:rsidRPr="00B85D62">
        <w:rPr>
          <w:rFonts w:eastAsia="Arial" w:cs="Arial"/>
          <w:sz w:val="18"/>
          <w:szCs w:val="18"/>
        </w:rPr>
        <w:t>’</w:t>
      </w:r>
      <w:r w:rsidR="1EF1C9BC" w:rsidRPr="00B85D62">
        <w:rPr>
          <w:rFonts w:eastAsia="Arial" w:cs="Arial"/>
          <w:sz w:val="18"/>
          <w:szCs w:val="18"/>
        </w:rPr>
        <w:t>s χ</w:t>
      </w:r>
      <w:r w:rsidR="1EF1C9BC" w:rsidRPr="00B85D62">
        <w:rPr>
          <w:rFonts w:eastAsia="Arial" w:cs="Arial"/>
          <w:sz w:val="18"/>
          <w:szCs w:val="18"/>
          <w:vertAlign w:val="superscript"/>
        </w:rPr>
        <w:t>2</w:t>
      </w:r>
      <w:r w:rsidR="1EF1C9BC" w:rsidRPr="00B85D62">
        <w:rPr>
          <w:rFonts w:eastAsia="Arial" w:cs="Arial"/>
          <w:sz w:val="18"/>
          <w:szCs w:val="18"/>
        </w:rPr>
        <w:t xml:space="preserve"> test.</w:t>
      </w:r>
    </w:p>
    <w:p w14:paraId="746300A9" w14:textId="77777777" w:rsidR="00201D4F" w:rsidRPr="00B85D62" w:rsidRDefault="62E16D3F" w:rsidP="006C7E71">
      <w:pPr>
        <w:pStyle w:val="Heading4"/>
        <w:numPr>
          <w:ilvl w:val="0"/>
          <w:numId w:val="0"/>
        </w:numPr>
        <w:rPr>
          <w:rFonts w:eastAsia="Yu Gothic Light"/>
          <w:bCs/>
        </w:rPr>
      </w:pPr>
      <w:bookmarkStart w:id="146" w:name="_Toc61283528"/>
      <w:bookmarkStart w:id="147" w:name="_Toc76461064"/>
      <w:r w:rsidRPr="00B85D62">
        <w:t>Cardiovascular disease outcomes</w:t>
      </w:r>
      <w:bookmarkEnd w:id="146"/>
      <w:bookmarkEnd w:id="147"/>
    </w:p>
    <w:p w14:paraId="3152D206" w14:textId="21DF236F" w:rsidR="00B85D62" w:rsidRPr="00B85D62" w:rsidRDefault="1EF1C9BC" w:rsidP="0066232B">
      <w:pPr>
        <w:rPr>
          <w:rFonts w:eastAsia="Calibri" w:cs="Arial"/>
        </w:rPr>
      </w:pPr>
      <w:r w:rsidRPr="00B85D62">
        <w:rPr>
          <w:rFonts w:eastAsia="Calibri" w:cs="Arial"/>
        </w:rPr>
        <w:t>Admitted patient care records from HES were available from April 1997 to March 2018. The median follow-up for patients in the SB register was 18.1 years (IQR 11.4</w:t>
      </w:r>
      <w:r w:rsidR="00B85D62" w:rsidRPr="00B85D62">
        <w:rPr>
          <w:rFonts w:eastAsia="Calibri" w:cs="Arial"/>
          <w:color w:val="00B0F0"/>
        </w:rPr>
        <w:t>–</w:t>
      </w:r>
      <w:r w:rsidR="00B85D62" w:rsidRPr="00B85D62">
        <w:rPr>
          <w:rFonts w:eastAsia="Calibri" w:cs="Arial"/>
          <w:color w:val="00B0F0"/>
        </w:rPr>
        <w:t>2</w:t>
      </w:r>
      <w:r w:rsidRPr="00B85D62">
        <w:rPr>
          <w:rFonts w:eastAsia="Calibri" w:cs="Arial"/>
        </w:rPr>
        <w:t xml:space="preserve">3.9) constituting 52,000 person-years of follow-up. Over this period, there were 1,327 CVD-related hospital admissions. </w:t>
      </w:r>
      <w:r w:rsidR="384C3B99" w:rsidRPr="00B85D62">
        <w:rPr>
          <w:rFonts w:eastAsia="Calibri" w:cs="Arial"/>
        </w:rPr>
        <w:t>T</w:t>
      </w:r>
      <w:r w:rsidRPr="00B85D62">
        <w:rPr>
          <w:rFonts w:eastAsia="Calibri" w:cs="Arial"/>
        </w:rPr>
        <w:t xml:space="preserve">he overall </w:t>
      </w:r>
      <w:r w:rsidRPr="00B85D62">
        <w:rPr>
          <w:rFonts w:eastAsia="Calibri" w:cs="Arial"/>
          <w:highlight w:val="magenta"/>
        </w:rPr>
        <w:t>incidence</w:t>
      </w:r>
      <w:r w:rsidRPr="00B85D62">
        <w:rPr>
          <w:rFonts w:eastAsia="Calibri" w:cs="Arial"/>
        </w:rPr>
        <w:t xml:space="preserve"> rate for any </w:t>
      </w:r>
      <w:r w:rsidR="00DC44A9" w:rsidRPr="00B85D62">
        <w:rPr>
          <w:rFonts w:eastAsia="Calibri" w:cs="Arial"/>
        </w:rPr>
        <w:t>cardiovascular</w:t>
      </w:r>
      <w:r w:rsidRPr="00B85D62">
        <w:rPr>
          <w:rFonts w:eastAsia="Calibri" w:cs="Arial"/>
        </w:rPr>
        <w:t xml:space="preserve"> event in the SB patients was 25.47 (95% CI 24.14</w:t>
      </w:r>
      <w:r w:rsidR="00B85D62" w:rsidRPr="00B85D62">
        <w:rPr>
          <w:rFonts w:eastAsia="Calibri" w:cs="Arial"/>
          <w:color w:val="00B0F0"/>
        </w:rPr>
        <w:t>–</w:t>
      </w:r>
      <w:r w:rsidR="00B85D62" w:rsidRPr="00B85D62">
        <w:rPr>
          <w:rFonts w:eastAsia="Calibri" w:cs="Arial"/>
          <w:color w:val="00B0F0"/>
        </w:rPr>
        <w:t>2</w:t>
      </w:r>
      <w:r w:rsidRPr="00B85D62">
        <w:rPr>
          <w:rFonts w:eastAsia="Calibri" w:cs="Arial"/>
        </w:rPr>
        <w:t xml:space="preserve">6.88) per 1000 </w:t>
      </w:r>
      <w:r w:rsidRPr="00B85D62">
        <w:rPr>
          <w:rFonts w:eastAsia="Calibri" w:cs="Arial"/>
          <w:i/>
          <w:color w:val="00B0F0"/>
        </w:rPr>
        <w:t>p</w:t>
      </w:r>
      <w:r w:rsidRPr="00B85D62">
        <w:rPr>
          <w:rFonts w:eastAsia="Calibri" w:cs="Arial"/>
        </w:rPr>
        <w:t xml:space="preserve">-years follow-up. </w:t>
      </w:r>
      <w:r w:rsidRPr="00B85D62">
        <w:rPr>
          <w:rFonts w:eastAsia="Calibri" w:cs="Arial"/>
          <w:highlight w:val="magenta"/>
        </w:rPr>
        <w:t>Incidence</w:t>
      </w:r>
      <w:r w:rsidRPr="00B85D62">
        <w:rPr>
          <w:rFonts w:eastAsia="Calibri" w:cs="Arial"/>
        </w:rPr>
        <w:t xml:space="preserve"> rates were lower in women, and </w:t>
      </w:r>
      <w:r w:rsidRPr="00B85D62">
        <w:rPr>
          <w:rFonts w:eastAsia="Calibri" w:cs="Arial"/>
          <w:highlight w:val="magenta"/>
        </w:rPr>
        <w:t>compared to</w:t>
      </w:r>
      <w:r w:rsidRPr="00B85D62">
        <w:rPr>
          <w:rFonts w:eastAsia="Calibri" w:cs="Arial"/>
        </w:rPr>
        <w:t xml:space="preserve"> men, women had an adjusted hazard ratio (HR) of 0.65 (0.58</w:t>
      </w:r>
      <w:r w:rsidR="00B85D62" w:rsidRPr="00B85D62">
        <w:rPr>
          <w:rFonts w:eastAsia="Calibri" w:cs="Arial"/>
          <w:color w:val="00B0F0"/>
        </w:rPr>
        <w:t>–</w:t>
      </w:r>
      <w:r w:rsidR="00B85D62" w:rsidRPr="00B85D62">
        <w:rPr>
          <w:rFonts w:eastAsia="Calibri" w:cs="Arial"/>
          <w:color w:val="00B0F0"/>
        </w:rPr>
        <w:t>0</w:t>
      </w:r>
      <w:r w:rsidRPr="00B85D62">
        <w:rPr>
          <w:rFonts w:eastAsia="Calibri" w:cs="Arial"/>
        </w:rPr>
        <w:t xml:space="preserve">.73). As expected, </w:t>
      </w:r>
      <w:r w:rsidRPr="00B85D62">
        <w:rPr>
          <w:rFonts w:eastAsia="Calibri" w:cs="Arial"/>
          <w:highlight w:val="magenta"/>
        </w:rPr>
        <w:t>incidence</w:t>
      </w:r>
      <w:r w:rsidRPr="00B85D62">
        <w:rPr>
          <w:rFonts w:eastAsia="Calibri" w:cs="Arial"/>
        </w:rPr>
        <w:t xml:space="preserve"> rates and hazards ratio for CVD increased steeply with increasing age, with </w:t>
      </w:r>
      <w:r w:rsidRPr="00B85D62">
        <w:rPr>
          <w:rFonts w:eastAsia="Calibri" w:cs="Arial"/>
          <w:highlight w:val="magenta"/>
        </w:rPr>
        <w:t>incidence</w:t>
      </w:r>
      <w:r w:rsidRPr="00B85D62">
        <w:rPr>
          <w:rFonts w:eastAsia="Calibri" w:cs="Arial"/>
        </w:rPr>
        <w:t xml:space="preserve"> rates ranging from 6.31 (5.12</w:t>
      </w:r>
      <w:r w:rsidR="00B85D62" w:rsidRPr="00B85D62">
        <w:rPr>
          <w:rFonts w:eastAsia="Calibri" w:cs="Arial"/>
          <w:color w:val="00B0F0"/>
        </w:rPr>
        <w:t>–</w:t>
      </w:r>
      <w:r w:rsidR="00B85D62" w:rsidRPr="00B85D62">
        <w:rPr>
          <w:rFonts w:eastAsia="Calibri" w:cs="Arial"/>
          <w:color w:val="00B0F0"/>
        </w:rPr>
        <w:t>7</w:t>
      </w:r>
      <w:r w:rsidRPr="00B85D62">
        <w:rPr>
          <w:rFonts w:eastAsia="Calibri" w:cs="Arial"/>
        </w:rPr>
        <w:t>.77) in those less than 30 years at registration to 77.35 (59.67</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 xml:space="preserve">00.28) in those over 70 years. Also as expected, the CVD </w:t>
      </w:r>
      <w:r w:rsidRPr="00B85D62">
        <w:rPr>
          <w:rFonts w:eastAsia="Calibri" w:cs="Arial"/>
          <w:highlight w:val="magenta"/>
        </w:rPr>
        <w:t>incidence</w:t>
      </w:r>
      <w:r w:rsidRPr="00B85D62">
        <w:rPr>
          <w:rFonts w:eastAsia="Calibri" w:cs="Arial"/>
        </w:rPr>
        <w:t xml:space="preserve"> rate was </w:t>
      </w:r>
      <w:r w:rsidR="00F94040" w:rsidRPr="00B85D62">
        <w:rPr>
          <w:rFonts w:eastAsia="Calibri" w:cs="Arial"/>
        </w:rPr>
        <w:t>4.5-fold</w:t>
      </w:r>
      <w:r w:rsidRPr="00B85D62">
        <w:rPr>
          <w:rFonts w:eastAsia="Calibri" w:cs="Arial"/>
        </w:rPr>
        <w:t xml:space="preserve"> higher in those with a previous history of CVD on registration, with an age and sex adjusted HR of 3.45 (3.06</w:t>
      </w:r>
      <w:r w:rsidR="00B85D62" w:rsidRPr="00B85D62">
        <w:rPr>
          <w:rFonts w:eastAsia="Calibri" w:cs="Arial"/>
          <w:color w:val="00B0F0"/>
        </w:rPr>
        <w:t>–</w:t>
      </w:r>
      <w:r w:rsidR="00B85D62" w:rsidRPr="00B85D62">
        <w:rPr>
          <w:rFonts w:eastAsia="Calibri" w:cs="Arial"/>
          <w:color w:val="00B0F0"/>
        </w:rPr>
        <w:t>3</w:t>
      </w:r>
      <w:r w:rsidRPr="00B85D62">
        <w:rPr>
          <w:rFonts w:eastAsia="Calibri" w:cs="Arial"/>
        </w:rPr>
        <w:t>.89).</w:t>
      </w:r>
    </w:p>
    <w:p w14:paraId="2178E231" w14:textId="376C3C0C" w:rsidR="00201D4F" w:rsidRPr="00B85D62" w:rsidRDefault="00B85D62" w:rsidP="0066232B">
      <w:pPr>
        <w:rPr>
          <w:rFonts w:eastAsia="Calibri" w:cs="Arial"/>
        </w:rPr>
      </w:pPr>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5</w:t>
      </w:r>
      <w:r w:rsidR="0079788F" w:rsidRPr="00B85D62">
        <w:rPr>
          <w:rFonts w:eastAsia="Calibri" w:cs="Arial"/>
        </w:rPr>
        <w:t xml:space="preserve"> </w:t>
      </w:r>
      <w:r w:rsidR="1EF1C9BC" w:rsidRPr="00B85D62">
        <w:rPr>
          <w:rFonts w:eastAsia="Calibri" w:cs="Arial"/>
        </w:rPr>
        <w:t xml:space="preserve">shows the observed number of CVD events across different age-groups in men and women in the SB register, as well as the number of </w:t>
      </w:r>
      <w:r w:rsidR="00DC44A9" w:rsidRPr="00B85D62">
        <w:rPr>
          <w:rFonts w:eastAsia="Calibri" w:cs="Arial"/>
        </w:rPr>
        <w:t>cardiovascular</w:t>
      </w:r>
      <w:r w:rsidR="1EF1C9BC" w:rsidRPr="00B85D62">
        <w:rPr>
          <w:rFonts w:eastAsia="Calibri" w:cs="Arial"/>
        </w:rPr>
        <w:t xml:space="preserve"> events that would be expected if these individuals had the same age- and sex- specific CVD </w:t>
      </w:r>
      <w:r w:rsidR="1EF1C9BC" w:rsidRPr="00B85D62">
        <w:rPr>
          <w:rFonts w:eastAsia="Calibri" w:cs="Arial"/>
          <w:highlight w:val="magenta"/>
        </w:rPr>
        <w:t>incidence</w:t>
      </w:r>
      <w:r w:rsidR="1EF1C9BC" w:rsidRPr="00B85D62">
        <w:rPr>
          <w:rFonts w:eastAsia="Calibri" w:cs="Arial"/>
        </w:rPr>
        <w:t xml:space="preserve"> rates as the general </w:t>
      </w:r>
      <w:r w:rsidR="1EF1C9BC" w:rsidRPr="00B85D62">
        <w:rPr>
          <w:rFonts w:eastAsia="Calibri" w:cs="Arial"/>
          <w:highlight w:val="magenta"/>
        </w:rPr>
        <w:t>practice</w:t>
      </w:r>
      <w:r w:rsidR="1EF1C9BC" w:rsidRPr="00B85D62">
        <w:rPr>
          <w:rFonts w:eastAsia="Calibri" w:cs="Arial"/>
        </w:rPr>
        <w:t xml:space="preserve"> population of individuals without FH. The overall standardised morbidity ratio (SMbR) among individuals with FH in the SB register was 7.17 (6.79</w:t>
      </w:r>
      <w:r w:rsidRPr="00B85D62">
        <w:rPr>
          <w:rFonts w:eastAsia="Calibri" w:cs="Arial"/>
          <w:color w:val="00B0F0"/>
        </w:rPr>
        <w:t>–</w:t>
      </w:r>
      <w:r w:rsidRPr="00B85D62">
        <w:rPr>
          <w:rFonts w:eastAsia="Calibri" w:cs="Arial"/>
          <w:color w:val="00B0F0"/>
        </w:rPr>
        <w:t>7</w:t>
      </w:r>
      <w:r w:rsidR="1EF1C9BC" w:rsidRPr="00B85D62">
        <w:rPr>
          <w:rFonts w:eastAsia="Calibri" w:cs="Arial"/>
        </w:rPr>
        <w:t>.56). In both sexes, SMbR decreased with advancing age such that the highest excess CVD morbidity was in those younger than 30 years, and the lowest was in those over 50 years. Women with FH were observed to have larger excess CVD morbidity than men (7.55 (6.99</w:t>
      </w:r>
      <w:r w:rsidRPr="00B85D62">
        <w:rPr>
          <w:rFonts w:eastAsia="Calibri" w:cs="Arial"/>
          <w:color w:val="00B0F0"/>
        </w:rPr>
        <w:t>–</w:t>
      </w:r>
      <w:r w:rsidRPr="00B85D62">
        <w:rPr>
          <w:rFonts w:eastAsia="Calibri" w:cs="Arial"/>
          <w:color w:val="00B0F0"/>
        </w:rPr>
        <w:t>8</w:t>
      </w:r>
      <w:r w:rsidR="1EF1C9BC" w:rsidRPr="00B85D62">
        <w:rPr>
          <w:rFonts w:eastAsia="Calibri" w:cs="Arial"/>
        </w:rPr>
        <w:t>.15) vs 6.83 (6.33</w:t>
      </w:r>
      <w:r w:rsidRPr="00B85D62">
        <w:rPr>
          <w:rFonts w:eastAsia="Calibri" w:cs="Arial"/>
          <w:color w:val="00B0F0"/>
        </w:rPr>
        <w:t>–</w:t>
      </w:r>
      <w:r w:rsidRPr="00B85D62">
        <w:rPr>
          <w:rFonts w:eastAsia="Calibri" w:cs="Arial"/>
          <w:color w:val="00B0F0"/>
        </w:rPr>
        <w:t>7</w:t>
      </w:r>
      <w:r w:rsidR="1EF1C9BC" w:rsidRPr="00B85D62">
        <w:rPr>
          <w:rFonts w:eastAsia="Calibri" w:cs="Arial"/>
        </w:rPr>
        <w:t>.37) respectively). There were substantially significant gender differences in SMbR in patients aged 30 to 50 years and those older than 50 years</w:t>
      </w:r>
      <w:r w:rsidR="00DC44A9" w:rsidRPr="00B85D62">
        <w:rPr>
          <w:rFonts w:eastAsia="Calibri" w:cs="Arial"/>
        </w:rPr>
        <w:t xml:space="preserve">, as demonstrated </w:t>
      </w:r>
      <w:r w:rsidR="0047402F" w:rsidRPr="00B85D62">
        <w:rPr>
          <w:rFonts w:eastAsia="Calibri" w:cs="Arial"/>
        </w:rPr>
        <w:t>in Appendix</w:t>
      </w:r>
      <w:r w:rsidR="00DC44A9" w:rsidRPr="00B85D62">
        <w:rPr>
          <w:rFonts w:eastAsia="Calibri" w:cs="Arial"/>
        </w:rPr>
        <w:t xml:space="preserve"> 2 </w:t>
      </w:r>
      <w:r w:rsidRPr="00B85D62">
        <w:rPr>
          <w:rFonts w:eastAsia="Calibri" w:cs="Arial"/>
          <w:i/>
          <w:color w:val="FF0000"/>
        </w:rPr>
        <w:t>F</w:t>
      </w:r>
      <w:r w:rsidRPr="00B85D62">
        <w:rPr>
          <w:rFonts w:eastAsia="Calibri" w:cs="Arial"/>
          <w:i/>
          <w:color w:val="FF0000"/>
        </w:rPr>
        <w:t>igure</w:t>
      </w:r>
      <w:r w:rsidRPr="00B85D62">
        <w:rPr>
          <w:rFonts w:eastAsia="Calibri" w:cs="Arial"/>
          <w:i/>
          <w:color w:val="FF0000"/>
        </w:rPr>
        <w:t xml:space="preserve"> </w:t>
      </w:r>
      <w:r w:rsidRPr="00B85D62">
        <w:rPr>
          <w:rFonts w:eastAsia="Calibri" w:cs="Arial"/>
          <w:i/>
          <w:color w:val="FF0000"/>
        </w:rPr>
        <w:t>20</w:t>
      </w:r>
      <w:r w:rsidR="1EF1C9BC" w:rsidRPr="00B85D62">
        <w:rPr>
          <w:rFonts w:eastAsia="Calibri" w:cs="Arial"/>
        </w:rPr>
        <w:t xml:space="preserve">. These differences were most marked in the </w:t>
      </w:r>
      <w:r w:rsidR="00A90556" w:rsidRPr="00B85D62">
        <w:rPr>
          <w:rFonts w:eastAsia="Calibri" w:cs="Arial"/>
        </w:rPr>
        <w:t>30-t</w:t>
      </w:r>
      <w:r w:rsidRPr="00B85D62">
        <w:rPr>
          <w:rFonts w:eastAsia="Calibri" w:cs="Arial"/>
          <w:color w:val="00B0F0"/>
        </w:rPr>
        <w:t>o</w:t>
      </w:r>
      <w:r w:rsidRPr="00B85D62">
        <w:rPr>
          <w:rFonts w:eastAsia="Calibri" w:cs="Arial"/>
          <w:color w:val="00B0F0"/>
        </w:rPr>
        <w:t>-</w:t>
      </w:r>
      <w:r w:rsidRPr="00B85D62">
        <w:rPr>
          <w:rFonts w:eastAsia="Calibri" w:cs="Arial"/>
          <w:color w:val="00B0F0"/>
        </w:rPr>
        <w:t>5</w:t>
      </w:r>
      <w:r w:rsidR="00A90556" w:rsidRPr="00B85D62">
        <w:rPr>
          <w:rFonts w:eastAsia="Calibri" w:cs="Arial"/>
        </w:rPr>
        <w:t>0-year</w:t>
      </w:r>
      <w:r w:rsidR="1EF1C9BC" w:rsidRPr="00B85D62">
        <w:rPr>
          <w:rFonts w:eastAsia="Calibri" w:cs="Arial"/>
        </w:rPr>
        <w:t xml:space="preserve"> age group such that women had a 50% higher SMbR than men of the same age group (15.04 (12.98</w:t>
      </w:r>
      <w:r w:rsidRPr="00B85D62">
        <w:rPr>
          <w:rFonts w:eastAsia="Calibri" w:cs="Arial"/>
          <w:color w:val="00B0F0"/>
        </w:rPr>
        <w:t>–</w:t>
      </w:r>
      <w:r w:rsidRPr="00B85D62">
        <w:rPr>
          <w:rFonts w:eastAsia="Calibri" w:cs="Arial"/>
          <w:color w:val="00B0F0"/>
        </w:rPr>
        <w:t>1</w:t>
      </w:r>
      <w:r w:rsidR="1EF1C9BC" w:rsidRPr="00B85D62">
        <w:rPr>
          <w:rFonts w:eastAsia="Calibri" w:cs="Arial"/>
        </w:rPr>
        <w:t>7.42) vs 10.03 (9.01</w:t>
      </w:r>
      <w:r w:rsidRPr="00B85D62">
        <w:rPr>
          <w:rFonts w:eastAsia="Calibri" w:cs="Arial"/>
          <w:color w:val="00B0F0"/>
        </w:rPr>
        <w:t>–</w:t>
      </w:r>
      <w:r w:rsidRPr="00B85D62">
        <w:rPr>
          <w:rFonts w:eastAsia="Calibri" w:cs="Arial"/>
          <w:color w:val="00B0F0"/>
        </w:rPr>
        <w:t>1</w:t>
      </w:r>
      <w:r w:rsidR="1EF1C9BC" w:rsidRPr="00B85D62">
        <w:rPr>
          <w:rFonts w:eastAsia="Calibri" w:cs="Arial"/>
        </w:rPr>
        <w:t>1.17). In those older than 50 years, SMbR was 33% higher in women than men (6.11 (5.57</w:t>
      </w:r>
      <w:r w:rsidRPr="00B85D62">
        <w:rPr>
          <w:rFonts w:eastAsia="Calibri" w:cs="Arial"/>
          <w:color w:val="00B0F0"/>
        </w:rPr>
        <w:t>–</w:t>
      </w:r>
      <w:r w:rsidRPr="00B85D62">
        <w:rPr>
          <w:rFonts w:eastAsia="Calibri" w:cs="Arial"/>
          <w:color w:val="00B0F0"/>
        </w:rPr>
        <w:t>6</w:t>
      </w:r>
      <w:r w:rsidR="1EF1C9BC" w:rsidRPr="00B85D62">
        <w:rPr>
          <w:rFonts w:eastAsia="Calibri" w:cs="Arial"/>
        </w:rPr>
        <w:t>.70) vs 4.59 (4.08</w:t>
      </w:r>
      <w:r w:rsidRPr="00B85D62">
        <w:rPr>
          <w:rFonts w:eastAsia="Calibri" w:cs="Arial"/>
          <w:color w:val="00B0F0"/>
        </w:rPr>
        <w:t>–</w:t>
      </w:r>
      <w:r w:rsidRPr="00B85D62">
        <w:rPr>
          <w:rFonts w:eastAsia="Calibri" w:cs="Arial"/>
          <w:color w:val="00B0F0"/>
        </w:rPr>
        <w:t>5</w:t>
      </w:r>
      <w:r w:rsidR="1EF1C9BC" w:rsidRPr="00B85D62">
        <w:rPr>
          <w:rFonts w:eastAsia="Calibri" w:cs="Arial"/>
        </w:rPr>
        <w:t>.15) respectively)</w:t>
      </w:r>
      <w:r w:rsidR="0079788F" w:rsidRPr="00B85D62">
        <w:rPr>
          <w:rFonts w:eastAsia="Calibri" w:cs="Arial"/>
        </w:rPr>
        <w:t>.</w:t>
      </w:r>
    </w:p>
    <w:p w14:paraId="66328ADE" w14:textId="4E8711AC" w:rsidR="0079788F" w:rsidRPr="00B85D62" w:rsidRDefault="00B85D62" w:rsidP="0079788F">
      <w:pPr>
        <w:pStyle w:val="Caption"/>
        <w:keepNext/>
        <w:rPr>
          <w:rFonts w:cs="Arial"/>
        </w:rPr>
      </w:pPr>
      <w:bookmarkStart w:id="148" w:name="_Toc79740200"/>
      <w:bookmarkStart w:id="149" w:name="_Toc107157359"/>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5</w:t>
      </w:r>
      <w:r w:rsidR="0079788F" w:rsidRPr="00B85D62">
        <w:rPr>
          <w:rFonts w:eastAsia="Arial" w:cs="Arial"/>
          <w:bCs/>
          <w:iCs w:val="0"/>
          <w:sz w:val="22"/>
          <w:szCs w:val="22"/>
        </w:rPr>
        <w:t xml:space="preserve"> </w:t>
      </w:r>
      <w:r w:rsidR="0079788F" w:rsidRPr="00B85D62">
        <w:rPr>
          <w:rFonts w:cs="Arial"/>
          <w:bCs/>
        </w:rPr>
        <w:t>Observed and expected number of CVD events in men and women with FH in the Simon Broome register</w:t>
      </w:r>
      <w:bookmarkEnd w:id="148"/>
      <w:bookmarkEnd w:id="14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84"/>
        <w:gridCol w:w="1354"/>
        <w:gridCol w:w="1254"/>
        <w:gridCol w:w="2139"/>
        <w:gridCol w:w="1312"/>
        <w:gridCol w:w="1983"/>
      </w:tblGrid>
      <w:tr w:rsidR="00201D4F" w:rsidRPr="00B85D62" w14:paraId="563C7365" w14:textId="77777777" w:rsidTr="00B85D62">
        <w:trPr>
          <w:cantSplit/>
        </w:trPr>
        <w:tc>
          <w:tcPr>
            <w:tcW w:w="0" w:type="auto"/>
            <w:shd w:val="clear" w:color="auto" w:fill="auto"/>
          </w:tcPr>
          <w:p w14:paraId="13FAD5F8" w14:textId="77777777" w:rsidR="00201D4F" w:rsidRPr="00B85D62" w:rsidRDefault="00201D4F" w:rsidP="0066232B">
            <w:pPr>
              <w:rPr>
                <w:rFonts w:cs="Arial"/>
                <w:sz w:val="16"/>
                <w:szCs w:val="16"/>
              </w:rPr>
            </w:pPr>
            <w:r w:rsidRPr="00B85D62">
              <w:rPr>
                <w:rFonts w:cs="Arial"/>
                <w:sz w:val="16"/>
                <w:szCs w:val="16"/>
              </w:rPr>
              <w:t xml:space="preserve"> </w:t>
            </w:r>
          </w:p>
        </w:tc>
        <w:tc>
          <w:tcPr>
            <w:tcW w:w="0" w:type="auto"/>
            <w:shd w:val="clear" w:color="auto" w:fill="auto"/>
          </w:tcPr>
          <w:p w14:paraId="18EF599F" w14:textId="77777777" w:rsidR="00201D4F" w:rsidRPr="00B85D62" w:rsidRDefault="00201D4F" w:rsidP="0066232B">
            <w:pPr>
              <w:rPr>
                <w:rFonts w:cs="Arial"/>
                <w:sz w:val="16"/>
                <w:szCs w:val="16"/>
              </w:rPr>
            </w:pPr>
            <w:r w:rsidRPr="00B85D62">
              <w:rPr>
                <w:rFonts w:cs="Arial"/>
                <w:sz w:val="16"/>
                <w:szCs w:val="16"/>
              </w:rPr>
              <w:t>Person-years of follow-up</w:t>
            </w:r>
          </w:p>
        </w:tc>
        <w:tc>
          <w:tcPr>
            <w:tcW w:w="0" w:type="auto"/>
            <w:shd w:val="clear" w:color="auto" w:fill="auto"/>
          </w:tcPr>
          <w:p w14:paraId="314DEA07" w14:textId="77777777" w:rsidR="00201D4F" w:rsidRPr="00B85D62" w:rsidRDefault="00201D4F" w:rsidP="0066232B">
            <w:pPr>
              <w:rPr>
                <w:rFonts w:cs="Arial"/>
                <w:sz w:val="16"/>
                <w:szCs w:val="16"/>
              </w:rPr>
            </w:pPr>
            <w:r w:rsidRPr="00B85D62">
              <w:rPr>
                <w:rFonts w:cs="Arial"/>
                <w:sz w:val="16"/>
                <w:szCs w:val="16"/>
              </w:rPr>
              <w:t>Observed CVD events</w:t>
            </w:r>
          </w:p>
        </w:tc>
        <w:tc>
          <w:tcPr>
            <w:tcW w:w="0" w:type="auto"/>
            <w:shd w:val="clear" w:color="auto" w:fill="auto"/>
          </w:tcPr>
          <w:p w14:paraId="1517CA0A" w14:textId="0DA3F4DD" w:rsidR="00201D4F" w:rsidRPr="00B85D62" w:rsidRDefault="00201D4F" w:rsidP="0066232B">
            <w:pPr>
              <w:rPr>
                <w:rFonts w:cs="Arial"/>
                <w:sz w:val="16"/>
                <w:szCs w:val="16"/>
              </w:rPr>
            </w:pPr>
            <w:r w:rsidRPr="00B85D62">
              <w:rPr>
                <w:rFonts w:cs="Arial"/>
                <w:sz w:val="16"/>
                <w:szCs w:val="16"/>
                <w:highlight w:val="magenta"/>
              </w:rPr>
              <w:t>Incidence</w:t>
            </w:r>
            <w:r w:rsidRPr="00B85D62">
              <w:rPr>
                <w:rFonts w:cs="Arial"/>
                <w:sz w:val="16"/>
                <w:szCs w:val="16"/>
              </w:rPr>
              <w:t xml:space="preserve"> rates</w:t>
            </w:r>
            <w:r w:rsidR="00B85D62" w:rsidRPr="00B85D62">
              <w:rPr>
                <w:rFonts w:cs="Arial"/>
                <w:color w:val="00B0F0"/>
                <w:sz w:val="16"/>
                <w:szCs w:val="16"/>
              </w:rPr>
              <w:t>/</w:t>
            </w:r>
            <w:r w:rsidRPr="00B85D62">
              <w:rPr>
                <w:rFonts w:cs="Arial"/>
                <w:sz w:val="16"/>
                <w:szCs w:val="16"/>
              </w:rPr>
              <w:t xml:space="preserve">1000 person years (95% CI) </w:t>
            </w:r>
          </w:p>
        </w:tc>
        <w:tc>
          <w:tcPr>
            <w:tcW w:w="0" w:type="auto"/>
            <w:shd w:val="clear" w:color="auto" w:fill="auto"/>
          </w:tcPr>
          <w:p w14:paraId="4CAE9DA6" w14:textId="77777777" w:rsidR="00201D4F" w:rsidRPr="00B85D62" w:rsidRDefault="00201D4F" w:rsidP="0066232B">
            <w:pPr>
              <w:rPr>
                <w:rFonts w:cs="Arial"/>
                <w:sz w:val="16"/>
                <w:szCs w:val="16"/>
              </w:rPr>
            </w:pPr>
            <w:r w:rsidRPr="00B85D62">
              <w:rPr>
                <w:rFonts w:cs="Arial"/>
                <w:sz w:val="16"/>
                <w:szCs w:val="16"/>
              </w:rPr>
              <w:t>Expected CVD events §</w:t>
            </w:r>
          </w:p>
        </w:tc>
        <w:tc>
          <w:tcPr>
            <w:tcW w:w="0" w:type="auto"/>
            <w:shd w:val="clear" w:color="auto" w:fill="auto"/>
          </w:tcPr>
          <w:p w14:paraId="61E2D619" w14:textId="77777777" w:rsidR="00201D4F" w:rsidRPr="00B85D62" w:rsidRDefault="00201D4F" w:rsidP="0066232B">
            <w:pPr>
              <w:rPr>
                <w:rFonts w:cs="Arial"/>
                <w:sz w:val="16"/>
                <w:szCs w:val="16"/>
              </w:rPr>
            </w:pPr>
            <w:r w:rsidRPr="00B85D62">
              <w:rPr>
                <w:rFonts w:cs="Arial"/>
                <w:sz w:val="16"/>
                <w:szCs w:val="16"/>
              </w:rPr>
              <w:t>Standardised morbidity ratio (95% CI)</w:t>
            </w:r>
          </w:p>
        </w:tc>
      </w:tr>
      <w:tr w:rsidR="00201D4F" w:rsidRPr="00B85D62" w14:paraId="38FAD19F" w14:textId="77777777" w:rsidTr="00B85D62">
        <w:trPr>
          <w:cantSplit/>
        </w:trPr>
        <w:tc>
          <w:tcPr>
            <w:tcW w:w="0" w:type="auto"/>
            <w:shd w:val="clear" w:color="auto" w:fill="auto"/>
          </w:tcPr>
          <w:p w14:paraId="6823BC43" w14:textId="77777777" w:rsidR="00201D4F" w:rsidRPr="00B85D62" w:rsidRDefault="00201D4F" w:rsidP="0066232B">
            <w:pPr>
              <w:rPr>
                <w:rFonts w:cs="Arial"/>
                <w:sz w:val="16"/>
                <w:szCs w:val="16"/>
              </w:rPr>
            </w:pPr>
            <w:r w:rsidRPr="00B85D62">
              <w:rPr>
                <w:rFonts w:cs="Arial"/>
                <w:b/>
                <w:bCs/>
                <w:sz w:val="16"/>
                <w:szCs w:val="16"/>
              </w:rPr>
              <w:t>Males</w:t>
            </w:r>
          </w:p>
        </w:tc>
        <w:tc>
          <w:tcPr>
            <w:tcW w:w="0" w:type="auto"/>
            <w:shd w:val="clear" w:color="auto" w:fill="auto"/>
          </w:tcPr>
          <w:p w14:paraId="3DFA36A0" w14:textId="77777777" w:rsidR="00201D4F" w:rsidRPr="00B85D62" w:rsidRDefault="00201D4F" w:rsidP="0066232B">
            <w:pPr>
              <w:rPr>
                <w:rFonts w:cs="Arial"/>
                <w:sz w:val="16"/>
                <w:szCs w:val="16"/>
              </w:rPr>
            </w:pPr>
            <w:r w:rsidRPr="00B85D62">
              <w:rPr>
                <w:rFonts w:cs="Arial"/>
                <w:sz w:val="16"/>
                <w:szCs w:val="16"/>
              </w:rPr>
              <w:t xml:space="preserve"> </w:t>
            </w:r>
          </w:p>
        </w:tc>
        <w:tc>
          <w:tcPr>
            <w:tcW w:w="0" w:type="auto"/>
            <w:shd w:val="clear" w:color="auto" w:fill="auto"/>
          </w:tcPr>
          <w:p w14:paraId="430E5B43" w14:textId="77777777" w:rsidR="00201D4F" w:rsidRPr="00B85D62" w:rsidRDefault="00201D4F" w:rsidP="0066232B">
            <w:pPr>
              <w:rPr>
                <w:rFonts w:cs="Arial"/>
                <w:sz w:val="16"/>
                <w:szCs w:val="16"/>
              </w:rPr>
            </w:pPr>
            <w:r w:rsidRPr="00B85D62">
              <w:rPr>
                <w:rFonts w:cs="Arial"/>
                <w:sz w:val="16"/>
                <w:szCs w:val="16"/>
              </w:rPr>
              <w:t xml:space="preserve"> </w:t>
            </w:r>
          </w:p>
        </w:tc>
        <w:tc>
          <w:tcPr>
            <w:tcW w:w="0" w:type="auto"/>
            <w:shd w:val="clear" w:color="auto" w:fill="auto"/>
          </w:tcPr>
          <w:p w14:paraId="18CFE997" w14:textId="77777777" w:rsidR="00201D4F" w:rsidRPr="00B85D62" w:rsidRDefault="00201D4F" w:rsidP="0066232B">
            <w:pPr>
              <w:rPr>
                <w:rFonts w:cs="Arial"/>
                <w:sz w:val="16"/>
                <w:szCs w:val="16"/>
              </w:rPr>
            </w:pPr>
            <w:r w:rsidRPr="00B85D62">
              <w:rPr>
                <w:rFonts w:cs="Arial"/>
                <w:sz w:val="16"/>
                <w:szCs w:val="16"/>
              </w:rPr>
              <w:t xml:space="preserve"> </w:t>
            </w:r>
          </w:p>
        </w:tc>
        <w:tc>
          <w:tcPr>
            <w:tcW w:w="0" w:type="auto"/>
            <w:shd w:val="clear" w:color="auto" w:fill="auto"/>
          </w:tcPr>
          <w:p w14:paraId="7B410DEF" w14:textId="77777777" w:rsidR="00201D4F" w:rsidRPr="00B85D62" w:rsidRDefault="00201D4F" w:rsidP="0066232B">
            <w:pPr>
              <w:rPr>
                <w:rFonts w:cs="Arial"/>
                <w:sz w:val="16"/>
                <w:szCs w:val="16"/>
              </w:rPr>
            </w:pPr>
            <w:r w:rsidRPr="00B85D62">
              <w:rPr>
                <w:rFonts w:cs="Arial"/>
                <w:sz w:val="16"/>
                <w:szCs w:val="16"/>
              </w:rPr>
              <w:t xml:space="preserve"> </w:t>
            </w:r>
          </w:p>
        </w:tc>
        <w:tc>
          <w:tcPr>
            <w:tcW w:w="0" w:type="auto"/>
            <w:shd w:val="clear" w:color="auto" w:fill="auto"/>
          </w:tcPr>
          <w:p w14:paraId="09C07FFD" w14:textId="77777777" w:rsidR="00201D4F" w:rsidRPr="00B85D62" w:rsidRDefault="00201D4F" w:rsidP="0066232B">
            <w:pPr>
              <w:rPr>
                <w:rFonts w:cs="Arial"/>
                <w:sz w:val="16"/>
                <w:szCs w:val="16"/>
              </w:rPr>
            </w:pPr>
            <w:r w:rsidRPr="00B85D62">
              <w:rPr>
                <w:rFonts w:cs="Arial"/>
                <w:sz w:val="16"/>
                <w:szCs w:val="16"/>
              </w:rPr>
              <w:t xml:space="preserve"> </w:t>
            </w:r>
          </w:p>
        </w:tc>
      </w:tr>
      <w:tr w:rsidR="00201D4F" w:rsidRPr="00B85D62" w14:paraId="2BC6C89D" w14:textId="77777777" w:rsidTr="00B85D62">
        <w:trPr>
          <w:cantSplit/>
        </w:trPr>
        <w:tc>
          <w:tcPr>
            <w:tcW w:w="0" w:type="auto"/>
            <w:shd w:val="clear" w:color="auto" w:fill="auto"/>
          </w:tcPr>
          <w:p w14:paraId="094889E5" w14:textId="3BBD29BC" w:rsidR="00201D4F" w:rsidRPr="00B85D62" w:rsidRDefault="00B85D62" w:rsidP="0066232B">
            <w:pPr>
              <w:rPr>
                <w:rFonts w:cs="Arial"/>
                <w:sz w:val="16"/>
                <w:szCs w:val="16"/>
              </w:rPr>
            </w:pPr>
            <w:r w:rsidRPr="00B85D62">
              <w:rPr>
                <w:rFonts w:cs="Arial"/>
                <w:color w:val="00B0F0"/>
                <w:sz w:val="16"/>
                <w:szCs w:val="16"/>
              </w:rPr>
              <w:t>&lt;</w:t>
            </w:r>
            <w:r w:rsidRPr="00B85D62">
              <w:rPr>
                <w:rFonts w:cs="Arial"/>
                <w:color w:val="00B0F0"/>
                <w:sz w:val="16"/>
                <w:szCs w:val="16"/>
              </w:rPr>
              <w:t> </w:t>
            </w:r>
            <w:r w:rsidRPr="00B85D62">
              <w:rPr>
                <w:rFonts w:cs="Arial"/>
                <w:color w:val="00B0F0"/>
                <w:sz w:val="16"/>
                <w:szCs w:val="16"/>
              </w:rPr>
              <w:t>3</w:t>
            </w:r>
            <w:r w:rsidR="00201D4F" w:rsidRPr="00B85D62">
              <w:rPr>
                <w:rFonts w:cs="Arial"/>
                <w:sz w:val="16"/>
                <w:szCs w:val="16"/>
              </w:rPr>
              <w:t>0 years</w:t>
            </w:r>
          </w:p>
          <w:p w14:paraId="3EDED475" w14:textId="6C9C40B8" w:rsidR="00201D4F" w:rsidRPr="00B85D62" w:rsidRDefault="00201D4F" w:rsidP="0066232B">
            <w:pPr>
              <w:rPr>
                <w:rFonts w:cs="Arial"/>
                <w:sz w:val="16"/>
                <w:szCs w:val="16"/>
              </w:rPr>
            </w:pPr>
            <w:r w:rsidRPr="00B85D62">
              <w:rPr>
                <w:rFonts w:cs="Arial"/>
                <w:sz w:val="16"/>
                <w:szCs w:val="16"/>
              </w:rPr>
              <w:t xml:space="preserve">30 to </w:t>
            </w:r>
            <w:r w:rsidR="00B85D62" w:rsidRPr="00B85D62">
              <w:rPr>
                <w:rFonts w:cs="Arial"/>
                <w:color w:val="00B0F0"/>
                <w:sz w:val="16"/>
                <w:szCs w:val="16"/>
              </w:rPr>
              <w:t>&lt;</w:t>
            </w:r>
            <w:r w:rsidR="00B85D62" w:rsidRPr="00B85D62">
              <w:rPr>
                <w:rFonts w:cs="Arial"/>
                <w:color w:val="00B0F0"/>
                <w:sz w:val="16"/>
                <w:szCs w:val="16"/>
              </w:rPr>
              <w:t> </w:t>
            </w:r>
            <w:r w:rsidR="00B85D62" w:rsidRPr="00B85D62">
              <w:rPr>
                <w:rFonts w:cs="Arial"/>
                <w:color w:val="00B0F0"/>
                <w:sz w:val="16"/>
                <w:szCs w:val="16"/>
              </w:rPr>
              <w:t>5</w:t>
            </w:r>
            <w:r w:rsidRPr="00B85D62">
              <w:rPr>
                <w:rFonts w:cs="Arial"/>
                <w:sz w:val="16"/>
                <w:szCs w:val="16"/>
              </w:rPr>
              <w:t>0 years</w:t>
            </w:r>
          </w:p>
          <w:p w14:paraId="0589642D" w14:textId="77777777" w:rsidR="00201D4F" w:rsidRPr="00B85D62" w:rsidRDefault="00201D4F" w:rsidP="0066232B">
            <w:pPr>
              <w:rPr>
                <w:rFonts w:cs="Arial"/>
                <w:sz w:val="16"/>
                <w:szCs w:val="16"/>
              </w:rPr>
            </w:pPr>
            <w:r w:rsidRPr="00B85D62">
              <w:rPr>
                <w:rFonts w:cs="Arial"/>
                <w:sz w:val="16"/>
                <w:szCs w:val="16"/>
              </w:rPr>
              <w:t>50 years</w:t>
            </w:r>
          </w:p>
        </w:tc>
        <w:tc>
          <w:tcPr>
            <w:tcW w:w="0" w:type="auto"/>
            <w:shd w:val="clear" w:color="auto" w:fill="auto"/>
          </w:tcPr>
          <w:p w14:paraId="02D4B365" w14:textId="77777777" w:rsidR="00201D4F" w:rsidRPr="00B85D62" w:rsidRDefault="00201D4F" w:rsidP="0066232B">
            <w:pPr>
              <w:rPr>
                <w:rFonts w:cs="Arial"/>
                <w:sz w:val="16"/>
                <w:szCs w:val="16"/>
              </w:rPr>
            </w:pPr>
            <w:r w:rsidRPr="00B85D62">
              <w:rPr>
                <w:rFonts w:cs="Arial"/>
                <w:sz w:val="16"/>
                <w:szCs w:val="16"/>
              </w:rPr>
              <w:t>6,942</w:t>
            </w:r>
          </w:p>
          <w:p w14:paraId="34F2E124" w14:textId="77777777" w:rsidR="00201D4F" w:rsidRPr="00B85D62" w:rsidRDefault="00201D4F" w:rsidP="0066232B">
            <w:pPr>
              <w:rPr>
                <w:rFonts w:cs="Arial"/>
                <w:sz w:val="16"/>
                <w:szCs w:val="16"/>
              </w:rPr>
            </w:pPr>
            <w:r w:rsidRPr="00B85D62">
              <w:rPr>
                <w:rFonts w:cs="Arial"/>
                <w:sz w:val="16"/>
                <w:szCs w:val="16"/>
              </w:rPr>
              <w:t>12,174</w:t>
            </w:r>
          </w:p>
          <w:p w14:paraId="64B3E570" w14:textId="77777777" w:rsidR="00201D4F" w:rsidRPr="00B85D62" w:rsidRDefault="00201D4F" w:rsidP="0066232B">
            <w:pPr>
              <w:rPr>
                <w:rFonts w:cs="Arial"/>
                <w:sz w:val="16"/>
                <w:szCs w:val="16"/>
              </w:rPr>
            </w:pPr>
            <w:r w:rsidRPr="00B85D62">
              <w:rPr>
                <w:rFonts w:cs="Arial"/>
                <w:sz w:val="16"/>
                <w:szCs w:val="16"/>
              </w:rPr>
              <w:t>5,510</w:t>
            </w:r>
          </w:p>
        </w:tc>
        <w:tc>
          <w:tcPr>
            <w:tcW w:w="0" w:type="auto"/>
            <w:shd w:val="clear" w:color="auto" w:fill="auto"/>
          </w:tcPr>
          <w:p w14:paraId="6475F5D7" w14:textId="77777777" w:rsidR="00201D4F" w:rsidRPr="00B85D62" w:rsidRDefault="00201D4F" w:rsidP="0066232B">
            <w:pPr>
              <w:rPr>
                <w:rFonts w:cs="Arial"/>
                <w:sz w:val="16"/>
                <w:szCs w:val="16"/>
              </w:rPr>
            </w:pPr>
            <w:r w:rsidRPr="00B85D62">
              <w:rPr>
                <w:rFonts w:cs="Arial"/>
                <w:sz w:val="16"/>
                <w:szCs w:val="16"/>
              </w:rPr>
              <w:t>56</w:t>
            </w:r>
          </w:p>
          <w:p w14:paraId="1C65387C" w14:textId="77777777" w:rsidR="00201D4F" w:rsidRPr="00B85D62" w:rsidRDefault="00201D4F" w:rsidP="0066232B">
            <w:pPr>
              <w:rPr>
                <w:rFonts w:cs="Arial"/>
                <w:sz w:val="16"/>
                <w:szCs w:val="16"/>
              </w:rPr>
            </w:pPr>
            <w:r w:rsidRPr="00B85D62">
              <w:rPr>
                <w:rFonts w:cs="Arial"/>
                <w:sz w:val="16"/>
                <w:szCs w:val="16"/>
              </w:rPr>
              <w:t>331</w:t>
            </w:r>
          </w:p>
          <w:p w14:paraId="7234BECA" w14:textId="77777777" w:rsidR="00201D4F" w:rsidRPr="00B85D62" w:rsidRDefault="00201D4F" w:rsidP="0066232B">
            <w:pPr>
              <w:rPr>
                <w:rFonts w:cs="Arial"/>
                <w:sz w:val="16"/>
                <w:szCs w:val="16"/>
              </w:rPr>
            </w:pPr>
            <w:r w:rsidRPr="00B85D62">
              <w:rPr>
                <w:rFonts w:cs="Arial"/>
                <w:sz w:val="16"/>
                <w:szCs w:val="16"/>
              </w:rPr>
              <w:t>282</w:t>
            </w:r>
          </w:p>
        </w:tc>
        <w:tc>
          <w:tcPr>
            <w:tcW w:w="0" w:type="auto"/>
            <w:shd w:val="clear" w:color="auto" w:fill="auto"/>
          </w:tcPr>
          <w:p w14:paraId="6C88521A" w14:textId="521F1DDA" w:rsidR="00201D4F" w:rsidRPr="00B85D62" w:rsidRDefault="00201D4F" w:rsidP="0066232B">
            <w:pPr>
              <w:rPr>
                <w:rFonts w:cs="Arial"/>
                <w:sz w:val="16"/>
                <w:szCs w:val="16"/>
              </w:rPr>
            </w:pPr>
            <w:r w:rsidRPr="00B85D62">
              <w:rPr>
                <w:rFonts w:cs="Arial"/>
                <w:sz w:val="16"/>
                <w:szCs w:val="16"/>
              </w:rPr>
              <w:t>8.07 (6.21</w:t>
            </w:r>
            <w:r w:rsidR="00B85D62" w:rsidRPr="00B85D62">
              <w:rPr>
                <w:rFonts w:cs="Arial"/>
                <w:color w:val="00B0F0"/>
                <w:sz w:val="16"/>
                <w:szCs w:val="16"/>
              </w:rPr>
              <w:t>–</w:t>
            </w:r>
            <w:r w:rsidR="00B85D62" w:rsidRPr="00B85D62">
              <w:rPr>
                <w:rFonts w:cs="Arial"/>
                <w:color w:val="00B0F0"/>
                <w:sz w:val="16"/>
                <w:szCs w:val="16"/>
              </w:rPr>
              <w:t>1</w:t>
            </w:r>
            <w:r w:rsidRPr="00B85D62">
              <w:rPr>
                <w:rFonts w:cs="Arial"/>
                <w:sz w:val="16"/>
                <w:szCs w:val="16"/>
              </w:rPr>
              <w:t>0.48)</w:t>
            </w:r>
          </w:p>
          <w:p w14:paraId="44C2A010" w14:textId="48301DC0" w:rsidR="00201D4F" w:rsidRPr="00B85D62" w:rsidRDefault="00201D4F" w:rsidP="0066232B">
            <w:pPr>
              <w:rPr>
                <w:rFonts w:cs="Arial"/>
                <w:sz w:val="16"/>
                <w:szCs w:val="16"/>
              </w:rPr>
            </w:pPr>
            <w:r w:rsidRPr="00B85D62">
              <w:rPr>
                <w:rFonts w:cs="Arial"/>
                <w:sz w:val="16"/>
                <w:szCs w:val="16"/>
              </w:rPr>
              <w:t>27.19 (24.41</w:t>
            </w:r>
            <w:r w:rsidR="00B85D62" w:rsidRPr="00B85D62">
              <w:rPr>
                <w:rFonts w:cs="Arial"/>
                <w:color w:val="00B0F0"/>
                <w:sz w:val="16"/>
                <w:szCs w:val="16"/>
              </w:rPr>
              <w:t>–</w:t>
            </w:r>
            <w:r w:rsidR="00B85D62" w:rsidRPr="00B85D62">
              <w:rPr>
                <w:rFonts w:cs="Arial"/>
                <w:color w:val="00B0F0"/>
                <w:sz w:val="16"/>
                <w:szCs w:val="16"/>
              </w:rPr>
              <w:t>3</w:t>
            </w:r>
            <w:r w:rsidRPr="00B85D62">
              <w:rPr>
                <w:rFonts w:cs="Arial"/>
                <w:sz w:val="16"/>
                <w:szCs w:val="16"/>
              </w:rPr>
              <w:t>0.28)</w:t>
            </w:r>
          </w:p>
          <w:p w14:paraId="79835FF3" w14:textId="11194CA7" w:rsidR="00201D4F" w:rsidRPr="00B85D62" w:rsidRDefault="00201D4F" w:rsidP="0066232B">
            <w:pPr>
              <w:rPr>
                <w:rFonts w:cs="Arial"/>
                <w:sz w:val="16"/>
                <w:szCs w:val="16"/>
              </w:rPr>
            </w:pPr>
            <w:r w:rsidRPr="00B85D62">
              <w:rPr>
                <w:rFonts w:cs="Arial"/>
                <w:sz w:val="16"/>
                <w:szCs w:val="16"/>
              </w:rPr>
              <w:t>51.18 (45.54</w:t>
            </w:r>
            <w:r w:rsidR="00B85D62" w:rsidRPr="00B85D62">
              <w:rPr>
                <w:rFonts w:cs="Arial"/>
                <w:color w:val="00B0F0"/>
                <w:sz w:val="16"/>
                <w:szCs w:val="16"/>
              </w:rPr>
              <w:t>–</w:t>
            </w:r>
            <w:r w:rsidR="00B85D62" w:rsidRPr="00B85D62">
              <w:rPr>
                <w:rFonts w:cs="Arial"/>
                <w:color w:val="00B0F0"/>
                <w:sz w:val="16"/>
                <w:szCs w:val="16"/>
              </w:rPr>
              <w:t>5</w:t>
            </w:r>
            <w:r w:rsidRPr="00B85D62">
              <w:rPr>
                <w:rFonts w:cs="Arial"/>
                <w:sz w:val="16"/>
                <w:szCs w:val="16"/>
              </w:rPr>
              <w:t>7.51)</w:t>
            </w:r>
          </w:p>
        </w:tc>
        <w:tc>
          <w:tcPr>
            <w:tcW w:w="0" w:type="auto"/>
            <w:shd w:val="clear" w:color="auto" w:fill="auto"/>
          </w:tcPr>
          <w:p w14:paraId="4004DAD3" w14:textId="77777777" w:rsidR="00201D4F" w:rsidRPr="00B85D62" w:rsidRDefault="00201D4F" w:rsidP="0066232B">
            <w:pPr>
              <w:rPr>
                <w:rFonts w:cs="Arial"/>
                <w:sz w:val="16"/>
                <w:szCs w:val="16"/>
              </w:rPr>
            </w:pPr>
            <w:r w:rsidRPr="00B85D62">
              <w:rPr>
                <w:rFonts w:cs="Arial"/>
                <w:sz w:val="16"/>
                <w:szCs w:val="16"/>
              </w:rPr>
              <w:t>3.47</w:t>
            </w:r>
          </w:p>
          <w:p w14:paraId="154B99B6" w14:textId="77777777" w:rsidR="00201D4F" w:rsidRPr="00B85D62" w:rsidRDefault="00201D4F" w:rsidP="0066232B">
            <w:pPr>
              <w:rPr>
                <w:rFonts w:cs="Arial"/>
                <w:sz w:val="16"/>
                <w:szCs w:val="16"/>
              </w:rPr>
            </w:pPr>
            <w:r w:rsidRPr="00B85D62">
              <w:rPr>
                <w:rFonts w:cs="Arial"/>
                <w:sz w:val="16"/>
                <w:szCs w:val="16"/>
              </w:rPr>
              <w:t>32.99</w:t>
            </w:r>
          </w:p>
          <w:p w14:paraId="1054926B" w14:textId="77777777" w:rsidR="00201D4F" w:rsidRPr="00B85D62" w:rsidRDefault="00201D4F" w:rsidP="0066232B">
            <w:pPr>
              <w:rPr>
                <w:rFonts w:cs="Arial"/>
                <w:sz w:val="16"/>
                <w:szCs w:val="16"/>
              </w:rPr>
            </w:pPr>
            <w:r w:rsidRPr="00B85D62">
              <w:rPr>
                <w:rFonts w:cs="Arial"/>
                <w:sz w:val="16"/>
                <w:szCs w:val="16"/>
              </w:rPr>
              <w:t>61.49</w:t>
            </w:r>
          </w:p>
        </w:tc>
        <w:tc>
          <w:tcPr>
            <w:tcW w:w="0" w:type="auto"/>
            <w:shd w:val="clear" w:color="auto" w:fill="auto"/>
          </w:tcPr>
          <w:p w14:paraId="1781C84C" w14:textId="0FCAA70E" w:rsidR="00201D4F" w:rsidRPr="00B85D62" w:rsidRDefault="00201D4F" w:rsidP="0066232B">
            <w:pPr>
              <w:rPr>
                <w:rFonts w:cs="Arial"/>
                <w:sz w:val="16"/>
                <w:szCs w:val="16"/>
              </w:rPr>
            </w:pPr>
            <w:r w:rsidRPr="00B85D62">
              <w:rPr>
                <w:rFonts w:cs="Arial"/>
                <w:sz w:val="16"/>
                <w:szCs w:val="16"/>
              </w:rPr>
              <w:t>16.13 (12.42</w:t>
            </w:r>
            <w:r w:rsidR="00B85D62" w:rsidRPr="00B85D62">
              <w:rPr>
                <w:rFonts w:cs="Arial"/>
                <w:color w:val="00B0F0"/>
                <w:sz w:val="16"/>
                <w:szCs w:val="16"/>
              </w:rPr>
              <w:t>–</w:t>
            </w:r>
            <w:r w:rsidR="00B85D62" w:rsidRPr="00B85D62">
              <w:rPr>
                <w:rFonts w:cs="Arial"/>
                <w:color w:val="00B0F0"/>
                <w:sz w:val="16"/>
                <w:szCs w:val="16"/>
              </w:rPr>
              <w:t>2</w:t>
            </w:r>
            <w:r w:rsidRPr="00B85D62">
              <w:rPr>
                <w:rFonts w:cs="Arial"/>
                <w:sz w:val="16"/>
                <w:szCs w:val="16"/>
              </w:rPr>
              <w:t>0.96)</w:t>
            </w:r>
          </w:p>
          <w:p w14:paraId="68EDD2A4" w14:textId="29DE8E3C" w:rsidR="00201D4F" w:rsidRPr="00B85D62" w:rsidRDefault="00201D4F" w:rsidP="0066232B">
            <w:pPr>
              <w:rPr>
                <w:rFonts w:cs="Arial"/>
                <w:sz w:val="16"/>
                <w:szCs w:val="16"/>
              </w:rPr>
            </w:pPr>
            <w:r w:rsidRPr="00B85D62">
              <w:rPr>
                <w:rFonts w:cs="Arial"/>
                <w:sz w:val="16"/>
                <w:szCs w:val="16"/>
              </w:rPr>
              <w:t>10.03 (9.01</w:t>
            </w:r>
            <w:r w:rsidR="00B85D62" w:rsidRPr="00B85D62">
              <w:rPr>
                <w:rFonts w:cs="Arial"/>
                <w:color w:val="00B0F0"/>
                <w:sz w:val="16"/>
                <w:szCs w:val="16"/>
              </w:rPr>
              <w:t>–</w:t>
            </w:r>
            <w:r w:rsidR="00B85D62" w:rsidRPr="00B85D62">
              <w:rPr>
                <w:rFonts w:cs="Arial"/>
                <w:color w:val="00B0F0"/>
                <w:sz w:val="16"/>
                <w:szCs w:val="16"/>
              </w:rPr>
              <w:t>1</w:t>
            </w:r>
            <w:r w:rsidRPr="00B85D62">
              <w:rPr>
                <w:rFonts w:cs="Arial"/>
                <w:sz w:val="16"/>
                <w:szCs w:val="16"/>
              </w:rPr>
              <w:t>1.17)</w:t>
            </w:r>
          </w:p>
          <w:p w14:paraId="06B6BEEA" w14:textId="641FF3EE" w:rsidR="00201D4F" w:rsidRPr="00B85D62" w:rsidRDefault="00201D4F" w:rsidP="0066232B">
            <w:pPr>
              <w:rPr>
                <w:rFonts w:cs="Arial"/>
                <w:sz w:val="16"/>
                <w:szCs w:val="16"/>
              </w:rPr>
            </w:pPr>
            <w:r w:rsidRPr="00B85D62">
              <w:rPr>
                <w:rFonts w:cs="Arial"/>
                <w:sz w:val="16"/>
                <w:szCs w:val="16"/>
              </w:rPr>
              <w:t>4.59 (4.08</w:t>
            </w:r>
            <w:r w:rsidR="00B85D62" w:rsidRPr="00B85D62">
              <w:rPr>
                <w:rFonts w:cs="Arial"/>
                <w:color w:val="00B0F0"/>
                <w:sz w:val="16"/>
                <w:szCs w:val="16"/>
              </w:rPr>
              <w:t>–</w:t>
            </w:r>
            <w:r w:rsidR="00B85D62" w:rsidRPr="00B85D62">
              <w:rPr>
                <w:rFonts w:cs="Arial"/>
                <w:color w:val="00B0F0"/>
                <w:sz w:val="16"/>
                <w:szCs w:val="16"/>
              </w:rPr>
              <w:t>5</w:t>
            </w:r>
            <w:r w:rsidRPr="00B85D62">
              <w:rPr>
                <w:rFonts w:cs="Arial"/>
                <w:sz w:val="16"/>
                <w:szCs w:val="16"/>
              </w:rPr>
              <w:t>.15)</w:t>
            </w:r>
          </w:p>
        </w:tc>
      </w:tr>
      <w:tr w:rsidR="00201D4F" w:rsidRPr="00B85D62" w14:paraId="0F332A81" w14:textId="77777777" w:rsidTr="00B85D62">
        <w:trPr>
          <w:cantSplit/>
        </w:trPr>
        <w:tc>
          <w:tcPr>
            <w:tcW w:w="0" w:type="auto"/>
            <w:shd w:val="clear" w:color="auto" w:fill="auto"/>
          </w:tcPr>
          <w:p w14:paraId="040AEBF5" w14:textId="77777777" w:rsidR="00201D4F" w:rsidRPr="00B85D62" w:rsidRDefault="00201D4F" w:rsidP="0066232B">
            <w:pPr>
              <w:rPr>
                <w:rFonts w:cs="Arial"/>
                <w:sz w:val="16"/>
                <w:szCs w:val="16"/>
              </w:rPr>
            </w:pPr>
            <w:r w:rsidRPr="00B85D62">
              <w:rPr>
                <w:rFonts w:cs="Arial"/>
                <w:sz w:val="16"/>
                <w:szCs w:val="16"/>
              </w:rPr>
              <w:t>Total (men)</w:t>
            </w:r>
          </w:p>
        </w:tc>
        <w:tc>
          <w:tcPr>
            <w:tcW w:w="0" w:type="auto"/>
            <w:shd w:val="clear" w:color="auto" w:fill="auto"/>
          </w:tcPr>
          <w:p w14:paraId="320ABCF8" w14:textId="77777777" w:rsidR="00201D4F" w:rsidRPr="00B85D62" w:rsidRDefault="00201D4F" w:rsidP="0066232B">
            <w:pPr>
              <w:rPr>
                <w:rFonts w:cs="Arial"/>
                <w:sz w:val="16"/>
                <w:szCs w:val="16"/>
              </w:rPr>
            </w:pPr>
            <w:r w:rsidRPr="00B85D62">
              <w:rPr>
                <w:rFonts w:cs="Arial"/>
                <w:sz w:val="16"/>
                <w:szCs w:val="16"/>
              </w:rPr>
              <w:t>24,627</w:t>
            </w:r>
          </w:p>
        </w:tc>
        <w:tc>
          <w:tcPr>
            <w:tcW w:w="0" w:type="auto"/>
            <w:shd w:val="clear" w:color="auto" w:fill="auto"/>
          </w:tcPr>
          <w:p w14:paraId="61003AF3" w14:textId="77777777" w:rsidR="00201D4F" w:rsidRPr="00B85D62" w:rsidRDefault="00201D4F" w:rsidP="0066232B">
            <w:pPr>
              <w:rPr>
                <w:rFonts w:cs="Arial"/>
                <w:sz w:val="16"/>
                <w:szCs w:val="16"/>
              </w:rPr>
            </w:pPr>
            <w:r w:rsidRPr="00B85D62">
              <w:rPr>
                <w:rFonts w:cs="Arial"/>
                <w:sz w:val="16"/>
                <w:szCs w:val="16"/>
              </w:rPr>
              <w:t>669</w:t>
            </w:r>
          </w:p>
        </w:tc>
        <w:tc>
          <w:tcPr>
            <w:tcW w:w="0" w:type="auto"/>
            <w:shd w:val="clear" w:color="auto" w:fill="auto"/>
          </w:tcPr>
          <w:p w14:paraId="60E279B5" w14:textId="477DF39C" w:rsidR="00201D4F" w:rsidRPr="00B85D62" w:rsidRDefault="00201D4F" w:rsidP="0066232B">
            <w:pPr>
              <w:rPr>
                <w:rFonts w:cs="Arial"/>
                <w:sz w:val="16"/>
                <w:szCs w:val="16"/>
              </w:rPr>
            </w:pPr>
            <w:r w:rsidRPr="00B85D62">
              <w:rPr>
                <w:rFonts w:cs="Arial"/>
                <w:sz w:val="16"/>
                <w:szCs w:val="16"/>
              </w:rPr>
              <w:t>27.17 (25.18</w:t>
            </w:r>
            <w:r w:rsidR="00B85D62" w:rsidRPr="00B85D62">
              <w:rPr>
                <w:rFonts w:cs="Arial"/>
                <w:color w:val="00B0F0"/>
                <w:sz w:val="16"/>
                <w:szCs w:val="16"/>
              </w:rPr>
              <w:t>–</w:t>
            </w:r>
            <w:r w:rsidR="00B85D62" w:rsidRPr="00B85D62">
              <w:rPr>
                <w:rFonts w:cs="Arial"/>
                <w:color w:val="00B0F0"/>
                <w:sz w:val="16"/>
                <w:szCs w:val="16"/>
              </w:rPr>
              <w:t>2</w:t>
            </w:r>
            <w:r w:rsidRPr="00B85D62">
              <w:rPr>
                <w:rFonts w:cs="Arial"/>
                <w:sz w:val="16"/>
                <w:szCs w:val="16"/>
              </w:rPr>
              <w:t>9.30)</w:t>
            </w:r>
          </w:p>
        </w:tc>
        <w:tc>
          <w:tcPr>
            <w:tcW w:w="0" w:type="auto"/>
            <w:shd w:val="clear" w:color="auto" w:fill="auto"/>
          </w:tcPr>
          <w:p w14:paraId="6B63F123" w14:textId="77777777" w:rsidR="00201D4F" w:rsidRPr="00B85D62" w:rsidRDefault="00201D4F" w:rsidP="0066232B">
            <w:pPr>
              <w:rPr>
                <w:rFonts w:cs="Arial"/>
                <w:sz w:val="16"/>
                <w:szCs w:val="16"/>
              </w:rPr>
            </w:pPr>
            <w:r w:rsidRPr="00B85D62">
              <w:rPr>
                <w:rFonts w:cs="Arial"/>
                <w:sz w:val="16"/>
                <w:szCs w:val="16"/>
              </w:rPr>
              <w:t>97.96</w:t>
            </w:r>
          </w:p>
        </w:tc>
        <w:tc>
          <w:tcPr>
            <w:tcW w:w="0" w:type="auto"/>
            <w:shd w:val="clear" w:color="auto" w:fill="auto"/>
          </w:tcPr>
          <w:p w14:paraId="7426CA7E" w14:textId="34629E41" w:rsidR="00201D4F" w:rsidRPr="00B85D62" w:rsidRDefault="00201D4F" w:rsidP="0066232B">
            <w:pPr>
              <w:rPr>
                <w:rFonts w:cs="Arial"/>
                <w:sz w:val="16"/>
                <w:szCs w:val="16"/>
              </w:rPr>
            </w:pPr>
            <w:r w:rsidRPr="00B85D62">
              <w:rPr>
                <w:rFonts w:cs="Arial"/>
                <w:sz w:val="16"/>
                <w:szCs w:val="16"/>
              </w:rPr>
              <w:t>6.83 (6.33</w:t>
            </w:r>
            <w:r w:rsidR="00B85D62" w:rsidRPr="00B85D62">
              <w:rPr>
                <w:rFonts w:cs="Arial"/>
                <w:color w:val="00B0F0"/>
                <w:sz w:val="16"/>
                <w:szCs w:val="16"/>
              </w:rPr>
              <w:t>–</w:t>
            </w:r>
            <w:r w:rsidR="00B85D62" w:rsidRPr="00B85D62">
              <w:rPr>
                <w:rFonts w:cs="Arial"/>
                <w:color w:val="00B0F0"/>
                <w:sz w:val="16"/>
                <w:szCs w:val="16"/>
              </w:rPr>
              <w:t>7</w:t>
            </w:r>
            <w:r w:rsidRPr="00B85D62">
              <w:rPr>
                <w:rFonts w:cs="Arial"/>
                <w:sz w:val="16"/>
                <w:szCs w:val="16"/>
              </w:rPr>
              <w:t>.37)</w:t>
            </w:r>
          </w:p>
        </w:tc>
      </w:tr>
      <w:tr w:rsidR="00201D4F" w:rsidRPr="00B85D62" w14:paraId="3C61FD37" w14:textId="77777777" w:rsidTr="00B85D62">
        <w:trPr>
          <w:cantSplit/>
        </w:trPr>
        <w:tc>
          <w:tcPr>
            <w:tcW w:w="0" w:type="auto"/>
            <w:shd w:val="clear" w:color="auto" w:fill="auto"/>
          </w:tcPr>
          <w:p w14:paraId="38F24B8A" w14:textId="77777777" w:rsidR="00201D4F" w:rsidRPr="00B85D62" w:rsidRDefault="00201D4F" w:rsidP="0066232B">
            <w:pPr>
              <w:rPr>
                <w:rFonts w:cs="Arial"/>
                <w:sz w:val="16"/>
                <w:szCs w:val="16"/>
              </w:rPr>
            </w:pPr>
            <w:r w:rsidRPr="00B85D62">
              <w:rPr>
                <w:rFonts w:cs="Arial"/>
                <w:b/>
                <w:bCs/>
                <w:sz w:val="16"/>
                <w:szCs w:val="16"/>
              </w:rPr>
              <w:lastRenderedPageBreak/>
              <w:t>Females</w:t>
            </w:r>
          </w:p>
        </w:tc>
        <w:tc>
          <w:tcPr>
            <w:tcW w:w="0" w:type="auto"/>
            <w:shd w:val="clear" w:color="auto" w:fill="auto"/>
          </w:tcPr>
          <w:p w14:paraId="4248BB35" w14:textId="77777777" w:rsidR="00201D4F" w:rsidRPr="00B85D62" w:rsidRDefault="00201D4F" w:rsidP="0066232B">
            <w:pPr>
              <w:rPr>
                <w:rFonts w:cs="Arial"/>
                <w:sz w:val="16"/>
                <w:szCs w:val="16"/>
              </w:rPr>
            </w:pPr>
            <w:r w:rsidRPr="00B85D62">
              <w:rPr>
                <w:rFonts w:cs="Arial"/>
                <w:sz w:val="16"/>
                <w:szCs w:val="16"/>
              </w:rPr>
              <w:t xml:space="preserve"> </w:t>
            </w:r>
          </w:p>
        </w:tc>
        <w:tc>
          <w:tcPr>
            <w:tcW w:w="0" w:type="auto"/>
            <w:shd w:val="clear" w:color="auto" w:fill="auto"/>
          </w:tcPr>
          <w:p w14:paraId="7B42C46E" w14:textId="77777777" w:rsidR="00201D4F" w:rsidRPr="00B85D62" w:rsidRDefault="00201D4F" w:rsidP="0066232B">
            <w:pPr>
              <w:rPr>
                <w:rFonts w:cs="Arial"/>
                <w:sz w:val="16"/>
                <w:szCs w:val="16"/>
              </w:rPr>
            </w:pPr>
            <w:r w:rsidRPr="00B85D62">
              <w:rPr>
                <w:rFonts w:cs="Arial"/>
                <w:sz w:val="16"/>
                <w:szCs w:val="16"/>
              </w:rPr>
              <w:t xml:space="preserve"> </w:t>
            </w:r>
          </w:p>
        </w:tc>
        <w:tc>
          <w:tcPr>
            <w:tcW w:w="0" w:type="auto"/>
            <w:shd w:val="clear" w:color="auto" w:fill="auto"/>
          </w:tcPr>
          <w:p w14:paraId="4B76AA8B" w14:textId="77777777" w:rsidR="00201D4F" w:rsidRPr="00B85D62" w:rsidRDefault="00201D4F" w:rsidP="0066232B">
            <w:pPr>
              <w:rPr>
                <w:rFonts w:cs="Arial"/>
                <w:sz w:val="16"/>
                <w:szCs w:val="16"/>
              </w:rPr>
            </w:pPr>
            <w:r w:rsidRPr="00B85D62">
              <w:rPr>
                <w:rFonts w:cs="Arial"/>
                <w:sz w:val="16"/>
                <w:szCs w:val="16"/>
              </w:rPr>
              <w:t xml:space="preserve"> </w:t>
            </w:r>
          </w:p>
        </w:tc>
        <w:tc>
          <w:tcPr>
            <w:tcW w:w="0" w:type="auto"/>
            <w:shd w:val="clear" w:color="auto" w:fill="auto"/>
          </w:tcPr>
          <w:p w14:paraId="227976A2" w14:textId="77777777" w:rsidR="00201D4F" w:rsidRPr="00B85D62" w:rsidRDefault="00201D4F" w:rsidP="0066232B">
            <w:pPr>
              <w:rPr>
                <w:rFonts w:cs="Arial"/>
                <w:sz w:val="16"/>
                <w:szCs w:val="16"/>
              </w:rPr>
            </w:pPr>
            <w:r w:rsidRPr="00B85D62">
              <w:rPr>
                <w:rFonts w:cs="Arial"/>
                <w:sz w:val="16"/>
                <w:szCs w:val="16"/>
              </w:rPr>
              <w:t xml:space="preserve"> </w:t>
            </w:r>
          </w:p>
        </w:tc>
        <w:tc>
          <w:tcPr>
            <w:tcW w:w="0" w:type="auto"/>
            <w:shd w:val="clear" w:color="auto" w:fill="auto"/>
          </w:tcPr>
          <w:p w14:paraId="28C8DA0D" w14:textId="77777777" w:rsidR="00201D4F" w:rsidRPr="00B85D62" w:rsidRDefault="00201D4F" w:rsidP="0066232B">
            <w:pPr>
              <w:rPr>
                <w:rFonts w:cs="Arial"/>
                <w:sz w:val="16"/>
                <w:szCs w:val="16"/>
              </w:rPr>
            </w:pPr>
            <w:r w:rsidRPr="00B85D62">
              <w:rPr>
                <w:rFonts w:cs="Arial"/>
                <w:sz w:val="16"/>
                <w:szCs w:val="16"/>
              </w:rPr>
              <w:t xml:space="preserve"> </w:t>
            </w:r>
          </w:p>
        </w:tc>
      </w:tr>
      <w:tr w:rsidR="00201D4F" w:rsidRPr="00B85D62" w14:paraId="671C05EF" w14:textId="77777777" w:rsidTr="00B85D62">
        <w:trPr>
          <w:cantSplit/>
        </w:trPr>
        <w:tc>
          <w:tcPr>
            <w:tcW w:w="0" w:type="auto"/>
            <w:shd w:val="clear" w:color="auto" w:fill="auto"/>
          </w:tcPr>
          <w:p w14:paraId="163BEE51" w14:textId="3576C4F1" w:rsidR="00201D4F" w:rsidRPr="00B85D62" w:rsidRDefault="00B85D62" w:rsidP="0066232B">
            <w:pPr>
              <w:rPr>
                <w:rFonts w:cs="Arial"/>
                <w:sz w:val="16"/>
                <w:szCs w:val="16"/>
              </w:rPr>
            </w:pPr>
            <w:r w:rsidRPr="00B85D62">
              <w:rPr>
                <w:rFonts w:cs="Arial"/>
                <w:color w:val="00B0F0"/>
                <w:sz w:val="16"/>
                <w:szCs w:val="16"/>
              </w:rPr>
              <w:t>&lt;</w:t>
            </w:r>
            <w:r w:rsidRPr="00B85D62">
              <w:rPr>
                <w:rFonts w:cs="Arial"/>
                <w:color w:val="00B0F0"/>
                <w:sz w:val="16"/>
                <w:szCs w:val="16"/>
              </w:rPr>
              <w:t> </w:t>
            </w:r>
            <w:r w:rsidRPr="00B85D62">
              <w:rPr>
                <w:rFonts w:cs="Arial"/>
                <w:color w:val="00B0F0"/>
                <w:sz w:val="16"/>
                <w:szCs w:val="16"/>
              </w:rPr>
              <w:t>3</w:t>
            </w:r>
            <w:r w:rsidR="00201D4F" w:rsidRPr="00B85D62">
              <w:rPr>
                <w:rFonts w:cs="Arial"/>
                <w:sz w:val="16"/>
                <w:szCs w:val="16"/>
              </w:rPr>
              <w:t>0 years</w:t>
            </w:r>
          </w:p>
          <w:p w14:paraId="143249E8" w14:textId="402D4E9C" w:rsidR="00201D4F" w:rsidRPr="00B85D62" w:rsidRDefault="00201D4F" w:rsidP="0066232B">
            <w:pPr>
              <w:rPr>
                <w:rFonts w:cs="Arial"/>
                <w:sz w:val="16"/>
                <w:szCs w:val="16"/>
              </w:rPr>
            </w:pPr>
            <w:r w:rsidRPr="00B85D62">
              <w:rPr>
                <w:rFonts w:cs="Arial"/>
                <w:sz w:val="16"/>
                <w:szCs w:val="16"/>
              </w:rPr>
              <w:t xml:space="preserve">30 to </w:t>
            </w:r>
            <w:r w:rsidR="00B85D62" w:rsidRPr="00B85D62">
              <w:rPr>
                <w:rFonts w:cs="Arial"/>
                <w:color w:val="00B0F0"/>
                <w:sz w:val="16"/>
                <w:szCs w:val="16"/>
              </w:rPr>
              <w:t>&lt;</w:t>
            </w:r>
            <w:r w:rsidR="00B85D62" w:rsidRPr="00B85D62">
              <w:rPr>
                <w:rFonts w:cs="Arial"/>
                <w:color w:val="00B0F0"/>
                <w:sz w:val="16"/>
                <w:szCs w:val="16"/>
              </w:rPr>
              <w:t> </w:t>
            </w:r>
            <w:r w:rsidR="00B85D62" w:rsidRPr="00B85D62">
              <w:rPr>
                <w:rFonts w:cs="Arial"/>
                <w:color w:val="00B0F0"/>
                <w:sz w:val="16"/>
                <w:szCs w:val="16"/>
              </w:rPr>
              <w:t>5</w:t>
            </w:r>
            <w:r w:rsidRPr="00B85D62">
              <w:rPr>
                <w:rFonts w:cs="Arial"/>
                <w:sz w:val="16"/>
                <w:szCs w:val="16"/>
              </w:rPr>
              <w:t>0 years</w:t>
            </w:r>
          </w:p>
          <w:p w14:paraId="684A10C3" w14:textId="0C19D2F7" w:rsidR="00201D4F" w:rsidRPr="00B85D62" w:rsidRDefault="00B85D62" w:rsidP="0066232B">
            <w:pPr>
              <w:rPr>
                <w:rFonts w:cs="Arial"/>
                <w:sz w:val="16"/>
                <w:szCs w:val="16"/>
              </w:rPr>
            </w:pPr>
            <w:r w:rsidRPr="00B85D62">
              <w:rPr>
                <w:rFonts w:cs="Arial"/>
                <w:color w:val="00B0F0"/>
                <w:sz w:val="16"/>
                <w:szCs w:val="16"/>
              </w:rPr>
              <w:t>&gt;</w:t>
            </w:r>
            <w:r w:rsidRPr="00B85D62">
              <w:rPr>
                <w:rFonts w:cs="Arial"/>
                <w:color w:val="00B0F0"/>
                <w:sz w:val="16"/>
                <w:szCs w:val="16"/>
              </w:rPr>
              <w:t> </w:t>
            </w:r>
            <w:r w:rsidRPr="00B85D62">
              <w:rPr>
                <w:rFonts w:cs="Arial"/>
                <w:color w:val="00B0F0"/>
                <w:sz w:val="16"/>
                <w:szCs w:val="16"/>
              </w:rPr>
              <w:t>5</w:t>
            </w:r>
            <w:r w:rsidR="00201D4F" w:rsidRPr="00B85D62">
              <w:rPr>
                <w:rFonts w:cs="Arial"/>
                <w:sz w:val="16"/>
                <w:szCs w:val="16"/>
              </w:rPr>
              <w:t>0 years</w:t>
            </w:r>
          </w:p>
        </w:tc>
        <w:tc>
          <w:tcPr>
            <w:tcW w:w="0" w:type="auto"/>
            <w:shd w:val="clear" w:color="auto" w:fill="auto"/>
          </w:tcPr>
          <w:p w14:paraId="7C71ED9D" w14:textId="77777777" w:rsidR="00201D4F" w:rsidRPr="00B85D62" w:rsidRDefault="00201D4F" w:rsidP="0066232B">
            <w:pPr>
              <w:rPr>
                <w:rFonts w:cs="Arial"/>
                <w:sz w:val="16"/>
                <w:szCs w:val="16"/>
              </w:rPr>
            </w:pPr>
            <w:r w:rsidRPr="00B85D62">
              <w:rPr>
                <w:rFonts w:cs="Arial"/>
                <w:sz w:val="16"/>
                <w:szCs w:val="16"/>
              </w:rPr>
              <w:t>7,157</w:t>
            </w:r>
          </w:p>
          <w:p w14:paraId="39B5AC00" w14:textId="77777777" w:rsidR="00201D4F" w:rsidRPr="00B85D62" w:rsidRDefault="00201D4F" w:rsidP="0066232B">
            <w:pPr>
              <w:rPr>
                <w:rFonts w:cs="Arial"/>
                <w:sz w:val="16"/>
                <w:szCs w:val="16"/>
              </w:rPr>
            </w:pPr>
            <w:r w:rsidRPr="00B85D62">
              <w:rPr>
                <w:rFonts w:cs="Arial"/>
                <w:sz w:val="16"/>
                <w:szCs w:val="16"/>
              </w:rPr>
              <w:t>9,546</w:t>
            </w:r>
          </w:p>
          <w:p w14:paraId="09946188" w14:textId="77777777" w:rsidR="00201D4F" w:rsidRPr="00B85D62" w:rsidRDefault="00201D4F" w:rsidP="0066232B">
            <w:pPr>
              <w:rPr>
                <w:rFonts w:cs="Arial"/>
                <w:sz w:val="16"/>
                <w:szCs w:val="16"/>
              </w:rPr>
            </w:pPr>
            <w:r w:rsidRPr="00B85D62">
              <w:rPr>
                <w:rFonts w:cs="Arial"/>
                <w:sz w:val="16"/>
                <w:szCs w:val="16"/>
              </w:rPr>
              <w:t>10,765</w:t>
            </w:r>
          </w:p>
        </w:tc>
        <w:tc>
          <w:tcPr>
            <w:tcW w:w="0" w:type="auto"/>
            <w:shd w:val="clear" w:color="auto" w:fill="auto"/>
          </w:tcPr>
          <w:p w14:paraId="1C6E569B" w14:textId="77777777" w:rsidR="00201D4F" w:rsidRPr="00B85D62" w:rsidRDefault="00201D4F" w:rsidP="0066232B">
            <w:pPr>
              <w:rPr>
                <w:rFonts w:cs="Arial"/>
                <w:sz w:val="16"/>
                <w:szCs w:val="16"/>
              </w:rPr>
            </w:pPr>
            <w:r w:rsidRPr="00B85D62">
              <w:rPr>
                <w:rFonts w:cs="Arial"/>
                <w:sz w:val="16"/>
                <w:szCs w:val="16"/>
              </w:rPr>
              <w:t>33</w:t>
            </w:r>
          </w:p>
          <w:p w14:paraId="4FFD34A0" w14:textId="77777777" w:rsidR="00201D4F" w:rsidRPr="00B85D62" w:rsidRDefault="00201D4F" w:rsidP="0066232B">
            <w:pPr>
              <w:rPr>
                <w:rFonts w:cs="Arial"/>
                <w:sz w:val="16"/>
                <w:szCs w:val="16"/>
              </w:rPr>
            </w:pPr>
            <w:r w:rsidRPr="00B85D62">
              <w:rPr>
                <w:rFonts w:cs="Arial"/>
                <w:sz w:val="16"/>
                <w:szCs w:val="16"/>
              </w:rPr>
              <w:t>178</w:t>
            </w:r>
          </w:p>
          <w:p w14:paraId="3FD8C06E" w14:textId="77777777" w:rsidR="00201D4F" w:rsidRPr="00B85D62" w:rsidRDefault="00201D4F" w:rsidP="0066232B">
            <w:pPr>
              <w:rPr>
                <w:rFonts w:cs="Arial"/>
                <w:sz w:val="16"/>
                <w:szCs w:val="16"/>
              </w:rPr>
            </w:pPr>
            <w:r w:rsidRPr="00B85D62">
              <w:rPr>
                <w:rFonts w:cs="Arial"/>
                <w:sz w:val="16"/>
                <w:szCs w:val="16"/>
              </w:rPr>
              <w:t>447</w:t>
            </w:r>
          </w:p>
        </w:tc>
        <w:tc>
          <w:tcPr>
            <w:tcW w:w="0" w:type="auto"/>
            <w:shd w:val="clear" w:color="auto" w:fill="auto"/>
          </w:tcPr>
          <w:p w14:paraId="795B21C9" w14:textId="02B4D647" w:rsidR="00201D4F" w:rsidRPr="00B85D62" w:rsidRDefault="00201D4F" w:rsidP="0066232B">
            <w:pPr>
              <w:rPr>
                <w:rFonts w:cs="Arial"/>
                <w:sz w:val="16"/>
                <w:szCs w:val="16"/>
              </w:rPr>
            </w:pPr>
            <w:r w:rsidRPr="00B85D62">
              <w:rPr>
                <w:rFonts w:cs="Arial"/>
                <w:sz w:val="16"/>
                <w:szCs w:val="16"/>
              </w:rPr>
              <w:t>4.61 (3.28</w:t>
            </w:r>
            <w:r w:rsidR="00B85D62" w:rsidRPr="00B85D62">
              <w:rPr>
                <w:rFonts w:cs="Arial"/>
                <w:color w:val="00B0F0"/>
                <w:sz w:val="16"/>
                <w:szCs w:val="16"/>
              </w:rPr>
              <w:t>–</w:t>
            </w:r>
            <w:r w:rsidR="00B85D62" w:rsidRPr="00B85D62">
              <w:rPr>
                <w:rFonts w:cs="Arial"/>
                <w:color w:val="00B0F0"/>
                <w:sz w:val="16"/>
                <w:szCs w:val="16"/>
              </w:rPr>
              <w:t>6</w:t>
            </w:r>
            <w:r w:rsidRPr="00B85D62">
              <w:rPr>
                <w:rFonts w:cs="Arial"/>
                <w:sz w:val="16"/>
                <w:szCs w:val="16"/>
              </w:rPr>
              <w:t>.49)</w:t>
            </w:r>
          </w:p>
          <w:p w14:paraId="382C1674" w14:textId="007C97D7" w:rsidR="00201D4F" w:rsidRPr="00B85D62" w:rsidRDefault="00201D4F" w:rsidP="0066232B">
            <w:pPr>
              <w:rPr>
                <w:rFonts w:cs="Arial"/>
                <w:sz w:val="16"/>
                <w:szCs w:val="16"/>
              </w:rPr>
            </w:pPr>
            <w:r w:rsidRPr="00B85D62">
              <w:rPr>
                <w:rFonts w:cs="Arial"/>
                <w:sz w:val="16"/>
                <w:szCs w:val="16"/>
              </w:rPr>
              <w:t>18.65 (16.10</w:t>
            </w:r>
            <w:r w:rsidR="00B85D62" w:rsidRPr="00B85D62">
              <w:rPr>
                <w:rFonts w:cs="Arial"/>
                <w:color w:val="00B0F0"/>
                <w:sz w:val="16"/>
                <w:szCs w:val="16"/>
              </w:rPr>
              <w:t>–</w:t>
            </w:r>
            <w:r w:rsidR="00B85D62" w:rsidRPr="00B85D62">
              <w:rPr>
                <w:rFonts w:cs="Arial"/>
                <w:color w:val="00B0F0"/>
                <w:sz w:val="16"/>
                <w:szCs w:val="16"/>
              </w:rPr>
              <w:t>2</w:t>
            </w:r>
            <w:r w:rsidRPr="00B85D62">
              <w:rPr>
                <w:rFonts w:cs="Arial"/>
                <w:sz w:val="16"/>
                <w:szCs w:val="16"/>
              </w:rPr>
              <w:t>1.60)</w:t>
            </w:r>
          </w:p>
          <w:p w14:paraId="0E66327D" w14:textId="7A98E3F0" w:rsidR="00201D4F" w:rsidRPr="00B85D62" w:rsidRDefault="00201D4F" w:rsidP="0066232B">
            <w:pPr>
              <w:rPr>
                <w:rFonts w:cs="Arial"/>
                <w:sz w:val="16"/>
                <w:szCs w:val="16"/>
              </w:rPr>
            </w:pPr>
            <w:r w:rsidRPr="00B85D62">
              <w:rPr>
                <w:rFonts w:cs="Arial"/>
                <w:sz w:val="16"/>
                <w:szCs w:val="16"/>
              </w:rPr>
              <w:t>41.52 (37.85</w:t>
            </w:r>
            <w:r w:rsidR="00B85D62" w:rsidRPr="00B85D62">
              <w:rPr>
                <w:rFonts w:cs="Arial"/>
                <w:color w:val="00B0F0"/>
                <w:sz w:val="16"/>
                <w:szCs w:val="16"/>
              </w:rPr>
              <w:t>–</w:t>
            </w:r>
            <w:r w:rsidR="00B85D62" w:rsidRPr="00B85D62">
              <w:rPr>
                <w:rFonts w:cs="Arial"/>
                <w:color w:val="00B0F0"/>
                <w:sz w:val="16"/>
                <w:szCs w:val="16"/>
              </w:rPr>
              <w:t>4</w:t>
            </w:r>
            <w:r w:rsidRPr="00B85D62">
              <w:rPr>
                <w:rFonts w:cs="Arial"/>
                <w:sz w:val="16"/>
                <w:szCs w:val="16"/>
              </w:rPr>
              <w:t>5.56)</w:t>
            </w:r>
          </w:p>
        </w:tc>
        <w:tc>
          <w:tcPr>
            <w:tcW w:w="0" w:type="auto"/>
            <w:shd w:val="clear" w:color="auto" w:fill="auto"/>
          </w:tcPr>
          <w:p w14:paraId="01ABB0CB" w14:textId="77777777" w:rsidR="00201D4F" w:rsidRPr="00B85D62" w:rsidRDefault="00201D4F" w:rsidP="0066232B">
            <w:pPr>
              <w:rPr>
                <w:rFonts w:cs="Arial"/>
                <w:sz w:val="16"/>
                <w:szCs w:val="16"/>
              </w:rPr>
            </w:pPr>
            <w:r w:rsidRPr="00B85D62">
              <w:rPr>
                <w:rFonts w:cs="Arial"/>
                <w:sz w:val="16"/>
                <w:szCs w:val="16"/>
              </w:rPr>
              <w:t>2.15</w:t>
            </w:r>
          </w:p>
          <w:p w14:paraId="32AA04E2" w14:textId="77777777" w:rsidR="00201D4F" w:rsidRPr="00B85D62" w:rsidRDefault="00201D4F" w:rsidP="0066232B">
            <w:pPr>
              <w:rPr>
                <w:rFonts w:cs="Arial"/>
                <w:sz w:val="16"/>
                <w:szCs w:val="16"/>
              </w:rPr>
            </w:pPr>
            <w:r w:rsidRPr="00B85D62">
              <w:rPr>
                <w:rFonts w:cs="Arial"/>
                <w:sz w:val="16"/>
                <w:szCs w:val="16"/>
              </w:rPr>
              <w:t>11.84</w:t>
            </w:r>
          </w:p>
          <w:p w14:paraId="3F8A213B" w14:textId="77777777" w:rsidR="00201D4F" w:rsidRPr="00B85D62" w:rsidRDefault="00201D4F" w:rsidP="0066232B">
            <w:pPr>
              <w:rPr>
                <w:rFonts w:cs="Arial"/>
                <w:sz w:val="16"/>
                <w:szCs w:val="16"/>
              </w:rPr>
            </w:pPr>
            <w:r w:rsidRPr="00B85D62">
              <w:rPr>
                <w:rFonts w:cs="Arial"/>
                <w:sz w:val="16"/>
                <w:szCs w:val="16"/>
              </w:rPr>
              <w:t>73.20</w:t>
            </w:r>
          </w:p>
        </w:tc>
        <w:tc>
          <w:tcPr>
            <w:tcW w:w="0" w:type="auto"/>
            <w:shd w:val="clear" w:color="auto" w:fill="auto"/>
          </w:tcPr>
          <w:p w14:paraId="312997B8" w14:textId="4957E21D" w:rsidR="00201D4F" w:rsidRPr="00B85D62" w:rsidRDefault="00201D4F" w:rsidP="0066232B">
            <w:pPr>
              <w:rPr>
                <w:rFonts w:cs="Arial"/>
                <w:sz w:val="16"/>
                <w:szCs w:val="16"/>
              </w:rPr>
            </w:pPr>
            <w:r w:rsidRPr="00B85D62">
              <w:rPr>
                <w:rFonts w:cs="Arial"/>
                <w:sz w:val="16"/>
                <w:szCs w:val="16"/>
              </w:rPr>
              <w:t>15.37 (10.93</w:t>
            </w:r>
            <w:r w:rsidR="00B85D62" w:rsidRPr="00B85D62">
              <w:rPr>
                <w:rFonts w:cs="Arial"/>
                <w:color w:val="00B0F0"/>
                <w:sz w:val="16"/>
                <w:szCs w:val="16"/>
              </w:rPr>
              <w:t>–</w:t>
            </w:r>
            <w:r w:rsidR="00B85D62" w:rsidRPr="00B85D62">
              <w:rPr>
                <w:rFonts w:cs="Arial"/>
                <w:color w:val="00B0F0"/>
                <w:sz w:val="16"/>
                <w:szCs w:val="16"/>
              </w:rPr>
              <w:t>2</w:t>
            </w:r>
            <w:r w:rsidRPr="00B85D62">
              <w:rPr>
                <w:rFonts w:cs="Arial"/>
                <w:sz w:val="16"/>
                <w:szCs w:val="16"/>
              </w:rPr>
              <w:t>1.62)</w:t>
            </w:r>
          </w:p>
          <w:p w14:paraId="23AE4C08" w14:textId="1273EB9A" w:rsidR="00201D4F" w:rsidRPr="00B85D62" w:rsidRDefault="00201D4F" w:rsidP="0066232B">
            <w:pPr>
              <w:rPr>
                <w:rFonts w:cs="Arial"/>
                <w:sz w:val="16"/>
                <w:szCs w:val="16"/>
              </w:rPr>
            </w:pPr>
            <w:r w:rsidRPr="00B85D62">
              <w:rPr>
                <w:rFonts w:cs="Arial"/>
                <w:sz w:val="16"/>
                <w:szCs w:val="16"/>
              </w:rPr>
              <w:t>15.04 (12.98</w:t>
            </w:r>
            <w:r w:rsidR="00B85D62" w:rsidRPr="00B85D62">
              <w:rPr>
                <w:rFonts w:cs="Arial"/>
                <w:color w:val="00B0F0"/>
                <w:sz w:val="16"/>
                <w:szCs w:val="16"/>
              </w:rPr>
              <w:t>–</w:t>
            </w:r>
            <w:r w:rsidR="00B85D62" w:rsidRPr="00B85D62">
              <w:rPr>
                <w:rFonts w:cs="Arial"/>
                <w:color w:val="00B0F0"/>
                <w:sz w:val="16"/>
                <w:szCs w:val="16"/>
              </w:rPr>
              <w:t>1</w:t>
            </w:r>
            <w:r w:rsidRPr="00B85D62">
              <w:rPr>
                <w:rFonts w:cs="Arial"/>
                <w:sz w:val="16"/>
                <w:szCs w:val="16"/>
              </w:rPr>
              <w:t>7.42)</w:t>
            </w:r>
          </w:p>
          <w:p w14:paraId="70A78EBE" w14:textId="0EAF6DA7" w:rsidR="00201D4F" w:rsidRPr="00B85D62" w:rsidRDefault="00201D4F" w:rsidP="0066232B">
            <w:pPr>
              <w:rPr>
                <w:rFonts w:cs="Arial"/>
                <w:sz w:val="16"/>
                <w:szCs w:val="16"/>
              </w:rPr>
            </w:pPr>
            <w:r w:rsidRPr="00B85D62">
              <w:rPr>
                <w:rFonts w:cs="Arial"/>
                <w:sz w:val="16"/>
                <w:szCs w:val="16"/>
              </w:rPr>
              <w:t>6.11 (5.57</w:t>
            </w:r>
            <w:r w:rsidR="00B85D62" w:rsidRPr="00B85D62">
              <w:rPr>
                <w:rFonts w:cs="Arial"/>
                <w:color w:val="00B0F0"/>
                <w:sz w:val="16"/>
                <w:szCs w:val="16"/>
              </w:rPr>
              <w:t>–</w:t>
            </w:r>
            <w:r w:rsidR="00B85D62" w:rsidRPr="00B85D62">
              <w:rPr>
                <w:rFonts w:cs="Arial"/>
                <w:color w:val="00B0F0"/>
                <w:sz w:val="16"/>
                <w:szCs w:val="16"/>
              </w:rPr>
              <w:t>6</w:t>
            </w:r>
            <w:r w:rsidRPr="00B85D62">
              <w:rPr>
                <w:rFonts w:cs="Arial"/>
                <w:sz w:val="16"/>
                <w:szCs w:val="16"/>
              </w:rPr>
              <w:t>.70)</w:t>
            </w:r>
          </w:p>
        </w:tc>
      </w:tr>
      <w:tr w:rsidR="00201D4F" w:rsidRPr="00B85D62" w14:paraId="7E6D5100" w14:textId="77777777" w:rsidTr="00B85D62">
        <w:trPr>
          <w:cantSplit/>
        </w:trPr>
        <w:tc>
          <w:tcPr>
            <w:tcW w:w="0" w:type="auto"/>
            <w:shd w:val="clear" w:color="auto" w:fill="auto"/>
          </w:tcPr>
          <w:p w14:paraId="391C85DB" w14:textId="77777777" w:rsidR="00201D4F" w:rsidRPr="00B85D62" w:rsidRDefault="00201D4F" w:rsidP="0066232B">
            <w:pPr>
              <w:rPr>
                <w:rFonts w:cs="Arial"/>
                <w:sz w:val="16"/>
                <w:szCs w:val="16"/>
              </w:rPr>
            </w:pPr>
            <w:r w:rsidRPr="00B85D62">
              <w:rPr>
                <w:rFonts w:cs="Arial"/>
                <w:sz w:val="16"/>
                <w:szCs w:val="16"/>
              </w:rPr>
              <w:t>Total (women)</w:t>
            </w:r>
          </w:p>
        </w:tc>
        <w:tc>
          <w:tcPr>
            <w:tcW w:w="0" w:type="auto"/>
            <w:shd w:val="clear" w:color="auto" w:fill="auto"/>
          </w:tcPr>
          <w:p w14:paraId="1647E8D8" w14:textId="77777777" w:rsidR="00201D4F" w:rsidRPr="00B85D62" w:rsidRDefault="00201D4F" w:rsidP="0066232B">
            <w:pPr>
              <w:rPr>
                <w:rFonts w:cs="Arial"/>
                <w:sz w:val="16"/>
                <w:szCs w:val="16"/>
              </w:rPr>
            </w:pPr>
            <w:r w:rsidRPr="00B85D62">
              <w:rPr>
                <w:rFonts w:cs="Arial"/>
                <w:sz w:val="16"/>
                <w:szCs w:val="16"/>
              </w:rPr>
              <w:t>27,468</w:t>
            </w:r>
          </w:p>
        </w:tc>
        <w:tc>
          <w:tcPr>
            <w:tcW w:w="0" w:type="auto"/>
            <w:shd w:val="clear" w:color="auto" w:fill="auto"/>
          </w:tcPr>
          <w:p w14:paraId="5FBC687B" w14:textId="77777777" w:rsidR="00201D4F" w:rsidRPr="00B85D62" w:rsidRDefault="00201D4F" w:rsidP="0066232B">
            <w:pPr>
              <w:rPr>
                <w:rFonts w:cs="Arial"/>
                <w:sz w:val="16"/>
                <w:szCs w:val="16"/>
              </w:rPr>
            </w:pPr>
            <w:r w:rsidRPr="00B85D62">
              <w:rPr>
                <w:rFonts w:cs="Arial"/>
                <w:sz w:val="16"/>
                <w:szCs w:val="16"/>
              </w:rPr>
              <w:t>658</w:t>
            </w:r>
          </w:p>
        </w:tc>
        <w:tc>
          <w:tcPr>
            <w:tcW w:w="0" w:type="auto"/>
            <w:shd w:val="clear" w:color="auto" w:fill="auto"/>
          </w:tcPr>
          <w:p w14:paraId="5A01117F" w14:textId="227A89FC" w:rsidR="00201D4F" w:rsidRPr="00B85D62" w:rsidRDefault="00201D4F" w:rsidP="0066232B">
            <w:pPr>
              <w:rPr>
                <w:rFonts w:cs="Arial"/>
                <w:sz w:val="16"/>
                <w:szCs w:val="16"/>
              </w:rPr>
            </w:pPr>
            <w:r w:rsidRPr="00B85D62">
              <w:rPr>
                <w:rFonts w:cs="Arial"/>
                <w:sz w:val="16"/>
                <w:szCs w:val="16"/>
              </w:rPr>
              <w:t>23.96 (22.19</w:t>
            </w:r>
            <w:r w:rsidR="00B85D62" w:rsidRPr="00B85D62">
              <w:rPr>
                <w:rFonts w:cs="Arial"/>
                <w:color w:val="00B0F0"/>
                <w:sz w:val="16"/>
                <w:szCs w:val="16"/>
              </w:rPr>
              <w:t>–</w:t>
            </w:r>
            <w:r w:rsidR="00B85D62" w:rsidRPr="00B85D62">
              <w:rPr>
                <w:rFonts w:cs="Arial"/>
                <w:color w:val="00B0F0"/>
                <w:sz w:val="16"/>
                <w:szCs w:val="16"/>
              </w:rPr>
              <w:t>2</w:t>
            </w:r>
            <w:r w:rsidRPr="00B85D62">
              <w:rPr>
                <w:rFonts w:cs="Arial"/>
                <w:sz w:val="16"/>
                <w:szCs w:val="16"/>
              </w:rPr>
              <w:t>5.86)</w:t>
            </w:r>
          </w:p>
        </w:tc>
        <w:tc>
          <w:tcPr>
            <w:tcW w:w="0" w:type="auto"/>
            <w:shd w:val="clear" w:color="auto" w:fill="auto"/>
          </w:tcPr>
          <w:p w14:paraId="760914AB" w14:textId="77777777" w:rsidR="00201D4F" w:rsidRPr="00B85D62" w:rsidRDefault="00201D4F" w:rsidP="0066232B">
            <w:pPr>
              <w:rPr>
                <w:rFonts w:cs="Arial"/>
                <w:sz w:val="16"/>
                <w:szCs w:val="16"/>
              </w:rPr>
            </w:pPr>
            <w:r w:rsidRPr="00B85D62">
              <w:rPr>
                <w:rFonts w:cs="Arial"/>
                <w:sz w:val="16"/>
                <w:szCs w:val="16"/>
              </w:rPr>
              <w:t>87.18</w:t>
            </w:r>
          </w:p>
        </w:tc>
        <w:tc>
          <w:tcPr>
            <w:tcW w:w="0" w:type="auto"/>
            <w:shd w:val="clear" w:color="auto" w:fill="auto"/>
          </w:tcPr>
          <w:p w14:paraId="556AD4AA" w14:textId="01B45C20" w:rsidR="00201D4F" w:rsidRPr="00B85D62" w:rsidRDefault="00201D4F" w:rsidP="0066232B">
            <w:pPr>
              <w:rPr>
                <w:rFonts w:cs="Arial"/>
                <w:sz w:val="16"/>
                <w:szCs w:val="16"/>
              </w:rPr>
            </w:pPr>
            <w:r w:rsidRPr="00B85D62">
              <w:rPr>
                <w:rFonts w:cs="Arial"/>
                <w:sz w:val="16"/>
                <w:szCs w:val="16"/>
              </w:rPr>
              <w:t>7.55 (6.99</w:t>
            </w:r>
            <w:r w:rsidR="00B85D62" w:rsidRPr="00B85D62">
              <w:rPr>
                <w:rFonts w:cs="Arial"/>
                <w:color w:val="00B0F0"/>
                <w:sz w:val="16"/>
                <w:szCs w:val="16"/>
              </w:rPr>
              <w:t>–</w:t>
            </w:r>
            <w:r w:rsidR="00B85D62" w:rsidRPr="00B85D62">
              <w:rPr>
                <w:rFonts w:cs="Arial"/>
                <w:color w:val="00B0F0"/>
                <w:sz w:val="16"/>
                <w:szCs w:val="16"/>
              </w:rPr>
              <w:t>8</w:t>
            </w:r>
            <w:r w:rsidRPr="00B85D62">
              <w:rPr>
                <w:rFonts w:cs="Arial"/>
                <w:sz w:val="16"/>
                <w:szCs w:val="16"/>
              </w:rPr>
              <w:t>.15)</w:t>
            </w:r>
          </w:p>
        </w:tc>
      </w:tr>
      <w:tr w:rsidR="00201D4F" w:rsidRPr="00B85D62" w14:paraId="7620296D" w14:textId="77777777" w:rsidTr="00B85D62">
        <w:trPr>
          <w:cantSplit/>
        </w:trPr>
        <w:tc>
          <w:tcPr>
            <w:tcW w:w="0" w:type="auto"/>
            <w:shd w:val="clear" w:color="auto" w:fill="auto"/>
          </w:tcPr>
          <w:p w14:paraId="42C965A2" w14:textId="77777777" w:rsidR="00201D4F" w:rsidRPr="00B85D62" w:rsidRDefault="00201D4F" w:rsidP="0066232B">
            <w:pPr>
              <w:rPr>
                <w:rFonts w:cs="Arial"/>
                <w:sz w:val="16"/>
                <w:szCs w:val="16"/>
              </w:rPr>
            </w:pPr>
            <w:r w:rsidRPr="00B85D62">
              <w:rPr>
                <w:rFonts w:cs="Arial"/>
                <w:b/>
                <w:bCs/>
                <w:sz w:val="16"/>
                <w:szCs w:val="16"/>
              </w:rPr>
              <w:t>Overall</w:t>
            </w:r>
          </w:p>
        </w:tc>
        <w:tc>
          <w:tcPr>
            <w:tcW w:w="0" w:type="auto"/>
            <w:shd w:val="clear" w:color="auto" w:fill="auto"/>
          </w:tcPr>
          <w:p w14:paraId="434CE2C6" w14:textId="77777777" w:rsidR="00201D4F" w:rsidRPr="00B85D62" w:rsidRDefault="00201D4F" w:rsidP="0066232B">
            <w:pPr>
              <w:rPr>
                <w:rFonts w:cs="Arial"/>
                <w:sz w:val="16"/>
                <w:szCs w:val="16"/>
              </w:rPr>
            </w:pPr>
            <w:r w:rsidRPr="00B85D62">
              <w:rPr>
                <w:rFonts w:cs="Arial"/>
                <w:sz w:val="16"/>
                <w:szCs w:val="16"/>
              </w:rPr>
              <w:t>52,094</w:t>
            </w:r>
          </w:p>
        </w:tc>
        <w:tc>
          <w:tcPr>
            <w:tcW w:w="0" w:type="auto"/>
            <w:shd w:val="clear" w:color="auto" w:fill="auto"/>
          </w:tcPr>
          <w:p w14:paraId="77A4A77C" w14:textId="77777777" w:rsidR="00201D4F" w:rsidRPr="00B85D62" w:rsidRDefault="00201D4F" w:rsidP="0066232B">
            <w:pPr>
              <w:rPr>
                <w:rFonts w:cs="Arial"/>
                <w:sz w:val="16"/>
                <w:szCs w:val="16"/>
              </w:rPr>
            </w:pPr>
            <w:r w:rsidRPr="00B85D62">
              <w:rPr>
                <w:rFonts w:cs="Arial"/>
                <w:sz w:val="16"/>
                <w:szCs w:val="16"/>
              </w:rPr>
              <w:t>1,327</w:t>
            </w:r>
          </w:p>
        </w:tc>
        <w:tc>
          <w:tcPr>
            <w:tcW w:w="0" w:type="auto"/>
            <w:shd w:val="clear" w:color="auto" w:fill="auto"/>
          </w:tcPr>
          <w:p w14:paraId="02BA2CEC" w14:textId="1F7EFE24" w:rsidR="00201D4F" w:rsidRPr="00B85D62" w:rsidRDefault="00201D4F" w:rsidP="0066232B">
            <w:pPr>
              <w:rPr>
                <w:rFonts w:cs="Arial"/>
                <w:sz w:val="16"/>
                <w:szCs w:val="16"/>
              </w:rPr>
            </w:pPr>
            <w:r w:rsidRPr="00B85D62">
              <w:rPr>
                <w:rFonts w:cs="Arial"/>
                <w:sz w:val="16"/>
                <w:szCs w:val="16"/>
              </w:rPr>
              <w:t>25.47 (24.14</w:t>
            </w:r>
            <w:r w:rsidR="00B85D62" w:rsidRPr="00B85D62">
              <w:rPr>
                <w:rFonts w:cs="Arial"/>
                <w:color w:val="00B0F0"/>
                <w:sz w:val="16"/>
                <w:szCs w:val="16"/>
              </w:rPr>
              <w:t>–</w:t>
            </w:r>
            <w:r w:rsidR="00B85D62" w:rsidRPr="00B85D62">
              <w:rPr>
                <w:rFonts w:cs="Arial"/>
                <w:color w:val="00B0F0"/>
                <w:sz w:val="16"/>
                <w:szCs w:val="16"/>
              </w:rPr>
              <w:t>2</w:t>
            </w:r>
            <w:r w:rsidRPr="00B85D62">
              <w:rPr>
                <w:rFonts w:cs="Arial"/>
                <w:sz w:val="16"/>
                <w:szCs w:val="16"/>
              </w:rPr>
              <w:t>6.88)</w:t>
            </w:r>
          </w:p>
        </w:tc>
        <w:tc>
          <w:tcPr>
            <w:tcW w:w="0" w:type="auto"/>
            <w:shd w:val="clear" w:color="auto" w:fill="auto"/>
          </w:tcPr>
          <w:p w14:paraId="3B5A0A5D" w14:textId="77777777" w:rsidR="00201D4F" w:rsidRPr="00B85D62" w:rsidRDefault="00201D4F" w:rsidP="0066232B">
            <w:pPr>
              <w:rPr>
                <w:rFonts w:cs="Arial"/>
                <w:sz w:val="16"/>
                <w:szCs w:val="16"/>
              </w:rPr>
            </w:pPr>
            <w:r w:rsidRPr="00B85D62">
              <w:rPr>
                <w:rFonts w:cs="Arial"/>
                <w:sz w:val="16"/>
                <w:szCs w:val="16"/>
              </w:rPr>
              <w:t>185.14</w:t>
            </w:r>
          </w:p>
        </w:tc>
        <w:tc>
          <w:tcPr>
            <w:tcW w:w="0" w:type="auto"/>
            <w:shd w:val="clear" w:color="auto" w:fill="auto"/>
          </w:tcPr>
          <w:p w14:paraId="084C6736" w14:textId="2242DFF2" w:rsidR="00201D4F" w:rsidRPr="00B85D62" w:rsidRDefault="00201D4F" w:rsidP="0066232B">
            <w:pPr>
              <w:rPr>
                <w:rFonts w:cs="Arial"/>
                <w:sz w:val="16"/>
                <w:szCs w:val="16"/>
              </w:rPr>
            </w:pPr>
            <w:r w:rsidRPr="00B85D62">
              <w:rPr>
                <w:rFonts w:cs="Arial"/>
                <w:sz w:val="16"/>
                <w:szCs w:val="16"/>
              </w:rPr>
              <w:t>7.17 (6.79</w:t>
            </w:r>
            <w:r w:rsidR="00B85D62" w:rsidRPr="00B85D62">
              <w:rPr>
                <w:rFonts w:cs="Arial"/>
                <w:color w:val="00B0F0"/>
                <w:sz w:val="16"/>
                <w:szCs w:val="16"/>
              </w:rPr>
              <w:t>–</w:t>
            </w:r>
            <w:r w:rsidR="00B85D62" w:rsidRPr="00B85D62">
              <w:rPr>
                <w:rFonts w:cs="Arial"/>
                <w:color w:val="00B0F0"/>
                <w:sz w:val="16"/>
                <w:szCs w:val="16"/>
              </w:rPr>
              <w:t>7</w:t>
            </w:r>
            <w:r w:rsidRPr="00B85D62">
              <w:rPr>
                <w:rFonts w:cs="Arial"/>
                <w:sz w:val="16"/>
                <w:szCs w:val="16"/>
              </w:rPr>
              <w:t>.56)</w:t>
            </w:r>
          </w:p>
        </w:tc>
      </w:tr>
    </w:tbl>
    <w:p w14:paraId="4AE23E3F" w14:textId="0EEFB480" w:rsidR="00201D4F" w:rsidRPr="00B85D62" w:rsidRDefault="1EF1C9BC" w:rsidP="0066232B">
      <w:pPr>
        <w:rPr>
          <w:rFonts w:eastAsiaTheme="minorEastAsia" w:cs="Arial"/>
          <w:sz w:val="18"/>
          <w:szCs w:val="18"/>
        </w:rPr>
      </w:pPr>
      <w:r w:rsidRPr="00B85D62">
        <w:rPr>
          <w:rFonts w:cs="Arial"/>
          <w:sz w:val="18"/>
          <w:szCs w:val="18"/>
        </w:rPr>
        <w:t xml:space="preserve">§ </w:t>
      </w:r>
      <w:r w:rsidRPr="00B85D62">
        <w:rPr>
          <w:rFonts w:eastAsiaTheme="minorEastAsia" w:cs="Arial"/>
          <w:sz w:val="18"/>
          <w:szCs w:val="18"/>
        </w:rPr>
        <w:t xml:space="preserve">Expected CVD events derived by applying age and sex-specific CVD </w:t>
      </w:r>
      <w:r w:rsidRPr="00B85D62">
        <w:rPr>
          <w:rFonts w:eastAsiaTheme="minorEastAsia" w:cs="Arial"/>
          <w:sz w:val="18"/>
          <w:szCs w:val="18"/>
          <w:highlight w:val="magenta"/>
        </w:rPr>
        <w:t>incidence</w:t>
      </w:r>
      <w:r w:rsidRPr="00B85D62">
        <w:rPr>
          <w:rFonts w:eastAsiaTheme="minorEastAsia" w:cs="Arial"/>
          <w:sz w:val="18"/>
          <w:szCs w:val="18"/>
        </w:rPr>
        <w:t xml:space="preserve"> rates in the UK general </w:t>
      </w:r>
      <w:r w:rsidRPr="00B85D62">
        <w:rPr>
          <w:rFonts w:eastAsiaTheme="minorEastAsia" w:cs="Arial"/>
          <w:sz w:val="18"/>
          <w:szCs w:val="18"/>
          <w:highlight w:val="magenta"/>
        </w:rPr>
        <w:t>practice</w:t>
      </w:r>
      <w:r w:rsidRPr="00B85D62">
        <w:rPr>
          <w:rFonts w:eastAsiaTheme="minorEastAsia" w:cs="Arial"/>
          <w:sz w:val="18"/>
          <w:szCs w:val="18"/>
        </w:rPr>
        <w:t xml:space="preserve"> population of non-FH </w:t>
      </w:r>
      <w:r w:rsidR="001066FA" w:rsidRPr="00B85D62">
        <w:rPr>
          <w:rFonts w:eastAsiaTheme="minorEastAsia" w:cs="Arial"/>
          <w:sz w:val="18"/>
          <w:szCs w:val="18"/>
        </w:rPr>
        <w:t>people</w:t>
      </w:r>
      <w:r w:rsidR="004372AB" w:rsidRPr="00B85D62">
        <w:rPr>
          <w:rFonts w:eastAsiaTheme="minorEastAsia" w:cs="Arial"/>
          <w:noProof/>
          <w:color w:val="2B579A"/>
          <w:sz w:val="18"/>
          <w:szCs w:val="18"/>
          <w:shd w:val="clear" w:color="auto" w:fill="E6E6E6"/>
          <w:vertAlign w:val="superscript"/>
        </w:rPr>
        <w:t>95</w:t>
      </w:r>
      <w:r w:rsidRPr="00B85D62">
        <w:rPr>
          <w:rFonts w:eastAsiaTheme="minorEastAsia" w:cs="Arial"/>
          <w:sz w:val="18"/>
          <w:szCs w:val="18"/>
        </w:rPr>
        <w:t>, to the number of person-years of follow-up</w:t>
      </w:r>
    </w:p>
    <w:p w14:paraId="1A53205B" w14:textId="5204A1B4" w:rsidR="00201D4F" w:rsidRPr="00B85D62" w:rsidRDefault="1EF1C9BC" w:rsidP="0066232B">
      <w:pPr>
        <w:rPr>
          <w:rFonts w:eastAsia="Calibri" w:cs="Arial"/>
        </w:rPr>
      </w:pPr>
      <w:r w:rsidRPr="00B85D62">
        <w:rPr>
          <w:rFonts w:eastAsia="Calibri" w:cs="Arial"/>
        </w:rPr>
        <w:t>When the different CVD subtypes were analysed separately, the SMbR for all subtypes were found to be higher in women than men. The SMbR (95% CI) for CHD was substantially higher in women than men aged 30 to 50 years (19.66 (16.78</w:t>
      </w:r>
      <w:r w:rsidR="00B85D62" w:rsidRPr="00B85D62">
        <w:rPr>
          <w:rFonts w:eastAsia="Calibri" w:cs="Arial"/>
          <w:color w:val="00B0F0"/>
        </w:rPr>
        <w:t>–</w:t>
      </w:r>
      <w:r w:rsidR="00B85D62" w:rsidRPr="00B85D62">
        <w:rPr>
          <w:rFonts w:eastAsia="Calibri" w:cs="Arial"/>
          <w:color w:val="00B0F0"/>
        </w:rPr>
        <w:t>2</w:t>
      </w:r>
      <w:r w:rsidRPr="00B85D62">
        <w:rPr>
          <w:rFonts w:eastAsia="Calibri" w:cs="Arial"/>
        </w:rPr>
        <w:t>3.04) vs 12.54 (11.22</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4.01)) and in those aged over 50 years (7.65 (6.90</w:t>
      </w:r>
      <w:r w:rsidR="00B85D62" w:rsidRPr="00B85D62">
        <w:rPr>
          <w:rFonts w:eastAsia="Calibri" w:cs="Arial"/>
          <w:color w:val="00B0F0"/>
        </w:rPr>
        <w:t>–</w:t>
      </w:r>
      <w:r w:rsidR="00B85D62" w:rsidRPr="00B85D62">
        <w:rPr>
          <w:rFonts w:eastAsia="Calibri" w:cs="Arial"/>
          <w:color w:val="00B0F0"/>
        </w:rPr>
        <w:t>8</w:t>
      </w:r>
      <w:r w:rsidRPr="00B85D62">
        <w:rPr>
          <w:rFonts w:eastAsia="Calibri" w:cs="Arial"/>
        </w:rPr>
        <w:t>.48) vs 5.82 (5.14</w:t>
      </w:r>
      <w:r w:rsidR="00B85D62" w:rsidRPr="00B85D62">
        <w:rPr>
          <w:rFonts w:eastAsia="Calibri" w:cs="Arial"/>
          <w:color w:val="00B0F0"/>
        </w:rPr>
        <w:t>–</w:t>
      </w:r>
      <w:r w:rsidR="00B85D62" w:rsidRPr="00B85D62">
        <w:rPr>
          <w:rFonts w:eastAsia="Calibri" w:cs="Arial"/>
          <w:color w:val="00B0F0"/>
        </w:rPr>
        <w:t>6</w:t>
      </w:r>
      <w:r w:rsidRPr="00B85D62">
        <w:rPr>
          <w:rFonts w:eastAsia="Calibri" w:cs="Arial"/>
        </w:rPr>
        <w:t>.59)). Similarly, women had higher SMbR for PVD than men in the 30 to 50 year age group (16.16 (11.85</w:t>
      </w:r>
      <w:r w:rsidR="00B85D62" w:rsidRPr="00B85D62">
        <w:rPr>
          <w:rFonts w:eastAsia="Calibri" w:cs="Arial"/>
          <w:color w:val="00B0F0"/>
        </w:rPr>
        <w:t>–</w:t>
      </w:r>
      <w:r w:rsidR="00B85D62" w:rsidRPr="00B85D62">
        <w:rPr>
          <w:rFonts w:eastAsia="Calibri" w:cs="Arial"/>
          <w:color w:val="00B0F0"/>
        </w:rPr>
        <w:t>2</w:t>
      </w:r>
      <w:r w:rsidRPr="00B85D62">
        <w:rPr>
          <w:rFonts w:eastAsia="Calibri" w:cs="Arial"/>
        </w:rPr>
        <w:t>2.03) vs 8.18 (6.26</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0.68)) and in the over 50 year age group (8.44 (7.02</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0.14) vs 4.67 (3.68</w:t>
      </w:r>
      <w:r w:rsidR="00B85D62" w:rsidRPr="00B85D62">
        <w:rPr>
          <w:rFonts w:eastAsia="Calibri" w:cs="Arial"/>
          <w:color w:val="00B0F0"/>
        </w:rPr>
        <w:t>–</w:t>
      </w:r>
      <w:r w:rsidR="00B85D62" w:rsidRPr="00B85D62">
        <w:rPr>
          <w:rFonts w:eastAsia="Calibri" w:cs="Arial"/>
          <w:color w:val="00B0F0"/>
        </w:rPr>
        <w:t>5</w:t>
      </w:r>
      <w:r w:rsidRPr="00B85D62">
        <w:rPr>
          <w:rFonts w:eastAsia="Calibri" w:cs="Arial"/>
        </w:rPr>
        <w:t>.93)). Higher SMbR for stroke was observed for women than men, but this was only in those aged over 50 years (5.66 (4.78</w:t>
      </w:r>
      <w:r w:rsidR="00B85D62" w:rsidRPr="00B85D62">
        <w:rPr>
          <w:rFonts w:eastAsia="Calibri" w:cs="Arial"/>
          <w:color w:val="00B0F0"/>
        </w:rPr>
        <w:t>–</w:t>
      </w:r>
      <w:r w:rsidR="00B85D62" w:rsidRPr="00B85D62">
        <w:rPr>
          <w:rFonts w:eastAsia="Calibri" w:cs="Arial"/>
          <w:color w:val="00B0F0"/>
        </w:rPr>
        <w:t>6</w:t>
      </w:r>
      <w:r w:rsidRPr="00B85D62">
        <w:rPr>
          <w:rFonts w:eastAsia="Calibri" w:cs="Arial"/>
        </w:rPr>
        <w:t>.69) vs 2.83 (2.17</w:t>
      </w:r>
      <w:r w:rsidR="00B85D62" w:rsidRPr="00B85D62">
        <w:rPr>
          <w:rFonts w:eastAsia="Calibri" w:cs="Arial"/>
          <w:color w:val="00B0F0"/>
        </w:rPr>
        <w:t>–</w:t>
      </w:r>
      <w:r w:rsidR="00B85D62" w:rsidRPr="00B85D62">
        <w:rPr>
          <w:rFonts w:eastAsia="Calibri" w:cs="Arial"/>
          <w:color w:val="00B0F0"/>
        </w:rPr>
        <w:t>3</w:t>
      </w:r>
      <w:r w:rsidRPr="00B85D62">
        <w:rPr>
          <w:rFonts w:eastAsia="Calibri" w:cs="Arial"/>
        </w:rPr>
        <w:t>.69)). In all CVD subtypes, the SMbR for men and women with FH did not differ markedly in those younger than 30 years.</w:t>
      </w:r>
    </w:p>
    <w:p w14:paraId="05108557" w14:textId="77777777" w:rsidR="00B85D62" w:rsidRPr="00B85D62" w:rsidRDefault="62E16D3F" w:rsidP="006C7E71">
      <w:pPr>
        <w:pStyle w:val="Heading3"/>
      </w:pPr>
      <w:bookmarkStart w:id="150" w:name="_Toc76461065"/>
      <w:bookmarkStart w:id="151" w:name="_Toc107157474"/>
      <w:r w:rsidRPr="00B85D62">
        <w:t>Conclusion</w:t>
      </w:r>
      <w:bookmarkEnd w:id="150"/>
      <w:bookmarkEnd w:id="151"/>
    </w:p>
    <w:p w14:paraId="463B18DD" w14:textId="6D741EEE" w:rsidR="00201D4F" w:rsidRPr="00B85D62" w:rsidRDefault="1EF1C9BC" w:rsidP="0066232B">
      <w:pPr>
        <w:rPr>
          <w:rFonts w:cs="Arial"/>
        </w:rPr>
      </w:pPr>
      <w:r w:rsidRPr="00B85D62">
        <w:rPr>
          <w:rFonts w:cs="Arial"/>
        </w:rPr>
        <w:t xml:space="preserve">This study finding of significantly higher risk of CVD in all age groups of patients in this registry-based cohort, </w:t>
      </w:r>
      <w:r w:rsidRPr="00B85D62">
        <w:rPr>
          <w:rFonts w:cs="Arial"/>
          <w:highlight w:val="magenta"/>
        </w:rPr>
        <w:t>compared to</w:t>
      </w:r>
      <w:r w:rsidRPr="00B85D62">
        <w:rPr>
          <w:rFonts w:cs="Arial"/>
        </w:rPr>
        <w:t xml:space="preserve"> the general population, </w:t>
      </w:r>
      <w:r w:rsidR="00B85D62" w:rsidRPr="00B85D62">
        <w:rPr>
          <w:rFonts w:cs="Arial"/>
          <w:color w:val="00B0F0"/>
        </w:rPr>
        <w:t>emphasises</w:t>
      </w:r>
      <w:r w:rsidRPr="00B85D62">
        <w:rPr>
          <w:rFonts w:cs="Arial"/>
        </w:rPr>
        <w:t xml:space="preserve"> the importance of early diagnosis and treatment of FH. Our study provides confirmatory evidence of higher excess CVD morbidity in younger age groups of patients with FH and importantly, provides novel insight into gender differences in the diagnosis and management of FH, as well as substantial gender disparities in the excess </w:t>
      </w:r>
      <w:r w:rsidR="00E7573F" w:rsidRPr="00B85D62">
        <w:rPr>
          <w:rFonts w:cs="Arial"/>
        </w:rPr>
        <w:t>CVD</w:t>
      </w:r>
      <w:r w:rsidRPr="00B85D62">
        <w:rPr>
          <w:rFonts w:cs="Arial"/>
        </w:rPr>
        <w:t xml:space="preserve"> burden associated with FH. </w:t>
      </w:r>
      <w:r w:rsidR="6D56F2AE" w:rsidRPr="00B85D62">
        <w:rPr>
          <w:rFonts w:cs="Arial"/>
        </w:rPr>
        <w:t>We noted in these patients,</w:t>
      </w:r>
      <w:r w:rsidR="00EE5795" w:rsidRPr="00B85D62">
        <w:rPr>
          <w:rFonts w:cs="Arial"/>
        </w:rPr>
        <w:t xml:space="preserve"> </w:t>
      </w:r>
      <w:r w:rsidR="6D56F2AE" w:rsidRPr="00B85D62">
        <w:rPr>
          <w:rFonts w:cs="Arial"/>
        </w:rPr>
        <w:t>cared for in a specialist setting, that</w:t>
      </w:r>
      <w:r w:rsidRPr="00B85D62">
        <w:rPr>
          <w:rFonts w:cs="Arial"/>
        </w:rPr>
        <w:t xml:space="preserve"> excess CVD morbidity is markedly higher in women than men in the 30</w:t>
      </w:r>
      <w:r w:rsidR="00F94040" w:rsidRPr="00B85D62">
        <w:rPr>
          <w:rFonts w:cs="Arial"/>
        </w:rPr>
        <w:t xml:space="preserve"> to</w:t>
      </w:r>
      <w:r w:rsidRPr="00B85D62">
        <w:rPr>
          <w:rFonts w:cs="Arial"/>
        </w:rPr>
        <w:t>50 year age group, and also in those over 50 years, highlights the need for optimisation of lipid-lowering and risk factor management for all FH patients with particular attention to women with FH.</w:t>
      </w:r>
    </w:p>
    <w:p w14:paraId="2B8D19B8" w14:textId="77777777" w:rsidR="00B85D62" w:rsidRPr="00B85D62" w:rsidRDefault="00E22F25" w:rsidP="006C7E71">
      <w:pPr>
        <w:pStyle w:val="Heading2"/>
      </w:pPr>
      <w:bookmarkStart w:id="152" w:name="_Toc107157475"/>
      <w:r w:rsidRPr="00B85D62">
        <w:t>Summary of Results &amp; Limitations</w:t>
      </w:r>
      <w:bookmarkEnd w:id="152"/>
    </w:p>
    <w:p w14:paraId="7916D68B" w14:textId="0761C32D" w:rsidR="00B85D62" w:rsidRPr="00B85D62" w:rsidRDefault="27170A77" w:rsidP="00034506">
      <w:pPr>
        <w:rPr>
          <w:rFonts w:cs="Arial"/>
        </w:rPr>
      </w:pPr>
      <w:r w:rsidRPr="00B85D62">
        <w:rPr>
          <w:rFonts w:cs="Arial"/>
        </w:rPr>
        <w:t xml:space="preserve">Both the primary care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with clinically coded FH and specialist FH register reconfirmed higher rates of </w:t>
      </w:r>
      <w:r w:rsidR="00FD675F" w:rsidRPr="00B85D62">
        <w:rPr>
          <w:rFonts w:cs="Arial"/>
        </w:rPr>
        <w:t xml:space="preserve">cardiovascular </w:t>
      </w:r>
      <w:r w:rsidRPr="00B85D62">
        <w:rPr>
          <w:rFonts w:cs="Arial"/>
        </w:rPr>
        <w:t>disease</w:t>
      </w:r>
      <w:r w:rsidR="00FD675F" w:rsidRPr="00B85D62">
        <w:rPr>
          <w:rFonts w:cs="Arial"/>
        </w:rPr>
        <w:t xml:space="preserve"> (CVD)</w:t>
      </w:r>
      <w:r w:rsidRPr="00B85D62">
        <w:rPr>
          <w:rFonts w:cs="Arial"/>
        </w:rPr>
        <w:t xml:space="preserve"> in FH patients, demonstrated by increased </w:t>
      </w:r>
      <w:r w:rsidRPr="00B85D62">
        <w:rPr>
          <w:rFonts w:cs="Arial"/>
          <w:highlight w:val="magenta"/>
        </w:rPr>
        <w:t>incidence</w:t>
      </w:r>
      <w:r w:rsidRPr="00B85D62">
        <w:rPr>
          <w:rFonts w:cs="Arial"/>
        </w:rPr>
        <w:t xml:space="preserve"> rates in </w:t>
      </w:r>
      <w:r w:rsidR="00FD675F" w:rsidRPr="00B85D62">
        <w:rPr>
          <w:rFonts w:cs="Arial"/>
        </w:rPr>
        <w:t xml:space="preserve">primary care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and raised Standardised Morbidity Ratios in </w:t>
      </w:r>
      <w:r w:rsidR="00FD675F" w:rsidRPr="00B85D62">
        <w:rPr>
          <w:rFonts w:cs="Arial"/>
        </w:rPr>
        <w:t xml:space="preserve">specialist </w:t>
      </w:r>
      <w:r w:rsidRPr="00B85D62">
        <w:rPr>
          <w:rFonts w:cs="Arial"/>
        </w:rPr>
        <w:t xml:space="preserve">register. Both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s benefited from linkage to hospital episode </w:t>
      </w:r>
      <w:r w:rsidRPr="00B85D62">
        <w:rPr>
          <w:rFonts w:cs="Arial"/>
          <w:highlight w:val="magenta"/>
        </w:rPr>
        <w:t>data</w:t>
      </w:r>
      <w:r w:rsidRPr="00B85D62">
        <w:rPr>
          <w:rFonts w:cs="Arial"/>
        </w:rPr>
        <w:t>.</w:t>
      </w:r>
    </w:p>
    <w:p w14:paraId="7088D820" w14:textId="4A45921E" w:rsidR="00B85D62" w:rsidRPr="00B85D62" w:rsidRDefault="00E22F25" w:rsidP="00034506">
      <w:pPr>
        <w:rPr>
          <w:rFonts w:cs="Arial"/>
        </w:rPr>
      </w:pPr>
      <w:r w:rsidRPr="00B85D62">
        <w:rPr>
          <w:rFonts w:cs="Arial"/>
          <w:shd w:val="clear" w:color="auto" w:fill="E6E6E6"/>
        </w:rPr>
        <w:t xml:space="preserve">The CPRD primary care </w:t>
      </w:r>
      <w:r w:rsidR="00B85D62" w:rsidRPr="00B85D62">
        <w:rPr>
          <w:rFonts w:cs="Arial"/>
          <w:color w:val="00B0F0"/>
          <w:highlight w:val="magenta"/>
          <w:shd w:val="clear" w:color="auto" w:fill="E6E6E6"/>
        </w:rPr>
        <w:t>data</w:t>
      </w:r>
      <w:r w:rsidR="00B85D62" w:rsidRPr="00B85D62">
        <w:rPr>
          <w:rFonts w:cs="Arial"/>
          <w:color w:val="00B0F0"/>
          <w:shd w:val="clear" w:color="auto" w:fill="E6E6E6"/>
        </w:rPr>
        <w:t xml:space="preserve"> set</w:t>
      </w:r>
      <w:r w:rsidRPr="00B85D62">
        <w:rPr>
          <w:rFonts w:cs="Arial"/>
          <w:shd w:val="clear" w:color="auto" w:fill="E6E6E6"/>
        </w:rPr>
        <w:t xml:space="preserve"> might not have correctly coded all individuals with FH</w:t>
      </w:r>
      <w:r w:rsidR="000731D6" w:rsidRPr="00B85D62">
        <w:rPr>
          <w:rFonts w:cs="Arial"/>
        </w:rPr>
        <w:t>, and</w:t>
      </w:r>
      <w:r w:rsidRPr="00B85D62">
        <w:rPr>
          <w:rFonts w:cs="Arial"/>
          <w:shd w:val="clear" w:color="auto" w:fill="E6E6E6"/>
        </w:rPr>
        <w:t xml:space="preserve"> the cohort might not be representative of the</w:t>
      </w:r>
      <w:r w:rsidR="00F94040" w:rsidRPr="00B85D62">
        <w:rPr>
          <w:rFonts w:cs="Arial"/>
          <w:shd w:val="clear" w:color="auto" w:fill="E6E6E6"/>
        </w:rPr>
        <w:t xml:space="preserve"> whole</w:t>
      </w:r>
      <w:r w:rsidRPr="00B85D62">
        <w:rPr>
          <w:rFonts w:cs="Arial"/>
          <w:shd w:val="clear" w:color="auto" w:fill="E6E6E6"/>
        </w:rPr>
        <w:t xml:space="preserve"> UK FH </w:t>
      </w:r>
      <w:r w:rsidR="00F94040" w:rsidRPr="00B85D62">
        <w:rPr>
          <w:rFonts w:cs="Arial"/>
          <w:shd w:val="clear" w:color="auto" w:fill="E6E6E6"/>
        </w:rPr>
        <w:t>population</w:t>
      </w:r>
      <w:r w:rsidRPr="00B85D62">
        <w:rPr>
          <w:rFonts w:cs="Arial"/>
        </w:rPr>
        <w:t>.</w:t>
      </w:r>
    </w:p>
    <w:p w14:paraId="1C05D7ED" w14:textId="77777777" w:rsidR="00B85D62" w:rsidRPr="00B85D62" w:rsidRDefault="00E22F25" w:rsidP="00034506">
      <w:pPr>
        <w:rPr>
          <w:rFonts w:cs="Arial"/>
        </w:rPr>
      </w:pPr>
      <w:r w:rsidRPr="00B85D62">
        <w:rPr>
          <w:rFonts w:cs="Arial"/>
        </w:rPr>
        <w:t>Further, t</w:t>
      </w:r>
      <w:r w:rsidR="0DC76857" w:rsidRPr="00B85D62">
        <w:rPr>
          <w:rFonts w:cs="Arial"/>
        </w:rPr>
        <w:t xml:space="preserve">he analysis of the FH </w:t>
      </w:r>
      <w:r w:rsidR="0043516F" w:rsidRPr="00B85D62">
        <w:rPr>
          <w:rFonts w:cs="Arial"/>
        </w:rPr>
        <w:t xml:space="preserve">specialist </w:t>
      </w:r>
      <w:r w:rsidR="0DC76857" w:rsidRPr="00B85D62">
        <w:rPr>
          <w:rFonts w:cs="Arial"/>
        </w:rPr>
        <w:t xml:space="preserve">register </w:t>
      </w:r>
      <w:r w:rsidR="0043516F" w:rsidRPr="00B85D62">
        <w:rPr>
          <w:rFonts w:cs="Arial"/>
        </w:rPr>
        <w:t xml:space="preserve">demonstrated </w:t>
      </w:r>
      <w:r w:rsidR="0DC76857" w:rsidRPr="00B85D62">
        <w:rPr>
          <w:rFonts w:cs="Arial"/>
        </w:rPr>
        <w:t xml:space="preserve">higher risk of CVD in all age groups of patients in this registry-based cohort, </w:t>
      </w:r>
      <w:r w:rsidR="0DC76857" w:rsidRPr="00B85D62">
        <w:rPr>
          <w:rFonts w:cs="Arial"/>
          <w:highlight w:val="magenta"/>
        </w:rPr>
        <w:t>compared to</w:t>
      </w:r>
      <w:r w:rsidR="0DC76857" w:rsidRPr="00B85D62">
        <w:rPr>
          <w:rFonts w:cs="Arial"/>
        </w:rPr>
        <w:t xml:space="preserve"> the general population, </w:t>
      </w:r>
      <w:r w:rsidR="00256A38" w:rsidRPr="00B85D62">
        <w:rPr>
          <w:rFonts w:cs="Arial"/>
        </w:rPr>
        <w:t xml:space="preserve">emphasising </w:t>
      </w:r>
      <w:r w:rsidR="0DC76857" w:rsidRPr="00B85D62">
        <w:rPr>
          <w:rFonts w:cs="Arial"/>
        </w:rPr>
        <w:t>the importance of early diagnosis and treatment of FH. The finding</w:t>
      </w:r>
      <w:r w:rsidR="02978BD6" w:rsidRPr="00B85D62">
        <w:rPr>
          <w:rFonts w:cs="Arial"/>
        </w:rPr>
        <w:t xml:space="preserve">, in the specialist setting where treatment should be optimised, </w:t>
      </w:r>
      <w:r w:rsidR="0DC76857" w:rsidRPr="00B85D62">
        <w:rPr>
          <w:rFonts w:cs="Arial"/>
        </w:rPr>
        <w:t xml:space="preserve">that excess </w:t>
      </w:r>
      <w:r w:rsidR="00536511" w:rsidRPr="00B85D62">
        <w:rPr>
          <w:rFonts w:cs="Arial"/>
        </w:rPr>
        <w:t>cardiovascular</w:t>
      </w:r>
      <w:r w:rsidR="0DC76857" w:rsidRPr="00B85D62">
        <w:rPr>
          <w:rFonts w:cs="Arial"/>
        </w:rPr>
        <w:t xml:space="preserve"> morbidity is markedly higher in women than men in the 30</w:t>
      </w:r>
      <w:r w:rsidR="00F94040" w:rsidRPr="00B85D62">
        <w:rPr>
          <w:rFonts w:cs="Arial"/>
        </w:rPr>
        <w:t xml:space="preserve"> to </w:t>
      </w:r>
      <w:r w:rsidR="0DC76857" w:rsidRPr="00B85D62">
        <w:rPr>
          <w:rFonts w:cs="Arial"/>
        </w:rPr>
        <w:t xml:space="preserve">50 year age group, and also in those over 50 years, highlights the need for </w:t>
      </w:r>
      <w:r w:rsidR="2A1E2B43" w:rsidRPr="00B85D62">
        <w:rPr>
          <w:rFonts w:cs="Arial"/>
        </w:rPr>
        <w:t xml:space="preserve">further </w:t>
      </w:r>
      <w:r w:rsidR="0DC76857" w:rsidRPr="00B85D62">
        <w:rPr>
          <w:rFonts w:cs="Arial"/>
        </w:rPr>
        <w:t>optimisation of lipid-lowering and risk factor management for all FH patients with particular attention to women with FH.</w:t>
      </w:r>
      <w:r w:rsidRPr="00B85D62">
        <w:rPr>
          <w:rFonts w:cs="Arial"/>
        </w:rPr>
        <w:t xml:space="preserve"> </w:t>
      </w:r>
      <w:r w:rsidRPr="00B85D62">
        <w:rPr>
          <w:rFonts w:cs="Arial"/>
          <w:shd w:val="clear" w:color="auto" w:fill="E6E6E6"/>
        </w:rPr>
        <w:t>The limited numbers of patients from ethnic minority backgrounds on this register is also noted</w:t>
      </w:r>
      <w:r w:rsidR="00215D92" w:rsidRPr="00B85D62">
        <w:rPr>
          <w:rFonts w:cs="Arial"/>
          <w:shd w:val="clear" w:color="auto" w:fill="E6E6E6"/>
        </w:rPr>
        <w:t>.</w:t>
      </w:r>
    </w:p>
    <w:p w14:paraId="29C253C9" w14:textId="4CD82B66" w:rsidR="00B85D62" w:rsidRPr="00B85D62" w:rsidRDefault="7E83A60D" w:rsidP="0066232B">
      <w:pPr>
        <w:pStyle w:val="Heading1"/>
        <w:spacing w:line="360" w:lineRule="auto"/>
        <w:rPr>
          <w:rFonts w:ascii="Arial" w:eastAsia="Arial" w:hAnsi="Arial" w:cs="Arial"/>
          <w:sz w:val="22"/>
          <w:szCs w:val="22"/>
        </w:rPr>
      </w:pPr>
      <w:bookmarkStart w:id="153" w:name="_Toc61283530"/>
      <w:bookmarkStart w:id="154" w:name="_Toc76461066"/>
      <w:bookmarkStart w:id="155" w:name="_Ref79766764"/>
      <w:bookmarkStart w:id="156" w:name="_Ref79766774"/>
      <w:bookmarkStart w:id="157" w:name="_Toc107157476"/>
      <w:r w:rsidRPr="00B85D62">
        <w:rPr>
          <w:rFonts w:ascii="Arial" w:eastAsia="Arial" w:hAnsi="Arial" w:cs="Arial"/>
          <w:sz w:val="22"/>
          <w:szCs w:val="22"/>
        </w:rPr>
        <w:t>Economic evaluation</w:t>
      </w:r>
      <w:bookmarkEnd w:id="153"/>
      <w:bookmarkEnd w:id="154"/>
      <w:bookmarkEnd w:id="155"/>
      <w:bookmarkEnd w:id="156"/>
      <w:bookmarkEnd w:id="157"/>
    </w:p>
    <w:p w14:paraId="4CD573E6" w14:textId="0BF3F9C9" w:rsidR="589C75FC" w:rsidRPr="00B85D62" w:rsidRDefault="227747C8" w:rsidP="006C7E71">
      <w:pPr>
        <w:pStyle w:val="Heading2"/>
      </w:pPr>
      <w:bookmarkStart w:id="158" w:name="_Toc107157477"/>
      <w:r w:rsidRPr="00B85D62">
        <w:t>Overview of the cost-effectiveness workstream</w:t>
      </w:r>
      <w:bookmarkEnd w:id="158"/>
    </w:p>
    <w:p w14:paraId="78892A15" w14:textId="77777777" w:rsidR="00B85D62" w:rsidRPr="00B85D62" w:rsidRDefault="227747C8" w:rsidP="213CEFC4">
      <w:pPr>
        <w:spacing w:after="120"/>
        <w:rPr>
          <w:rFonts w:eastAsia="Arial" w:cs="Arial"/>
          <w:color w:val="000000" w:themeColor="text1"/>
        </w:rPr>
      </w:pPr>
      <w:r w:rsidRPr="00B85D62">
        <w:rPr>
          <w:rFonts w:eastAsia="Arial" w:cs="Arial"/>
          <w:color w:val="000000" w:themeColor="text1"/>
        </w:rPr>
        <w:t>The aim of this workstream was to develop a cost-effectiveness model to evaluate alternative cascade testing protocols.</w:t>
      </w:r>
      <w:r w:rsidR="00895586" w:rsidRPr="00B85D62">
        <w:rPr>
          <w:rFonts w:eastAsia="Arial" w:cs="Arial"/>
          <w:color w:val="000000" w:themeColor="text1"/>
        </w:rPr>
        <w:t xml:space="preserve"> </w:t>
      </w:r>
      <w:r w:rsidRPr="00B85D62">
        <w:rPr>
          <w:rFonts w:eastAsia="Arial" w:cs="Arial"/>
          <w:color w:val="000000" w:themeColor="text1"/>
        </w:rPr>
        <w:t>This cost-effectiveness modelling</w:t>
      </w:r>
      <w:r w:rsidR="00B85D62" w:rsidRPr="00B85D62">
        <w:rPr>
          <w:rFonts w:eastAsia="Arial" w:cs="Arial"/>
          <w:color w:val="000000" w:themeColor="text1"/>
        </w:rPr>
        <w:t xml:space="preserve"> </w:t>
      </w:r>
      <w:r w:rsidRPr="00B85D62">
        <w:rPr>
          <w:rFonts w:eastAsia="Arial" w:cs="Arial"/>
          <w:color w:val="000000" w:themeColor="text1"/>
        </w:rPr>
        <w:t xml:space="preserve">is reported in </w:t>
      </w:r>
      <w:r w:rsidR="004134C4" w:rsidRPr="00B85D62">
        <w:rPr>
          <w:rFonts w:eastAsia="Arial" w:cs="Arial"/>
          <w:color w:val="000000" w:themeColor="text1"/>
        </w:rPr>
        <w:t>Section 8</w:t>
      </w:r>
      <w:r w:rsidR="6DD4EF16" w:rsidRPr="00B85D62">
        <w:rPr>
          <w:rFonts w:eastAsia="Arial" w:cs="Arial"/>
          <w:color w:val="000000" w:themeColor="text1"/>
        </w:rPr>
        <w:t>.5</w:t>
      </w:r>
      <w:r w:rsidRPr="00B85D62">
        <w:rPr>
          <w:rFonts w:eastAsia="Arial" w:cs="Arial"/>
          <w:color w:val="000000" w:themeColor="text1"/>
        </w:rPr>
        <w:t xml:space="preserve">. To inform this model, we analysed </w:t>
      </w:r>
      <w:r w:rsidRPr="00B85D62">
        <w:rPr>
          <w:rFonts w:eastAsia="Arial" w:cs="Arial"/>
          <w:color w:val="000000" w:themeColor="text1"/>
          <w:highlight w:val="magenta"/>
        </w:rPr>
        <w:t>data</w:t>
      </w:r>
      <w:r w:rsidRPr="00B85D62">
        <w:rPr>
          <w:rFonts w:eastAsia="Arial" w:cs="Arial"/>
          <w:color w:val="000000" w:themeColor="text1"/>
        </w:rPr>
        <w:t xml:space="preserve"> from the Wales and the Wessex familial hypercholesterolaemia cascade testing services to characterise index</w:t>
      </w:r>
      <w:r w:rsidR="00426FED" w:rsidRPr="00B85D62">
        <w:rPr>
          <w:rFonts w:eastAsia="Arial" w:cs="Arial"/>
          <w:color w:val="000000" w:themeColor="text1"/>
        </w:rPr>
        <w:t xml:space="preserve"> cas</w:t>
      </w:r>
      <w:r w:rsidRPr="00B85D62">
        <w:rPr>
          <w:rFonts w:eastAsia="Arial" w:cs="Arial"/>
          <w:color w:val="000000" w:themeColor="text1"/>
        </w:rPr>
        <w:t xml:space="preserve">es and relatives and estimate the yield of the cascade. This is reported in </w:t>
      </w:r>
      <w:r w:rsidR="6DD4EF16" w:rsidRPr="00B85D62">
        <w:rPr>
          <w:rFonts w:eastAsia="Arial" w:cs="Arial"/>
          <w:color w:val="000000" w:themeColor="text1"/>
        </w:rPr>
        <w:t>Section</w:t>
      </w:r>
      <w:r w:rsidR="7B2DCE94" w:rsidRPr="00B85D62">
        <w:rPr>
          <w:rFonts w:eastAsia="Arial" w:cs="Arial"/>
          <w:color w:val="000000" w:themeColor="text1"/>
        </w:rPr>
        <w:t xml:space="preserve"> </w:t>
      </w:r>
      <w:r w:rsidR="00872D6D" w:rsidRPr="00B85D62">
        <w:rPr>
          <w:rFonts w:eastAsia="Arial" w:cs="Arial"/>
          <w:color w:val="000000" w:themeColor="text1"/>
        </w:rPr>
        <w:t>8</w:t>
      </w:r>
      <w:r w:rsidR="7B2DCE94" w:rsidRPr="00B85D62">
        <w:rPr>
          <w:rFonts w:eastAsia="Arial" w:cs="Arial"/>
          <w:color w:val="000000" w:themeColor="text1"/>
        </w:rPr>
        <w:t>.3</w:t>
      </w:r>
      <w:r w:rsidRPr="00B85D62">
        <w:rPr>
          <w:rFonts w:eastAsia="Arial" w:cs="Arial"/>
          <w:color w:val="000000" w:themeColor="text1"/>
        </w:rPr>
        <w:t xml:space="preserve">. Additionally, we analysed the </w:t>
      </w:r>
      <w:r w:rsidRPr="00B85D62">
        <w:rPr>
          <w:rFonts w:eastAsia="Arial" w:cs="Arial"/>
          <w:color w:val="000000" w:themeColor="text1"/>
          <w:highlight w:val="magenta"/>
        </w:rPr>
        <w:t>data</w:t>
      </w:r>
      <w:r w:rsidRPr="00B85D62">
        <w:rPr>
          <w:rFonts w:eastAsia="Arial" w:cs="Arial"/>
          <w:color w:val="000000" w:themeColor="text1"/>
        </w:rPr>
        <w:t xml:space="preserve"> from a cohort of patients with FH to estimate their risk of cardiovascular</w:t>
      </w:r>
      <w:r w:rsidR="7B2DCE94" w:rsidRPr="00B85D62">
        <w:rPr>
          <w:rFonts w:eastAsia="Arial" w:cs="Arial"/>
          <w:strike/>
          <w:color w:val="000000" w:themeColor="text1"/>
        </w:rPr>
        <w:t xml:space="preserve"> </w:t>
      </w:r>
      <w:r w:rsidRPr="00B85D62">
        <w:rPr>
          <w:rFonts w:eastAsia="Arial" w:cs="Arial"/>
          <w:color w:val="000000" w:themeColor="text1"/>
        </w:rPr>
        <w:t xml:space="preserve">events and the impact of diagnosis and treatment on LDL-C, which is reported in </w:t>
      </w:r>
      <w:r w:rsidR="004134C4" w:rsidRPr="00B85D62">
        <w:rPr>
          <w:rFonts w:eastAsia="Arial" w:cs="Arial"/>
          <w:color w:val="000000" w:themeColor="text1"/>
        </w:rPr>
        <w:t>Section 8</w:t>
      </w:r>
      <w:r w:rsidR="7B2DCE94" w:rsidRPr="00B85D62">
        <w:rPr>
          <w:rFonts w:eastAsia="Arial" w:cs="Arial"/>
          <w:color w:val="000000" w:themeColor="text1"/>
        </w:rPr>
        <w:t>.2</w:t>
      </w:r>
      <w:r w:rsidRPr="00B85D62">
        <w:rPr>
          <w:rFonts w:eastAsia="Arial" w:cs="Arial"/>
          <w:color w:val="000000" w:themeColor="text1"/>
        </w:rPr>
        <w:t xml:space="preserve">. These </w:t>
      </w:r>
      <w:r w:rsidRPr="00B85D62">
        <w:rPr>
          <w:rFonts w:eastAsia="Arial" w:cs="Arial"/>
          <w:color w:val="000000" w:themeColor="text1"/>
          <w:highlight w:val="magenta"/>
        </w:rPr>
        <w:t>data</w:t>
      </w:r>
      <w:r w:rsidRPr="00B85D62">
        <w:rPr>
          <w:rFonts w:eastAsia="Arial" w:cs="Arial"/>
          <w:color w:val="000000" w:themeColor="text1"/>
        </w:rPr>
        <w:t xml:space="preserve"> informed a new cost-effectiveness model that compares the long-term health outcomes and costs of patients with FH depending on whether they were diagnosed and treated or not, which is reported in </w:t>
      </w:r>
      <w:r w:rsidR="004134C4" w:rsidRPr="00B85D62">
        <w:rPr>
          <w:rFonts w:eastAsia="Arial" w:cs="Arial"/>
          <w:color w:val="000000" w:themeColor="text1"/>
        </w:rPr>
        <w:t>Section 8</w:t>
      </w:r>
      <w:r w:rsidR="7B2DCE94" w:rsidRPr="00B85D62">
        <w:rPr>
          <w:rFonts w:eastAsia="Arial" w:cs="Arial"/>
          <w:color w:val="000000" w:themeColor="text1"/>
        </w:rPr>
        <w:t>.4</w:t>
      </w:r>
      <w:r w:rsidRPr="00B85D62">
        <w:rPr>
          <w:rFonts w:eastAsia="Arial" w:cs="Arial"/>
          <w:color w:val="000000" w:themeColor="text1"/>
        </w:rPr>
        <w:t>.</w:t>
      </w:r>
    </w:p>
    <w:p w14:paraId="0F7C1353" w14:textId="77777777" w:rsidR="00B85D62" w:rsidRPr="00B85D62" w:rsidRDefault="00426FED" w:rsidP="0079788F">
      <w:pPr>
        <w:pStyle w:val="Caption"/>
        <w:spacing w:line="360" w:lineRule="auto"/>
        <w:rPr>
          <w:rFonts w:eastAsia="Arial" w:cs="Arial"/>
          <w:b w:val="0"/>
          <w:iCs w:val="0"/>
          <w:color w:val="000000" w:themeColor="text1"/>
          <w:sz w:val="22"/>
          <w:szCs w:val="22"/>
        </w:rPr>
      </w:pPr>
      <w:r w:rsidRPr="00B85D62">
        <w:rPr>
          <w:rFonts w:eastAsia="Arial" w:cs="Arial"/>
          <w:b w:val="0"/>
          <w:iCs w:val="0"/>
          <w:color w:val="000000" w:themeColor="text1"/>
          <w:sz w:val="22"/>
          <w:szCs w:val="22"/>
        </w:rPr>
        <w:t>Proposed a</w:t>
      </w:r>
      <w:r w:rsidR="227747C8" w:rsidRPr="00B85D62">
        <w:rPr>
          <w:rFonts w:eastAsia="Arial" w:cs="Arial"/>
          <w:b w:val="0"/>
          <w:iCs w:val="0"/>
          <w:color w:val="000000" w:themeColor="text1"/>
          <w:sz w:val="22"/>
          <w:szCs w:val="22"/>
        </w:rPr>
        <w:t xml:space="preserve">dditional </w:t>
      </w:r>
      <w:r w:rsidR="227747C8" w:rsidRPr="00B85D62">
        <w:rPr>
          <w:rFonts w:eastAsia="Arial" w:cs="Arial"/>
          <w:b w:val="0"/>
          <w:iCs w:val="0"/>
          <w:color w:val="000000" w:themeColor="text1"/>
          <w:sz w:val="22"/>
          <w:szCs w:val="22"/>
          <w:highlight w:val="magenta"/>
        </w:rPr>
        <w:t>data</w:t>
      </w:r>
      <w:r w:rsidR="227747C8" w:rsidRPr="00B85D62">
        <w:rPr>
          <w:rFonts w:eastAsia="Arial" w:cs="Arial"/>
          <w:b w:val="0"/>
          <w:iCs w:val="0"/>
          <w:color w:val="000000" w:themeColor="text1"/>
          <w:sz w:val="22"/>
          <w:szCs w:val="22"/>
        </w:rPr>
        <w:t xml:space="preserve"> sources to inform the cost-effectiveness model were the systematic reviews on the cascade yield from contacting relatives directly or indirectly (see </w:t>
      </w:r>
      <w:r w:rsidR="004134C4" w:rsidRPr="00B85D62">
        <w:rPr>
          <w:rFonts w:eastAsia="Arial" w:cs="Arial"/>
          <w:b w:val="0"/>
          <w:iCs w:val="0"/>
          <w:color w:val="000000" w:themeColor="text1"/>
          <w:sz w:val="22"/>
          <w:szCs w:val="22"/>
        </w:rPr>
        <w:t>section 5</w:t>
      </w:r>
      <w:r w:rsidR="00E8BDC9" w:rsidRPr="00B85D62">
        <w:rPr>
          <w:rFonts w:eastAsia="Arial" w:cs="Arial"/>
          <w:b w:val="0"/>
          <w:iCs w:val="0"/>
          <w:color w:val="000000" w:themeColor="text1"/>
          <w:sz w:val="22"/>
          <w:szCs w:val="22"/>
        </w:rPr>
        <w:t>.1</w:t>
      </w:r>
      <w:r w:rsidR="227747C8" w:rsidRPr="00B85D62">
        <w:rPr>
          <w:rFonts w:eastAsia="Arial" w:cs="Arial"/>
          <w:b w:val="0"/>
          <w:iCs w:val="0"/>
          <w:color w:val="000000" w:themeColor="text1"/>
          <w:sz w:val="22"/>
          <w:szCs w:val="22"/>
        </w:rPr>
        <w:t xml:space="preserve">) and on the accuracy of clinical and biochemical characteristics to diagnose relatives (see </w:t>
      </w:r>
      <w:r w:rsidR="004134C4" w:rsidRPr="00B85D62">
        <w:rPr>
          <w:rFonts w:eastAsia="Arial" w:cs="Arial"/>
          <w:b w:val="0"/>
          <w:iCs w:val="0"/>
          <w:color w:val="000000" w:themeColor="text1"/>
          <w:sz w:val="22"/>
          <w:szCs w:val="22"/>
        </w:rPr>
        <w:t>section 5</w:t>
      </w:r>
      <w:r w:rsidR="20BD2862" w:rsidRPr="00B85D62">
        <w:rPr>
          <w:rFonts w:eastAsia="Arial" w:cs="Arial"/>
          <w:b w:val="0"/>
          <w:iCs w:val="0"/>
          <w:color w:val="000000" w:themeColor="text1"/>
          <w:sz w:val="22"/>
          <w:szCs w:val="22"/>
        </w:rPr>
        <w:t>.4).</w:t>
      </w:r>
    </w:p>
    <w:p w14:paraId="1B5E0665" w14:textId="41204ECE" w:rsidR="3341BD48" w:rsidRPr="00B85D62" w:rsidRDefault="2F06F1AA" w:rsidP="006C7E71">
      <w:pPr>
        <w:pStyle w:val="Heading2"/>
      </w:pPr>
      <w:bookmarkStart w:id="159" w:name="_Toc107157478"/>
      <w:r w:rsidRPr="00B85D62">
        <w:lastRenderedPageBreak/>
        <w:t xml:space="preserve">Economic analysis of the </w:t>
      </w:r>
      <w:r w:rsidR="6FBBEAB4" w:rsidRPr="00B85D62">
        <w:t xml:space="preserve">CPRD </w:t>
      </w:r>
      <w:r w:rsidRPr="00B85D62">
        <w:t>database</w:t>
      </w:r>
      <w:bookmarkEnd w:id="159"/>
    </w:p>
    <w:p w14:paraId="0A6D66E5" w14:textId="0A612090" w:rsidR="0732252A" w:rsidRPr="00B85D62" w:rsidRDefault="2F06F1AA" w:rsidP="006C7E71">
      <w:pPr>
        <w:pStyle w:val="Heading3"/>
      </w:pPr>
      <w:bookmarkStart w:id="160" w:name="_Toc107157479"/>
      <w:r w:rsidRPr="00B85D62">
        <w:t>Background and objectives</w:t>
      </w:r>
      <w:bookmarkEnd w:id="160"/>
    </w:p>
    <w:p w14:paraId="4B169EB1" w14:textId="04A62A68" w:rsidR="00B85D62" w:rsidRPr="00B85D62" w:rsidRDefault="2F06F1AA" w:rsidP="0066232B">
      <w:pPr>
        <w:rPr>
          <w:rFonts w:eastAsia="Arial" w:cs="Arial"/>
          <w:color w:val="000000" w:themeColor="text1"/>
        </w:rPr>
      </w:pPr>
      <w:r w:rsidRPr="00B85D62">
        <w:rPr>
          <w:rFonts w:eastAsia="Arial" w:cs="Arial"/>
          <w:color w:val="000000" w:themeColor="text1"/>
        </w:rPr>
        <w:t>A number of important papers have characterised long-term outcomes for FH patients in the UK. However, these studies do not provide an ideal basis for economic modelling for a number of reasons. First, these studies have not always included non-fatal cardiovascular events</w:t>
      </w:r>
      <w:r w:rsidR="00C35B5E" w:rsidRPr="00B85D62">
        <w:rPr>
          <w:rFonts w:eastAsia="Arial" w:cs="Arial"/>
          <w:noProof/>
          <w:color w:val="000000" w:themeColor="text1"/>
          <w:shd w:val="clear" w:color="auto" w:fill="E6E6E6"/>
          <w:vertAlign w:val="superscript"/>
        </w:rPr>
        <w:t>6, 106</w:t>
      </w:r>
      <w:r w:rsidR="00B85D62" w:rsidRPr="00B85D62">
        <w:rPr>
          <w:rFonts w:eastAsia="Arial" w:cs="Arial"/>
          <w:noProof/>
          <w:color w:val="00B0F0"/>
          <w:shd w:val="clear" w:color="auto" w:fill="E6E6E6"/>
          <w:vertAlign w:val="superscript"/>
        </w:rPr>
        <w:t>–</w:t>
      </w:r>
      <w:r w:rsidR="00B85D62" w:rsidRPr="00B85D62">
        <w:rPr>
          <w:rFonts w:eastAsia="Arial" w:cs="Arial"/>
          <w:noProof/>
          <w:color w:val="00B0F0"/>
          <w:shd w:val="clear" w:color="auto" w:fill="E6E6E6"/>
          <w:vertAlign w:val="superscript"/>
        </w:rPr>
        <w:t>1</w:t>
      </w:r>
      <w:r w:rsidR="00C35B5E" w:rsidRPr="00B85D62">
        <w:rPr>
          <w:rFonts w:eastAsia="Arial" w:cs="Arial"/>
          <w:noProof/>
          <w:color w:val="000000" w:themeColor="text1"/>
          <w:shd w:val="clear" w:color="auto" w:fill="E6E6E6"/>
          <w:vertAlign w:val="superscript"/>
        </w:rPr>
        <w:t>08</w:t>
      </w:r>
      <w:r w:rsidRPr="00B85D62">
        <w:rPr>
          <w:rFonts w:eastAsia="Arial" w:cs="Arial"/>
          <w:color w:val="000000" w:themeColor="text1"/>
        </w:rPr>
        <w:t xml:space="preserve">, which are important to include in economic modelling as they have significant cost and quality of life implications. Second, these studies have not separated out treated and untreated FH patients </w:t>
      </w:r>
      <w:r w:rsidR="00C35B5E" w:rsidRPr="00B85D62">
        <w:rPr>
          <w:rFonts w:eastAsia="Arial" w:cs="Arial"/>
          <w:noProof/>
          <w:color w:val="000000" w:themeColor="text1"/>
          <w:shd w:val="clear" w:color="auto" w:fill="E6E6E6"/>
          <w:vertAlign w:val="superscript"/>
        </w:rPr>
        <w:t>109</w:t>
      </w:r>
      <w:r w:rsidRPr="00B85D62">
        <w:rPr>
          <w:rFonts w:eastAsia="Arial" w:cs="Arial"/>
          <w:color w:val="000000" w:themeColor="text1"/>
        </w:rPr>
        <w:t xml:space="preserve">, which makes it challenging to make inferences about the effect of treatment on outcomes as required when modelling the benefits of diagnosis and treatment. Finally, these studies have not extrapolated risk beyond the censoring time. These approaches are important as they allow prediction of event risk over time horizons beyond the observed </w:t>
      </w:r>
      <w:r w:rsidRPr="00B85D62">
        <w:rPr>
          <w:rFonts w:eastAsia="Arial" w:cs="Arial"/>
          <w:color w:val="000000" w:themeColor="text1"/>
          <w:highlight w:val="magenta"/>
        </w:rPr>
        <w:t>data</w:t>
      </w:r>
      <w:r w:rsidRPr="00B85D62">
        <w:rPr>
          <w:rFonts w:eastAsia="Arial" w:cs="Arial"/>
          <w:color w:val="000000" w:themeColor="text1"/>
        </w:rPr>
        <w:t>, and can provide risk predictions according to patients</w:t>
      </w:r>
      <w:r w:rsidR="00B85D62" w:rsidRPr="00B85D62">
        <w:rPr>
          <w:rFonts w:eastAsia="Arial" w:cs="Arial"/>
          <w:color w:val="000000" w:themeColor="text1"/>
        </w:rPr>
        <w:t>’</w:t>
      </w:r>
      <w:r w:rsidRPr="00B85D62">
        <w:rPr>
          <w:rFonts w:eastAsia="Arial" w:cs="Arial"/>
          <w:color w:val="000000" w:themeColor="text1"/>
        </w:rPr>
        <w:t xml:space="preserve"> characteristics. This work seeks to address these limitations, and provide more robust long-term outcome modelling to support cost-effectiveness analyses in FH.</w:t>
      </w:r>
    </w:p>
    <w:p w14:paraId="66170613" w14:textId="20F0A5D5" w:rsidR="0732252A" w:rsidRPr="00B85D62" w:rsidRDefault="2F06F1AA" w:rsidP="0066232B">
      <w:pPr>
        <w:rPr>
          <w:rFonts w:eastAsia="Arial" w:cs="Arial"/>
          <w:color w:val="000000" w:themeColor="text1"/>
        </w:rPr>
      </w:pPr>
      <w:r w:rsidRPr="00B85D62">
        <w:rPr>
          <w:rFonts w:eastAsia="Arial" w:cs="Arial"/>
          <w:color w:val="000000" w:themeColor="text1"/>
        </w:rPr>
        <w:t xml:space="preserve">With the current work we wanted to understand the lifetime consequences of diagnosing and treating individuals with FH in terms of both morbidity and mortality. Contemporary UK primary and secondary care </w:t>
      </w:r>
      <w:r w:rsidRPr="00B85D62">
        <w:rPr>
          <w:rFonts w:eastAsia="Arial" w:cs="Arial"/>
          <w:color w:val="000000" w:themeColor="text1"/>
          <w:highlight w:val="magenta"/>
        </w:rPr>
        <w:t>data</w:t>
      </w:r>
      <w:r w:rsidRPr="00B85D62">
        <w:rPr>
          <w:rFonts w:eastAsia="Arial" w:cs="Arial"/>
          <w:color w:val="000000" w:themeColor="text1"/>
        </w:rPr>
        <w:t xml:space="preserve"> on long-term outcomes in the FH population reflect a group of individuals who are generally under active treatment with lipid lowering treatments (LLTs). Therefore, in this </w:t>
      </w:r>
      <w:r w:rsidR="00CD3BF7" w:rsidRPr="00B85D62">
        <w:rPr>
          <w:rFonts w:eastAsia="Arial" w:cs="Arial"/>
          <w:color w:val="000000" w:themeColor="text1"/>
        </w:rPr>
        <w:t>section of the economic evaluation chapter</w:t>
      </w:r>
      <w:r w:rsidRPr="00B85D62">
        <w:rPr>
          <w:rFonts w:eastAsia="Arial" w:cs="Arial"/>
          <w:color w:val="000000" w:themeColor="text1"/>
        </w:rPr>
        <w:t xml:space="preserve">, the focus was on appropriately characterising outcomes in these individuals. The objectives of this </w:t>
      </w:r>
      <w:r w:rsidR="00CD3BF7" w:rsidRPr="00B85D62">
        <w:rPr>
          <w:rFonts w:eastAsia="Arial" w:cs="Arial"/>
          <w:color w:val="000000" w:themeColor="text1"/>
        </w:rPr>
        <w:t>section</w:t>
      </w:r>
      <w:r w:rsidRPr="00B85D62">
        <w:rPr>
          <w:rFonts w:eastAsia="Arial" w:cs="Arial"/>
          <w:color w:val="000000" w:themeColor="text1"/>
        </w:rPr>
        <w:t xml:space="preserve"> were to address two key questions:</w:t>
      </w:r>
      <w:r w:rsidR="00B85D62" w:rsidRPr="00B85D62">
        <w:rPr>
          <w:rFonts w:eastAsia="Arial" w:cs="Arial"/>
          <w:color w:val="000000" w:themeColor="text1"/>
        </w:rPr>
        <w:t xml:space="preserve"> </w:t>
      </w:r>
      <w:r w:rsidRPr="00B85D62">
        <w:rPr>
          <w:rFonts w:eastAsia="Arial" w:cs="Arial"/>
          <w:color w:val="000000" w:themeColor="text1"/>
        </w:rPr>
        <w:t>(a) what is the impact of diagnosis and treatment on LDL-C levels? and</w:t>
      </w:r>
      <w:r w:rsidR="00B85D62" w:rsidRPr="00B85D62">
        <w:rPr>
          <w:rFonts w:eastAsia="Arial" w:cs="Arial"/>
          <w:color w:val="000000" w:themeColor="text1"/>
        </w:rPr>
        <w:t xml:space="preserve"> </w:t>
      </w:r>
      <w:r w:rsidRPr="00B85D62">
        <w:rPr>
          <w:rFonts w:eastAsia="Arial" w:cs="Arial"/>
          <w:color w:val="000000" w:themeColor="text1"/>
        </w:rPr>
        <w:t>(b) what is the long-term risk of major cardiovascular events and mortality for individuals diagnosed with, and treated for, FH?</w:t>
      </w:r>
    </w:p>
    <w:p w14:paraId="0CEEC737" w14:textId="3C96A54F" w:rsidR="0732252A" w:rsidRPr="00B85D62" w:rsidRDefault="2F06F1AA" w:rsidP="0066232B">
      <w:pPr>
        <w:rPr>
          <w:rFonts w:eastAsia="Arial" w:cs="Arial"/>
          <w:color w:val="000000" w:themeColor="text1"/>
        </w:rPr>
      </w:pPr>
      <w:r w:rsidRPr="00B85D62">
        <w:rPr>
          <w:rFonts w:eastAsia="Arial" w:cs="Arial"/>
          <w:color w:val="000000" w:themeColor="text1"/>
        </w:rPr>
        <w:t>In</w:t>
      </w:r>
      <w:r w:rsidR="00016FEA" w:rsidRPr="00B85D62">
        <w:rPr>
          <w:rFonts w:eastAsia="Arial" w:cs="Arial"/>
          <w:color w:val="000000" w:themeColor="text1"/>
        </w:rPr>
        <w:t xml:space="preserve"> Sections 8</w:t>
      </w:r>
      <w:r w:rsidR="6C27446F" w:rsidRPr="00B85D62">
        <w:rPr>
          <w:rFonts w:eastAsia="Arial" w:cs="Arial"/>
          <w:color w:val="000000" w:themeColor="text1"/>
        </w:rPr>
        <w:t xml:space="preserve">.4 and </w:t>
      </w:r>
      <w:r w:rsidR="00016FEA" w:rsidRPr="00B85D62">
        <w:rPr>
          <w:rFonts w:eastAsia="Arial" w:cs="Arial"/>
          <w:color w:val="000000" w:themeColor="text1"/>
        </w:rPr>
        <w:t>8</w:t>
      </w:r>
      <w:r w:rsidR="6C27446F" w:rsidRPr="00B85D62">
        <w:rPr>
          <w:rFonts w:eastAsia="Arial" w:cs="Arial"/>
          <w:color w:val="000000" w:themeColor="text1"/>
        </w:rPr>
        <w:t>.5</w:t>
      </w:r>
      <w:r w:rsidRPr="00B85D62">
        <w:rPr>
          <w:rFonts w:eastAsia="Arial" w:cs="Arial"/>
          <w:color w:val="000000" w:themeColor="text1"/>
        </w:rPr>
        <w:t>, these findings are used within a long-term cost-effectiveness model to simulate the counterfactual, that is, what would have been the long-term outcomes of these individuals had they not been diagnosed, and consequently treated, with FH. This, in turn, will allow the estimation of the benefits of diagnosis and treatment in terms of long-term cardiovascular risks, health related quality of life, health resource consumption and costs, and mortality.</w:t>
      </w:r>
    </w:p>
    <w:p w14:paraId="078FD602" w14:textId="77777777" w:rsidR="00B85D62" w:rsidRPr="00B85D62" w:rsidRDefault="2F06F1AA" w:rsidP="0066232B">
      <w:pPr>
        <w:rPr>
          <w:rFonts w:eastAsia="Arial" w:cs="Arial"/>
          <w:color w:val="000000" w:themeColor="text1"/>
        </w:rPr>
      </w:pPr>
      <w:r w:rsidRPr="00B85D62">
        <w:rPr>
          <w:rFonts w:eastAsia="Arial" w:cs="Arial"/>
          <w:color w:val="000000" w:themeColor="text1"/>
        </w:rPr>
        <w:t xml:space="preserve">In </w:t>
      </w:r>
      <w:r w:rsidR="3D6CE5A1" w:rsidRPr="00B85D62">
        <w:rPr>
          <w:rFonts w:eastAsia="Arial" w:cs="Arial"/>
          <w:color w:val="000000" w:themeColor="text1"/>
        </w:rPr>
        <w:t>S</w:t>
      </w:r>
      <w:r w:rsidRPr="00B85D62">
        <w:rPr>
          <w:rFonts w:eastAsia="Arial" w:cs="Arial"/>
          <w:color w:val="000000" w:themeColor="text1"/>
        </w:rPr>
        <w:t xml:space="preserve">ection </w:t>
      </w:r>
      <w:r w:rsidR="00016FEA" w:rsidRPr="00B85D62">
        <w:rPr>
          <w:rFonts w:eastAsia="Arial" w:cs="Arial"/>
          <w:color w:val="000000" w:themeColor="text1"/>
        </w:rPr>
        <w:t>8</w:t>
      </w:r>
      <w:r w:rsidR="064540D8" w:rsidRPr="00B85D62">
        <w:rPr>
          <w:rFonts w:eastAsia="Arial" w:cs="Arial"/>
          <w:color w:val="000000" w:themeColor="text1"/>
        </w:rPr>
        <w:t>.2.</w:t>
      </w:r>
      <w:r w:rsidRPr="00B85D62">
        <w:rPr>
          <w:rFonts w:eastAsia="Arial" w:cs="Arial"/>
          <w:color w:val="000000" w:themeColor="text1"/>
        </w:rPr>
        <w:t xml:space="preserve">2 of this chapter we introduce the utilised </w:t>
      </w:r>
      <w:r w:rsidRPr="00B85D62">
        <w:rPr>
          <w:rFonts w:eastAsia="Arial" w:cs="Arial"/>
          <w:color w:val="000000" w:themeColor="text1"/>
          <w:highlight w:val="magenta"/>
        </w:rPr>
        <w:t>data</w:t>
      </w:r>
      <w:r w:rsidRPr="00B85D62">
        <w:rPr>
          <w:rFonts w:eastAsia="Arial" w:cs="Arial"/>
          <w:color w:val="000000" w:themeColor="text1"/>
        </w:rPr>
        <w:t xml:space="preserve"> source and the methods used within to achieve our objectives. Section </w:t>
      </w:r>
      <w:r w:rsidR="00016FEA" w:rsidRPr="00B85D62">
        <w:rPr>
          <w:rFonts w:eastAsia="Arial" w:cs="Arial"/>
          <w:color w:val="000000" w:themeColor="text1"/>
        </w:rPr>
        <w:t>8</w:t>
      </w:r>
      <w:r w:rsidR="664F182F" w:rsidRPr="00B85D62">
        <w:rPr>
          <w:rFonts w:eastAsia="Arial" w:cs="Arial"/>
          <w:color w:val="000000" w:themeColor="text1"/>
        </w:rPr>
        <w:t>.2.</w:t>
      </w:r>
      <w:r w:rsidRPr="00B85D62">
        <w:rPr>
          <w:rFonts w:eastAsia="Arial" w:cs="Arial"/>
          <w:color w:val="000000" w:themeColor="text1"/>
        </w:rPr>
        <w:t>3 will present the results of the implemented analysis and, finally section</w:t>
      </w:r>
      <w:r w:rsidR="00016FEA" w:rsidRPr="00B85D62">
        <w:rPr>
          <w:rFonts w:eastAsia="Arial" w:cs="Arial"/>
          <w:color w:val="000000" w:themeColor="text1"/>
        </w:rPr>
        <w:t xml:space="preserve"> 8</w:t>
      </w:r>
      <w:r w:rsidR="0E23440B" w:rsidRPr="00B85D62">
        <w:rPr>
          <w:rFonts w:eastAsia="Arial" w:cs="Arial"/>
          <w:color w:val="000000" w:themeColor="text1"/>
        </w:rPr>
        <w:t>.2.</w:t>
      </w:r>
      <w:r w:rsidRPr="00B85D62">
        <w:rPr>
          <w:rFonts w:eastAsia="Arial" w:cs="Arial"/>
          <w:color w:val="000000" w:themeColor="text1"/>
        </w:rPr>
        <w:t>4 discusses key findings and important limitations.</w:t>
      </w:r>
    </w:p>
    <w:p w14:paraId="6BD3B965" w14:textId="40BF5795" w:rsidR="0732252A" w:rsidRPr="00B85D62" w:rsidRDefault="2F06F1AA" w:rsidP="006C7E71">
      <w:pPr>
        <w:pStyle w:val="Heading3"/>
      </w:pPr>
      <w:bookmarkStart w:id="161" w:name="_Toc107157480"/>
      <w:r w:rsidRPr="00B85D62">
        <w:t>Methods</w:t>
      </w:r>
      <w:bookmarkEnd w:id="161"/>
    </w:p>
    <w:p w14:paraId="1EC4F783" w14:textId="4D16244F" w:rsidR="0732252A" w:rsidRPr="00B85D62" w:rsidRDefault="2F06F1AA" w:rsidP="006C7E71">
      <w:pPr>
        <w:pStyle w:val="Heading4"/>
        <w:numPr>
          <w:ilvl w:val="0"/>
          <w:numId w:val="0"/>
        </w:numPr>
      </w:pPr>
      <w:r w:rsidRPr="00B85D62">
        <w:rPr>
          <w:highlight w:val="magenta"/>
        </w:rPr>
        <w:t>Data</w:t>
      </w:r>
      <w:r w:rsidRPr="00B85D62">
        <w:t xml:space="preserve"> sources and study population</w:t>
      </w:r>
    </w:p>
    <w:p w14:paraId="589B152C" w14:textId="77777777" w:rsidR="00B85D62" w:rsidRPr="00B85D62" w:rsidRDefault="2F06F1AA" w:rsidP="009E34A2">
      <w:pPr>
        <w:rPr>
          <w:rFonts w:eastAsia="Arial" w:cs="Arial"/>
          <w:color w:val="000000" w:themeColor="text1"/>
        </w:rPr>
      </w:pPr>
      <w:r w:rsidRPr="00B85D62">
        <w:rPr>
          <w:rFonts w:eastAsia="Arial" w:cs="Arial"/>
          <w:color w:val="000000" w:themeColor="text1"/>
          <w:highlight w:val="magenta"/>
        </w:rPr>
        <w:t>Data</w:t>
      </w:r>
      <w:r w:rsidRPr="00B85D62">
        <w:rPr>
          <w:rFonts w:eastAsia="Arial" w:cs="Arial"/>
          <w:color w:val="000000" w:themeColor="text1"/>
        </w:rPr>
        <w:t xml:space="preserve"> from the CPRD database linked to Hospital Episode Statistics (HES) and mortality </w:t>
      </w:r>
      <w:r w:rsidRPr="00B85D62">
        <w:rPr>
          <w:rFonts w:eastAsia="Arial" w:cs="Arial"/>
          <w:color w:val="000000" w:themeColor="text1"/>
          <w:highlight w:val="magenta"/>
        </w:rPr>
        <w:t>data</w:t>
      </w:r>
      <w:r w:rsidRPr="00B85D62">
        <w:rPr>
          <w:rFonts w:eastAsia="Arial" w:cs="Arial"/>
          <w:color w:val="000000" w:themeColor="text1"/>
        </w:rPr>
        <w:t xml:space="preserve"> from the Office for National Statistics (ONS) were used. HES provides information on all hospital admissions and the ONS records cause-specific mortality for all deaths in England and Wales up to 2017. From this longitudinal database, all adults with a recorded diagnosis of FH in their primary care records were identified. Of these, 2,879 individuals had an eligible linkage to HE</w:t>
      </w:r>
      <w:r w:rsidR="00CD3BF7" w:rsidRPr="00B85D62">
        <w:rPr>
          <w:rFonts w:eastAsia="Arial" w:cs="Arial"/>
          <w:color w:val="000000" w:themeColor="text1"/>
        </w:rPr>
        <w:t>S</w:t>
      </w:r>
      <w:r w:rsidRPr="00B85D62">
        <w:rPr>
          <w:rFonts w:eastAsia="Arial" w:cs="Arial"/>
          <w:color w:val="000000" w:themeColor="text1"/>
        </w:rPr>
        <w:t xml:space="preserve"> and had received their FH diagnosis after their </w:t>
      </w:r>
      <w:r w:rsidRPr="00B85D62">
        <w:rPr>
          <w:rFonts w:eastAsia="Arial" w:cs="Arial"/>
          <w:color w:val="000000" w:themeColor="text1"/>
          <w:highlight w:val="magenta"/>
        </w:rPr>
        <w:t>practice</w:t>
      </w:r>
      <w:r w:rsidRPr="00B85D62">
        <w:rPr>
          <w:rFonts w:eastAsia="Arial" w:cs="Arial"/>
          <w:color w:val="000000" w:themeColor="text1"/>
        </w:rPr>
        <w:t xml:space="preserve"> was considered to meet CPRD minimum </w:t>
      </w:r>
      <w:r w:rsidRPr="00B85D62">
        <w:rPr>
          <w:rFonts w:eastAsia="Arial" w:cs="Arial"/>
          <w:color w:val="000000" w:themeColor="text1"/>
          <w:highlight w:val="magenta"/>
        </w:rPr>
        <w:t>data</w:t>
      </w:r>
      <w:r w:rsidRPr="00B85D62">
        <w:rPr>
          <w:rFonts w:eastAsia="Arial" w:cs="Arial"/>
          <w:color w:val="000000" w:themeColor="text1"/>
        </w:rPr>
        <w:t xml:space="preserve"> quality criteria </w:t>
      </w:r>
      <w:r w:rsidR="264A7050" w:rsidRPr="00B85D62">
        <w:rPr>
          <w:rFonts w:eastAsia="Arial" w:cs="Arial"/>
          <w:color w:val="000000" w:themeColor="text1"/>
        </w:rPr>
        <w:t>(</w:t>
      </w:r>
      <w:r w:rsidR="0D36C04E" w:rsidRPr="00B85D62">
        <w:rPr>
          <w:rFonts w:eastAsia="Arial" w:cs="Arial"/>
          <w:color w:val="000000" w:themeColor="text1"/>
        </w:rPr>
        <w:t xml:space="preserve">see </w:t>
      </w:r>
      <w:r w:rsidR="264A7050" w:rsidRPr="00B85D62">
        <w:rPr>
          <w:rFonts w:eastAsia="Arial" w:cs="Arial"/>
          <w:color w:val="000000" w:themeColor="text1"/>
        </w:rPr>
        <w:t xml:space="preserve">section </w:t>
      </w:r>
      <w:r w:rsidR="00CD3BF7" w:rsidRPr="00B85D62">
        <w:rPr>
          <w:rFonts w:eastAsia="Arial" w:cs="Arial"/>
          <w:color w:val="000000" w:themeColor="text1"/>
        </w:rPr>
        <w:t>6</w:t>
      </w:r>
      <w:r w:rsidR="264A7050" w:rsidRPr="00B85D62">
        <w:rPr>
          <w:rFonts w:eastAsia="Arial" w:cs="Arial"/>
          <w:color w:val="000000" w:themeColor="text1"/>
        </w:rPr>
        <w:t>.1</w:t>
      </w:r>
      <w:r w:rsidRPr="00B85D62">
        <w:rPr>
          <w:rFonts w:eastAsia="Arial" w:cs="Arial"/>
          <w:color w:val="000000" w:themeColor="text1"/>
        </w:rPr>
        <w:t>)</w:t>
      </w:r>
      <w:r w:rsidR="004372AB" w:rsidRPr="00B85D62">
        <w:rPr>
          <w:rFonts w:eastAsia="Arial" w:cs="Arial"/>
          <w:noProof/>
          <w:color w:val="000000" w:themeColor="text1"/>
          <w:shd w:val="clear" w:color="auto" w:fill="E6E6E6"/>
          <w:vertAlign w:val="superscript"/>
        </w:rPr>
        <w:t>94</w:t>
      </w:r>
      <w:r w:rsidRPr="00B85D62">
        <w:rPr>
          <w:rFonts w:eastAsia="Arial" w:cs="Arial"/>
          <w:color w:val="000000" w:themeColor="text1"/>
        </w:rPr>
        <w:t xml:space="preserve">. </w:t>
      </w:r>
      <w:r w:rsidR="009E34A2" w:rsidRPr="00B85D62">
        <w:rPr>
          <w:rFonts w:eastAsia="Arial" w:cs="Arial"/>
          <w:color w:val="000000" w:themeColor="text1"/>
        </w:rPr>
        <w:t xml:space="preserve">This is recorded within </w:t>
      </w:r>
      <w:r w:rsidR="00C860B3" w:rsidRPr="00B85D62">
        <w:rPr>
          <w:rFonts w:eastAsia="Arial" w:cs="Arial"/>
          <w:color w:val="000000" w:themeColor="text1"/>
        </w:rPr>
        <w:t xml:space="preserve">CPRD </w:t>
      </w:r>
      <w:r w:rsidR="009E34A2" w:rsidRPr="00B85D62">
        <w:rPr>
          <w:rFonts w:eastAsia="Arial" w:cs="Arial"/>
          <w:color w:val="000000" w:themeColor="text1"/>
        </w:rPr>
        <w:t xml:space="preserve">as the up to quality standard (UTS) date. The UTS date is a </w:t>
      </w:r>
      <w:r w:rsidR="009E34A2" w:rsidRPr="00B85D62">
        <w:rPr>
          <w:rFonts w:eastAsia="Arial" w:cs="Arial"/>
          <w:color w:val="000000" w:themeColor="text1"/>
          <w:highlight w:val="magenta"/>
        </w:rPr>
        <w:t>practice</w:t>
      </w:r>
      <w:r w:rsidR="009E34A2" w:rsidRPr="00B85D62">
        <w:rPr>
          <w:rFonts w:eastAsia="Arial" w:cs="Arial"/>
          <w:color w:val="000000" w:themeColor="text1"/>
        </w:rPr>
        <w:t xml:space="preserve">-based quality metric based on the continuity of recording and the number of recorded deaths. The UTS date is calculated for each participating </w:t>
      </w:r>
      <w:r w:rsidR="009E34A2" w:rsidRPr="00B85D62">
        <w:rPr>
          <w:rFonts w:eastAsia="Arial" w:cs="Arial"/>
          <w:color w:val="000000" w:themeColor="text1"/>
          <w:highlight w:val="magenta"/>
        </w:rPr>
        <w:t>practice</w:t>
      </w:r>
      <w:r w:rsidR="009E34A2" w:rsidRPr="00B85D62">
        <w:rPr>
          <w:rFonts w:eastAsia="Arial" w:cs="Arial"/>
          <w:color w:val="000000" w:themeColor="text1"/>
        </w:rPr>
        <w:t>, corresponding to the latest date at which practices meet these minimum quality criteria.</w:t>
      </w:r>
      <w:r w:rsidR="006A155D" w:rsidRPr="00B85D62">
        <w:rPr>
          <w:rFonts w:eastAsia="Arial" w:cs="Arial"/>
          <w:color w:val="000000" w:themeColor="text1"/>
        </w:rPr>
        <w:t xml:space="preserve"> </w:t>
      </w:r>
      <w:r w:rsidR="009E34A2" w:rsidRPr="00B85D62">
        <w:t>L</w:t>
      </w:r>
      <w:r w:rsidRPr="00B85D62">
        <w:rPr>
          <w:rFonts w:eastAsia="Arial" w:cs="Arial"/>
          <w:color w:val="000000" w:themeColor="text1"/>
        </w:rPr>
        <w:t>DL-C measurements and corresponding dates were available from CPRD at multiple time points throughout the follow-up period of these individuals, both pre- and post-FH diagnosis. Similarly, LLT prescribing was available from CPRD, with prescribed LLT medication and prescribing dates presented in detail.</w:t>
      </w:r>
    </w:p>
    <w:p w14:paraId="076F4EB2" w14:textId="3DD2BCA0" w:rsidR="0732252A" w:rsidRPr="00B85D62" w:rsidRDefault="2F06F1AA" w:rsidP="005611BD">
      <w:pPr>
        <w:pStyle w:val="ListParagraph"/>
        <w:numPr>
          <w:ilvl w:val="1"/>
          <w:numId w:val="10"/>
        </w:numPr>
        <w:spacing w:after="120"/>
        <w:ind w:left="709" w:hanging="338"/>
        <w:rPr>
          <w:rFonts w:eastAsia="Arial" w:cs="Arial"/>
          <w:b/>
          <w:bCs/>
          <w:color w:val="000000" w:themeColor="text1"/>
        </w:rPr>
      </w:pPr>
      <w:r w:rsidRPr="00B85D62">
        <w:rPr>
          <w:rFonts w:eastAsia="Arial" w:cs="Arial"/>
          <w:b/>
          <w:bCs/>
          <w:color w:val="000000" w:themeColor="text1"/>
        </w:rPr>
        <w:t>Current treatment practices and LDL-C response</w:t>
      </w:r>
    </w:p>
    <w:p w14:paraId="646A217E" w14:textId="2DD31B8B" w:rsidR="0732252A" w:rsidRPr="00B85D62" w:rsidRDefault="2F06F1AA" w:rsidP="0066232B">
      <w:pPr>
        <w:rPr>
          <w:rFonts w:eastAsia="Arial" w:cs="Arial"/>
          <w:color w:val="000000" w:themeColor="text1"/>
        </w:rPr>
      </w:pPr>
      <w:r w:rsidRPr="00B85D62">
        <w:rPr>
          <w:rFonts w:eastAsia="Arial" w:cs="Arial"/>
          <w:color w:val="000000" w:themeColor="text1"/>
        </w:rPr>
        <w:t xml:space="preserve">We focused on estimating the change from baseline to 24 months in LDL-C </w:t>
      </w:r>
      <w:r w:rsidR="00C81491" w:rsidRPr="00B85D62">
        <w:rPr>
          <w:rFonts w:eastAsia="Arial" w:cs="Arial"/>
          <w:color w:val="000000" w:themeColor="text1"/>
        </w:rPr>
        <w:t xml:space="preserve">level </w:t>
      </w:r>
      <w:r w:rsidRPr="00B85D62">
        <w:rPr>
          <w:rFonts w:eastAsia="Arial" w:cs="Arial"/>
          <w:color w:val="000000" w:themeColor="text1"/>
        </w:rPr>
        <w:t>(or the closest measure if not available). This was because the relevant literature had a scheduled treatment duration of at least 2 years</w:t>
      </w:r>
      <w:r w:rsidR="00F80015" w:rsidRPr="00B85D62">
        <w:rPr>
          <w:rFonts w:eastAsia="Arial" w:cs="Arial"/>
          <w:noProof/>
          <w:color w:val="000000" w:themeColor="text1"/>
          <w:vertAlign w:val="superscript"/>
        </w:rPr>
        <w:t>18</w:t>
      </w:r>
      <w:r w:rsidRPr="00B85D62">
        <w:rPr>
          <w:rFonts w:eastAsia="Arial" w:cs="Arial"/>
          <w:color w:val="000000" w:themeColor="text1"/>
        </w:rPr>
        <w:t>, and so that post 12 months annual medication review LDL-C measurements was captured</w:t>
      </w:r>
      <w:r w:rsidR="00C35B5E" w:rsidRPr="00B85D62">
        <w:rPr>
          <w:rFonts w:eastAsia="Arial" w:cs="Arial"/>
          <w:noProof/>
          <w:color w:val="000000" w:themeColor="text1"/>
          <w:shd w:val="clear" w:color="auto" w:fill="E6E6E6"/>
          <w:vertAlign w:val="superscript"/>
        </w:rPr>
        <w:t>110</w:t>
      </w:r>
      <w:r w:rsidRPr="00B85D62">
        <w:rPr>
          <w:rFonts w:eastAsia="Arial" w:cs="Arial"/>
          <w:color w:val="000000" w:themeColor="text1"/>
        </w:rPr>
        <w:t xml:space="preserve">. The sample of 2,879 individuals were classified according to their treatment status before and after FH diagnosis in 3 subgroups: i) the </w:t>
      </w:r>
      <w:r w:rsidR="00B85D62" w:rsidRPr="00B85D62">
        <w:rPr>
          <w:rFonts w:eastAsia="Arial" w:cs="Arial"/>
          <w:color w:val="000000" w:themeColor="text1"/>
        </w:rPr>
        <w:t>‘</w:t>
      </w:r>
      <w:r w:rsidRPr="00B85D62">
        <w:rPr>
          <w:rFonts w:eastAsia="Arial" w:cs="Arial"/>
          <w:color w:val="000000" w:themeColor="text1"/>
        </w:rPr>
        <w:t>untreated</w:t>
      </w:r>
      <w:r w:rsidR="00B85D62" w:rsidRPr="00B85D62">
        <w:rPr>
          <w:rFonts w:eastAsia="Arial" w:cs="Arial"/>
          <w:color w:val="000000" w:themeColor="text1"/>
        </w:rPr>
        <w:t>’</w:t>
      </w:r>
      <w:r w:rsidRPr="00B85D62">
        <w:rPr>
          <w:rFonts w:eastAsia="Arial" w:cs="Arial"/>
          <w:color w:val="000000" w:themeColor="text1"/>
        </w:rPr>
        <w:t xml:space="preserve">, individuals not receiving treatment before and for 24 months after diagnosis date; ii) the </w:t>
      </w:r>
      <w:r w:rsidR="00B85D62" w:rsidRPr="00B85D62">
        <w:rPr>
          <w:rFonts w:eastAsia="Arial" w:cs="Arial"/>
          <w:color w:val="000000" w:themeColor="text1"/>
        </w:rPr>
        <w:t>‘</w:t>
      </w:r>
      <w:r w:rsidRPr="00B85D62">
        <w:rPr>
          <w:rFonts w:eastAsia="Arial" w:cs="Arial"/>
          <w:color w:val="000000" w:themeColor="text1"/>
        </w:rPr>
        <w:t>newly treated</w:t>
      </w:r>
      <w:r w:rsidR="00B85D62" w:rsidRPr="00B85D62">
        <w:rPr>
          <w:rFonts w:eastAsia="Arial" w:cs="Arial"/>
          <w:color w:val="000000" w:themeColor="text1"/>
        </w:rPr>
        <w:t>’</w:t>
      </w:r>
      <w:r w:rsidRPr="00B85D62">
        <w:rPr>
          <w:rFonts w:eastAsia="Arial" w:cs="Arial"/>
          <w:color w:val="000000" w:themeColor="text1"/>
        </w:rPr>
        <w:t xml:space="preserve">, individuals receiving treatment only after FH diagnosis; and iii) the </w:t>
      </w:r>
      <w:r w:rsidR="00B85D62" w:rsidRPr="00B85D62">
        <w:rPr>
          <w:rFonts w:eastAsia="Arial" w:cs="Arial"/>
          <w:color w:val="000000" w:themeColor="text1"/>
        </w:rPr>
        <w:t>‘</w:t>
      </w:r>
      <w:r w:rsidRPr="00B85D62">
        <w:rPr>
          <w:rFonts w:eastAsia="Arial" w:cs="Arial"/>
          <w:color w:val="000000" w:themeColor="text1"/>
        </w:rPr>
        <w:t>treatment retainers</w:t>
      </w:r>
      <w:r w:rsidR="00B85D62" w:rsidRPr="00B85D62">
        <w:rPr>
          <w:rFonts w:eastAsia="Arial" w:cs="Arial"/>
          <w:color w:val="000000" w:themeColor="text1"/>
        </w:rPr>
        <w:t>’</w:t>
      </w:r>
      <w:r w:rsidRPr="00B85D62">
        <w:rPr>
          <w:rFonts w:eastAsia="Arial" w:cs="Arial"/>
          <w:color w:val="000000" w:themeColor="text1"/>
        </w:rPr>
        <w:t>, individuals treated both before and after FH diagnosis. With these subgroup definitions we expected their treatment patterns to differ and, thus, also their outcomes. Individuals treated with LLTs were defined as individuals having at least 2 prescriptions of any LLT within 2 years after their FH diagnosis date. LLT</w:t>
      </w:r>
      <w:r w:rsidR="00EE5795" w:rsidRPr="00B85D62">
        <w:rPr>
          <w:rFonts w:eastAsia="Arial" w:cs="Arial"/>
          <w:color w:val="000000" w:themeColor="text1"/>
        </w:rPr>
        <w:t>s</w:t>
      </w:r>
      <w:r w:rsidRPr="00B85D62">
        <w:rPr>
          <w:rFonts w:eastAsia="Arial" w:cs="Arial"/>
          <w:color w:val="000000" w:themeColor="text1"/>
        </w:rPr>
        <w:t xml:space="preserve"> prescribed included statins, fibrates, ezetimibe and other lipid-</w:t>
      </w:r>
      <w:r w:rsidR="00C81491" w:rsidRPr="00B85D62">
        <w:rPr>
          <w:rFonts w:eastAsia="Arial" w:cs="Arial"/>
          <w:color w:val="000000" w:themeColor="text1"/>
        </w:rPr>
        <w:t xml:space="preserve">lowering </w:t>
      </w:r>
      <w:r w:rsidRPr="00B85D62">
        <w:rPr>
          <w:rFonts w:eastAsia="Arial" w:cs="Arial"/>
          <w:color w:val="000000" w:themeColor="text1"/>
        </w:rPr>
        <w:t xml:space="preserve">drugs, at a variety of intensities. LDL-C missingness was substantial and was tackled with the Friedewald equation and multiple imputation </w:t>
      </w:r>
      <w:r w:rsidR="00C35B5E" w:rsidRPr="00B85D62">
        <w:rPr>
          <w:rFonts w:eastAsia="Arial" w:cs="Arial"/>
          <w:noProof/>
          <w:color w:val="000000" w:themeColor="text1"/>
          <w:shd w:val="clear" w:color="auto" w:fill="E6E6E6"/>
          <w:vertAlign w:val="superscript"/>
        </w:rPr>
        <w:t>111, 112</w:t>
      </w:r>
      <w:r w:rsidRPr="00B85D62">
        <w:rPr>
          <w:rFonts w:eastAsia="Arial" w:cs="Arial"/>
          <w:color w:val="000000" w:themeColor="text1"/>
        </w:rPr>
        <w:t xml:space="preserve"> – see </w:t>
      </w:r>
      <w:r w:rsidR="00CC1396" w:rsidRPr="00B85D62">
        <w:rPr>
          <w:rFonts w:eastAsia="Arial" w:cs="Arial"/>
          <w:i/>
          <w:color w:val="000000" w:themeColor="text1"/>
        </w:rPr>
        <w:t xml:space="preserve">Online Supplementary </w:t>
      </w:r>
      <w:r w:rsidR="006E1EE8" w:rsidRPr="00B85D62">
        <w:rPr>
          <w:rFonts w:eastAsia="Arial" w:cs="Arial"/>
          <w:i/>
          <w:color w:val="000000" w:themeColor="text1"/>
        </w:rPr>
        <w:t>file 2</w:t>
      </w:r>
      <w:r w:rsidR="00695130" w:rsidRPr="00B85D62">
        <w:rPr>
          <w:rFonts w:eastAsia="Arial" w:cs="Arial"/>
          <w:i/>
          <w:color w:val="000000" w:themeColor="text1"/>
        </w:rPr>
        <w:t xml:space="preserve"> </w:t>
      </w:r>
      <w:r w:rsidR="2AF07F75" w:rsidRPr="00B85D62">
        <w:rPr>
          <w:rFonts w:eastAsia="Arial" w:cs="Arial"/>
          <w:i/>
          <w:color w:val="000000" w:themeColor="text1"/>
        </w:rPr>
        <w:t>(</w:t>
      </w:r>
      <w:r w:rsidR="006E1EE8" w:rsidRPr="00B85D62">
        <w:rPr>
          <w:rFonts w:eastAsia="Arial" w:cs="Arial"/>
          <w:i/>
          <w:color w:val="000000" w:themeColor="text1"/>
        </w:rPr>
        <w:t xml:space="preserve">CPRD </w:t>
      </w:r>
      <w:r w:rsidRPr="00B85D62">
        <w:rPr>
          <w:rFonts w:eastAsia="Arial" w:cs="Arial"/>
          <w:i/>
          <w:color w:val="000000" w:themeColor="text1"/>
        </w:rPr>
        <w:t xml:space="preserve">technical </w:t>
      </w:r>
      <w:r w:rsidR="006E1EE8" w:rsidRPr="00B85D62">
        <w:rPr>
          <w:rFonts w:eastAsia="Arial" w:cs="Arial"/>
          <w:i/>
          <w:color w:val="000000" w:themeColor="text1"/>
        </w:rPr>
        <w:t>report</w:t>
      </w:r>
      <w:r w:rsidR="6145E973" w:rsidRPr="00B85D62">
        <w:rPr>
          <w:rFonts w:eastAsia="Arial" w:cs="Arial"/>
          <w:i/>
          <w:color w:val="000000" w:themeColor="text1"/>
        </w:rPr>
        <w:t>)</w:t>
      </w:r>
      <w:r w:rsidR="6360E163" w:rsidRPr="00B85D62">
        <w:rPr>
          <w:rFonts w:eastAsia="Arial" w:cs="Arial"/>
          <w:color w:val="000000" w:themeColor="text1"/>
        </w:rPr>
        <w:t xml:space="preserve"> </w:t>
      </w:r>
      <w:r w:rsidRPr="00B85D62">
        <w:rPr>
          <w:rFonts w:eastAsia="Arial" w:cs="Arial"/>
          <w:color w:val="000000" w:themeColor="text1"/>
        </w:rPr>
        <w:t>for further detail</w:t>
      </w:r>
      <w:r w:rsidR="51CDD92C" w:rsidRPr="00B85D62">
        <w:rPr>
          <w:rFonts w:eastAsia="Arial" w:cs="Arial"/>
          <w:color w:val="000000" w:themeColor="text1"/>
        </w:rPr>
        <w:t>s</w:t>
      </w:r>
      <w:r w:rsidRPr="00B85D62">
        <w:rPr>
          <w:rFonts w:eastAsia="Arial" w:cs="Arial"/>
          <w:color w:val="000000" w:themeColor="text1"/>
        </w:rPr>
        <w:t>. When multiple imputation was used, all outputs were obtained via Rubin</w:t>
      </w:r>
      <w:r w:rsidR="00B85D62" w:rsidRPr="00B85D62">
        <w:rPr>
          <w:rFonts w:eastAsia="Arial" w:cs="Arial"/>
          <w:color w:val="000000" w:themeColor="text1"/>
        </w:rPr>
        <w:t>’</w:t>
      </w:r>
      <w:r w:rsidRPr="00B85D62">
        <w:rPr>
          <w:rFonts w:eastAsia="Arial" w:cs="Arial"/>
          <w:color w:val="000000" w:themeColor="text1"/>
        </w:rPr>
        <w:t>s rules.</w:t>
      </w:r>
    </w:p>
    <w:p w14:paraId="56C979D1" w14:textId="4BFAF439" w:rsidR="0732252A" w:rsidRPr="00B85D62" w:rsidRDefault="2F06F1AA" w:rsidP="005611BD">
      <w:pPr>
        <w:pStyle w:val="ListParagraph"/>
        <w:numPr>
          <w:ilvl w:val="1"/>
          <w:numId w:val="10"/>
        </w:numPr>
        <w:spacing w:after="120"/>
        <w:ind w:left="709" w:hanging="338"/>
        <w:rPr>
          <w:rFonts w:eastAsia="Arial" w:cs="Arial"/>
          <w:b/>
          <w:bCs/>
          <w:color w:val="000000" w:themeColor="text1"/>
        </w:rPr>
      </w:pPr>
      <w:r w:rsidRPr="00B85D62">
        <w:rPr>
          <w:rFonts w:eastAsia="Arial" w:cs="Arial"/>
          <w:b/>
          <w:bCs/>
          <w:color w:val="000000" w:themeColor="text1"/>
        </w:rPr>
        <w:t>Risk of major cardiovascular first events and mortality in treated FH patients from diagnosis</w:t>
      </w:r>
    </w:p>
    <w:p w14:paraId="494B5672" w14:textId="3A85C38A" w:rsidR="0732252A" w:rsidRPr="00B85D62" w:rsidRDefault="2F06F1AA" w:rsidP="005611BD">
      <w:pPr>
        <w:pStyle w:val="ListParagraph"/>
        <w:numPr>
          <w:ilvl w:val="0"/>
          <w:numId w:val="9"/>
        </w:numPr>
        <w:spacing w:after="120"/>
        <w:ind w:left="993" w:hanging="218"/>
        <w:rPr>
          <w:rFonts w:eastAsia="Arial" w:cs="Arial"/>
          <w:b/>
          <w:bCs/>
          <w:color w:val="000000" w:themeColor="text1"/>
        </w:rPr>
      </w:pPr>
      <w:r w:rsidRPr="00B85D62">
        <w:rPr>
          <w:rFonts w:eastAsia="Arial" w:cs="Arial"/>
          <w:b/>
          <w:bCs/>
          <w:color w:val="000000" w:themeColor="text1"/>
        </w:rPr>
        <w:t>Model structure</w:t>
      </w:r>
    </w:p>
    <w:p w14:paraId="12E7708E" w14:textId="5D2D0722" w:rsidR="00B85D62" w:rsidRPr="00B85D62" w:rsidRDefault="2F06F1AA" w:rsidP="0066232B">
      <w:pPr>
        <w:rPr>
          <w:rFonts w:eastAsia="Arial" w:cs="Arial"/>
          <w:color w:val="000000" w:themeColor="text1"/>
        </w:rPr>
      </w:pPr>
      <w:r w:rsidRPr="00B85D62">
        <w:rPr>
          <w:rFonts w:eastAsia="Arial" w:cs="Arial"/>
          <w:color w:val="000000" w:themeColor="text1"/>
        </w:rPr>
        <w:lastRenderedPageBreak/>
        <w:t xml:space="preserve">A multi-state transition model was developed to capture the natural history of FH patients. The model was centred on non-fatal CVD event occurrence, and both CVD and non-CVD mortality. The structure of the model was determined with reference to previous models </w:t>
      </w:r>
      <w:r w:rsidR="00C35B5E" w:rsidRPr="00B85D62">
        <w:rPr>
          <w:rFonts w:eastAsia="Arial" w:cs="Arial"/>
          <w:noProof/>
          <w:color w:val="000000" w:themeColor="text1"/>
          <w:shd w:val="clear" w:color="auto" w:fill="E6E6E6"/>
          <w:vertAlign w:val="superscript"/>
        </w:rPr>
        <w:t>83, 113</w:t>
      </w:r>
      <w:r w:rsidR="00B85D62" w:rsidRPr="00B85D62">
        <w:rPr>
          <w:rFonts w:eastAsia="Arial" w:cs="Arial"/>
          <w:noProof/>
          <w:color w:val="00B0F0"/>
          <w:shd w:val="clear" w:color="auto" w:fill="E6E6E6"/>
          <w:vertAlign w:val="superscript"/>
        </w:rPr>
        <w:t>–</w:t>
      </w:r>
      <w:r w:rsidR="00B85D62" w:rsidRPr="00B85D62">
        <w:rPr>
          <w:rFonts w:eastAsia="Arial" w:cs="Arial"/>
          <w:noProof/>
          <w:color w:val="00B0F0"/>
          <w:shd w:val="clear" w:color="auto" w:fill="E6E6E6"/>
          <w:vertAlign w:val="superscript"/>
        </w:rPr>
        <w:t>1</w:t>
      </w:r>
      <w:r w:rsidR="00C35B5E" w:rsidRPr="00B85D62">
        <w:rPr>
          <w:rFonts w:eastAsia="Arial" w:cs="Arial"/>
          <w:noProof/>
          <w:color w:val="000000" w:themeColor="text1"/>
          <w:shd w:val="clear" w:color="auto" w:fill="E6E6E6"/>
          <w:vertAlign w:val="superscript"/>
        </w:rPr>
        <w:t>19</w:t>
      </w:r>
      <w:r w:rsidRPr="00B85D62">
        <w:rPr>
          <w:rFonts w:eastAsia="Arial" w:cs="Arial"/>
          <w:color w:val="000000" w:themeColor="text1"/>
        </w:rPr>
        <w:t xml:space="preserve">, expert clinical advice and </w:t>
      </w:r>
      <w:r w:rsidRPr="00B85D62">
        <w:rPr>
          <w:rFonts w:eastAsia="Arial" w:cs="Arial"/>
          <w:color w:val="000000" w:themeColor="text1"/>
          <w:highlight w:val="magenta"/>
        </w:rPr>
        <w:t>data</w:t>
      </w:r>
      <w:r w:rsidRPr="00B85D62">
        <w:rPr>
          <w:rFonts w:eastAsia="Arial" w:cs="Arial"/>
          <w:color w:val="000000" w:themeColor="text1"/>
        </w:rPr>
        <w:t xml:space="preserve"> availability</w:t>
      </w:r>
      <w:r w:rsidRPr="00B85D62">
        <w:rPr>
          <w:rFonts w:eastAsia="Arial" w:cs="Arial"/>
          <w:color w:val="000000" w:themeColor="text1"/>
          <w:highlight w:val="magenta"/>
        </w:rPr>
        <w:t>. Further</w:t>
      </w:r>
      <w:r w:rsidRPr="00B85D62">
        <w:rPr>
          <w:rFonts w:eastAsia="Arial" w:cs="Arial"/>
          <w:color w:val="000000" w:themeColor="text1"/>
        </w:rPr>
        <w:t xml:space="preserve"> model information can be found in </w:t>
      </w:r>
      <w:r w:rsidR="1883BC26" w:rsidRPr="00B85D62">
        <w:rPr>
          <w:rFonts w:eastAsia="Arial" w:cs="Arial"/>
          <w:color w:val="000000" w:themeColor="text1"/>
        </w:rPr>
        <w:t xml:space="preserve">section </w:t>
      </w:r>
      <w:r w:rsidR="008547A2" w:rsidRPr="00B85D62">
        <w:rPr>
          <w:rFonts w:eastAsia="Arial" w:cs="Arial"/>
          <w:color w:val="000000" w:themeColor="text1"/>
        </w:rPr>
        <w:t>8</w:t>
      </w:r>
      <w:r w:rsidR="1883BC26" w:rsidRPr="00B85D62">
        <w:rPr>
          <w:rFonts w:eastAsia="Arial" w:cs="Arial"/>
          <w:color w:val="000000" w:themeColor="text1"/>
        </w:rPr>
        <w:t>.</w:t>
      </w:r>
      <w:r w:rsidR="7EA05552" w:rsidRPr="00B85D62">
        <w:rPr>
          <w:rFonts w:eastAsia="Arial" w:cs="Arial"/>
          <w:color w:val="000000" w:themeColor="text1"/>
        </w:rPr>
        <w:t>4</w:t>
      </w:r>
      <w:r w:rsidR="215347BF" w:rsidRPr="00B85D62">
        <w:rPr>
          <w:rFonts w:eastAsia="Arial" w:cs="Arial"/>
          <w:color w:val="000000" w:themeColor="text1"/>
        </w:rPr>
        <w:t>,</w:t>
      </w:r>
      <w:r w:rsidRPr="00B85D62">
        <w:rPr>
          <w:rFonts w:eastAsia="Arial" w:cs="Arial"/>
          <w:color w:val="000000" w:themeColor="text1"/>
        </w:rPr>
        <w:t xml:space="preserve"> which will explain the conceptual model and the choice of health states in more detail. Key information provided by the CPRD cohort relates to time to first major CVD event and time from non-fatal events to any death from diagnosis. These will now be described.</w:t>
      </w:r>
    </w:p>
    <w:p w14:paraId="48BCA337" w14:textId="476BFFB9" w:rsidR="00B85D62" w:rsidRPr="00B85D62" w:rsidRDefault="2F06F1AA" w:rsidP="0066232B">
      <w:pPr>
        <w:rPr>
          <w:rFonts w:eastAsia="Arial" w:cs="Arial"/>
          <w:color w:val="000000" w:themeColor="text1"/>
        </w:rPr>
      </w:pPr>
      <w:r w:rsidRPr="00B85D62">
        <w:rPr>
          <w:rFonts w:eastAsia="Arial" w:cs="Arial"/>
          <w:color w:val="000000" w:themeColor="text1"/>
        </w:rPr>
        <w:t xml:space="preserve">The focus of this analysis was on the treated subgroups of the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color w:val="000000" w:themeColor="text1"/>
        </w:rPr>
        <w:t xml:space="preserve"> (i.e., the </w:t>
      </w:r>
      <w:r w:rsidR="00B85D62" w:rsidRPr="00B85D62">
        <w:rPr>
          <w:rFonts w:eastAsia="Arial" w:cs="Arial"/>
          <w:color w:val="000000" w:themeColor="text1"/>
        </w:rPr>
        <w:t>‘</w:t>
      </w:r>
      <w:r w:rsidRPr="00B85D62">
        <w:rPr>
          <w:rFonts w:eastAsia="Arial" w:cs="Arial"/>
          <w:color w:val="000000" w:themeColor="text1"/>
        </w:rPr>
        <w:t>newly treated</w:t>
      </w:r>
      <w:r w:rsidR="00B85D62" w:rsidRPr="00B85D62">
        <w:rPr>
          <w:rFonts w:eastAsia="Arial" w:cs="Arial"/>
          <w:color w:val="000000" w:themeColor="text1"/>
        </w:rPr>
        <w:t>’</w:t>
      </w:r>
      <w:r w:rsidRPr="00B85D62">
        <w:rPr>
          <w:rFonts w:eastAsia="Arial" w:cs="Arial"/>
          <w:color w:val="000000" w:themeColor="text1"/>
        </w:rPr>
        <w:t xml:space="preserve"> and the </w:t>
      </w:r>
      <w:r w:rsidR="00B85D62" w:rsidRPr="00B85D62">
        <w:rPr>
          <w:rFonts w:eastAsia="Arial" w:cs="Arial"/>
          <w:color w:val="000000" w:themeColor="text1"/>
        </w:rPr>
        <w:t>‘</w:t>
      </w:r>
      <w:r w:rsidRPr="00B85D62">
        <w:rPr>
          <w:rFonts w:eastAsia="Arial" w:cs="Arial"/>
          <w:color w:val="000000" w:themeColor="text1"/>
        </w:rPr>
        <w:t>treatment retainers</w:t>
      </w:r>
      <w:r w:rsidR="00B85D62" w:rsidRPr="00B85D62">
        <w:rPr>
          <w:rFonts w:eastAsia="Arial" w:cs="Arial"/>
          <w:color w:val="000000" w:themeColor="text1"/>
        </w:rPr>
        <w:t>’</w:t>
      </w:r>
      <w:r w:rsidRPr="00B85D62">
        <w:rPr>
          <w:rFonts w:eastAsia="Arial" w:cs="Arial"/>
          <w:color w:val="000000" w:themeColor="text1"/>
        </w:rPr>
        <w:t xml:space="preserve"> individuals, N= 2135) as the long-term outcomes model is primarily aimed at predicting benefits of FH diagnosis and treatment. For this purpose, we required estimates of risk that related to treated or untreated individuals, and the treated group were the majority of our sample. We pooled the </w:t>
      </w:r>
      <w:r w:rsidR="00B85D62" w:rsidRPr="00B85D62">
        <w:rPr>
          <w:rFonts w:eastAsia="Arial" w:cs="Arial"/>
          <w:color w:val="000000" w:themeColor="text1"/>
        </w:rPr>
        <w:t>‘</w:t>
      </w:r>
      <w:r w:rsidRPr="00B85D62">
        <w:rPr>
          <w:rFonts w:eastAsia="Arial" w:cs="Arial"/>
          <w:color w:val="000000" w:themeColor="text1"/>
        </w:rPr>
        <w:t>newly treated</w:t>
      </w:r>
      <w:r w:rsidR="00B85D62" w:rsidRPr="00B85D62">
        <w:rPr>
          <w:rFonts w:eastAsia="Arial" w:cs="Arial"/>
          <w:color w:val="000000" w:themeColor="text1"/>
        </w:rPr>
        <w:t>’</w:t>
      </w:r>
      <w:r w:rsidRPr="00B85D62">
        <w:rPr>
          <w:rFonts w:eastAsia="Arial" w:cs="Arial"/>
          <w:color w:val="000000" w:themeColor="text1"/>
        </w:rPr>
        <w:t xml:space="preserve"> and </w:t>
      </w:r>
      <w:r w:rsidR="00B85D62" w:rsidRPr="00B85D62">
        <w:rPr>
          <w:rFonts w:eastAsia="Arial" w:cs="Arial"/>
          <w:color w:val="000000" w:themeColor="text1"/>
        </w:rPr>
        <w:t>‘</w:t>
      </w:r>
      <w:r w:rsidRPr="00B85D62">
        <w:rPr>
          <w:rFonts w:eastAsia="Arial" w:cs="Arial"/>
          <w:color w:val="000000" w:themeColor="text1"/>
        </w:rPr>
        <w:t>treatment retainers</w:t>
      </w:r>
      <w:r w:rsidR="00B85D62" w:rsidRPr="00B85D62">
        <w:rPr>
          <w:rFonts w:eastAsia="Arial" w:cs="Arial"/>
          <w:color w:val="000000" w:themeColor="text1"/>
        </w:rPr>
        <w:t>’</w:t>
      </w:r>
      <w:r w:rsidRPr="00B85D62">
        <w:rPr>
          <w:rFonts w:eastAsia="Arial" w:cs="Arial"/>
          <w:color w:val="000000" w:themeColor="text1"/>
        </w:rPr>
        <w:t xml:space="preserve"> groups to improve precision as their treatment patterns and LDL-C reduction were similar and generali</w:t>
      </w:r>
      <w:r w:rsidR="00C81491" w:rsidRPr="00B85D62">
        <w:rPr>
          <w:rFonts w:eastAsia="Arial" w:cs="Arial"/>
          <w:color w:val="000000" w:themeColor="text1"/>
        </w:rPr>
        <w:t>s</w:t>
      </w:r>
      <w:r w:rsidRPr="00B85D62">
        <w:rPr>
          <w:rFonts w:eastAsia="Arial" w:cs="Arial"/>
          <w:color w:val="000000" w:themeColor="text1"/>
        </w:rPr>
        <w:t xml:space="preserve">able to the broader FH population. For all survival analysis, censoring occurred at the earliest of CPRD last </w:t>
      </w:r>
      <w:r w:rsidRPr="00B85D62">
        <w:rPr>
          <w:rFonts w:eastAsia="Arial" w:cs="Arial"/>
          <w:color w:val="000000" w:themeColor="text1"/>
          <w:highlight w:val="magenta"/>
        </w:rPr>
        <w:t>data</w:t>
      </w:r>
      <w:r w:rsidRPr="00B85D62">
        <w:rPr>
          <w:rFonts w:eastAsia="Arial" w:cs="Arial"/>
          <w:color w:val="000000" w:themeColor="text1"/>
        </w:rPr>
        <w:t xml:space="preserve"> collection, CPRD transferred out date, HES last follow-up date or death from non-CVD causes (applies to time to first major CVD event only).</w:t>
      </w:r>
    </w:p>
    <w:p w14:paraId="754325F1" w14:textId="53D5B63A" w:rsidR="0732252A" w:rsidRPr="00B85D62" w:rsidRDefault="2F06F1AA" w:rsidP="005611BD">
      <w:pPr>
        <w:pStyle w:val="ListParagraph"/>
        <w:numPr>
          <w:ilvl w:val="0"/>
          <w:numId w:val="9"/>
        </w:numPr>
        <w:spacing w:after="120"/>
        <w:ind w:left="993" w:hanging="218"/>
        <w:rPr>
          <w:rFonts w:eastAsia="Arial" w:cs="Arial"/>
          <w:b/>
          <w:bCs/>
          <w:color w:val="000000" w:themeColor="text1"/>
        </w:rPr>
      </w:pPr>
      <w:r w:rsidRPr="00B85D62">
        <w:rPr>
          <w:rFonts w:eastAsia="Arial" w:cs="Arial"/>
          <w:b/>
          <w:bCs/>
          <w:color w:val="000000" w:themeColor="text1"/>
        </w:rPr>
        <w:t>Time to first major CVD event</w:t>
      </w:r>
    </w:p>
    <w:p w14:paraId="1098C121" w14:textId="1CDC8E92" w:rsidR="00B85D62" w:rsidRPr="00B85D62" w:rsidRDefault="2F06F1AA" w:rsidP="0066232B">
      <w:pPr>
        <w:rPr>
          <w:rFonts w:eastAsia="Arial" w:cs="Arial"/>
          <w:color w:val="000000" w:themeColor="text1"/>
        </w:rPr>
      </w:pPr>
      <w:r w:rsidRPr="00B85D62">
        <w:rPr>
          <w:rFonts w:eastAsia="Arial" w:cs="Arial"/>
          <w:color w:val="000000" w:themeColor="text1"/>
        </w:rPr>
        <w:t xml:space="preserve">The primary clinical endpoint assessed was time from FH diagnosis to first major CVD occurrence after diagnosis, that is, non-fatal acute coronary syndrome (ACS, includes unstable angina, unspecified ACS and myocardial infarction), non-fatal stroke or transient </w:t>
      </w:r>
      <w:r w:rsidR="00B85D62" w:rsidRPr="00B85D62">
        <w:rPr>
          <w:rFonts w:eastAsia="Arial" w:cs="Arial"/>
          <w:color w:val="00B0F0"/>
        </w:rPr>
        <w:t>ischaemic</w:t>
      </w:r>
      <w:r w:rsidRPr="00B85D62">
        <w:rPr>
          <w:rFonts w:eastAsia="Arial" w:cs="Arial"/>
          <w:color w:val="000000" w:themeColor="text1"/>
        </w:rPr>
        <w:t xml:space="preserve"> attack (Stroke/TIA) and CVD death combined as first events. CVD events were defined according to ICD 9 and 10 codes </w:t>
      </w:r>
      <w:r w:rsidR="00C35B5E" w:rsidRPr="00B85D62">
        <w:rPr>
          <w:rFonts w:eastAsia="Arial" w:cs="Arial"/>
          <w:noProof/>
          <w:color w:val="000000" w:themeColor="text1"/>
          <w:shd w:val="clear" w:color="auto" w:fill="E6E6E6"/>
          <w:vertAlign w:val="superscript"/>
        </w:rPr>
        <w:t>109, 110, 120</w:t>
      </w:r>
      <w:r w:rsidR="2D9F08AE" w:rsidRPr="00B85D62">
        <w:rPr>
          <w:rFonts w:eastAsia="Arial" w:cs="Arial"/>
          <w:color w:val="000000" w:themeColor="text1"/>
        </w:rPr>
        <w:t xml:space="preserve"> </w:t>
      </w:r>
      <w:r w:rsidRPr="00B85D62">
        <w:rPr>
          <w:rFonts w:eastAsia="Arial" w:cs="Arial"/>
          <w:color w:val="000000" w:themeColor="text1"/>
        </w:rPr>
        <w:t>and sourced from both CPRD and the HES/ONS linkage. Inclusion of these events reflected their severe nature, and the established effects of LLT on their risk of occurring. Only events appearing as a primary diagnosis were evaluated. Any death occurring within 28 days after a first CVD event was deemed a CVD-related death.</w:t>
      </w:r>
    </w:p>
    <w:p w14:paraId="5AEC3F2C" w14:textId="52F56C7E" w:rsidR="0732252A" w:rsidRPr="00B85D62" w:rsidRDefault="2F06F1AA" w:rsidP="0066232B">
      <w:pPr>
        <w:rPr>
          <w:rFonts w:eastAsia="Arial" w:cs="Arial"/>
          <w:color w:val="000000" w:themeColor="text1"/>
        </w:rPr>
      </w:pPr>
      <w:r w:rsidRPr="00B85D62">
        <w:rPr>
          <w:rFonts w:eastAsia="Arial" w:cs="Arial"/>
          <w:color w:val="000000" w:themeColor="text1"/>
        </w:rPr>
        <w:t xml:space="preserve">Some evidence was found that indicated that the risk of peripheral </w:t>
      </w:r>
      <w:r w:rsidR="608CD07C" w:rsidRPr="00B85D62">
        <w:rPr>
          <w:rFonts w:eastAsia="Arial" w:cs="Arial"/>
          <w:color w:val="000000" w:themeColor="text1"/>
        </w:rPr>
        <w:t>vascular</w:t>
      </w:r>
      <w:r w:rsidRPr="00B85D62">
        <w:rPr>
          <w:rFonts w:eastAsia="Arial" w:cs="Arial"/>
          <w:color w:val="000000" w:themeColor="text1"/>
        </w:rPr>
        <w:t xml:space="preserve"> disease (P</w:t>
      </w:r>
      <w:r w:rsidR="06293821" w:rsidRPr="00B85D62">
        <w:rPr>
          <w:rFonts w:eastAsia="Arial" w:cs="Arial"/>
          <w:color w:val="000000" w:themeColor="text1"/>
        </w:rPr>
        <w:t>V</w:t>
      </w:r>
      <w:r w:rsidRPr="00B85D62">
        <w:rPr>
          <w:rFonts w:eastAsia="Arial" w:cs="Arial"/>
          <w:color w:val="000000" w:themeColor="text1"/>
        </w:rPr>
        <w:t xml:space="preserve">D) and stable angina (SA) is elevated in FH patients </w:t>
      </w:r>
      <w:r w:rsidR="00C35B5E" w:rsidRPr="00B85D62">
        <w:rPr>
          <w:rFonts w:eastAsia="Arial" w:cs="Arial"/>
          <w:noProof/>
          <w:color w:val="000000" w:themeColor="text1"/>
          <w:shd w:val="clear" w:color="auto" w:fill="E6E6E6"/>
          <w:vertAlign w:val="superscript"/>
        </w:rPr>
        <w:t>113, 116, 121</w:t>
      </w:r>
      <w:r w:rsidR="74CEAB6B" w:rsidRPr="00B85D62">
        <w:rPr>
          <w:rFonts w:eastAsia="Arial" w:cs="Arial"/>
          <w:color w:val="000000" w:themeColor="text1"/>
        </w:rPr>
        <w:t>.</w:t>
      </w:r>
      <w:r w:rsidR="3AD5F1CB" w:rsidRPr="00B85D62">
        <w:rPr>
          <w:rFonts w:eastAsia="Arial" w:cs="Arial"/>
          <w:color w:val="000000" w:themeColor="text1"/>
        </w:rPr>
        <w:t xml:space="preserve"> </w:t>
      </w:r>
      <w:r w:rsidRPr="00B85D62">
        <w:rPr>
          <w:rFonts w:eastAsia="Arial" w:cs="Arial"/>
          <w:color w:val="000000" w:themeColor="text1"/>
        </w:rPr>
        <w:t xml:space="preserve">However, </w:t>
      </w:r>
      <w:r w:rsidRPr="00B85D62">
        <w:rPr>
          <w:rFonts w:eastAsia="Arial" w:cs="Arial"/>
          <w:color w:val="000000" w:themeColor="text1"/>
          <w:highlight w:val="magenta"/>
        </w:rPr>
        <w:t>data</w:t>
      </w:r>
      <w:r w:rsidRPr="00B85D62">
        <w:rPr>
          <w:rFonts w:eastAsia="Arial" w:cs="Arial"/>
          <w:color w:val="000000" w:themeColor="text1"/>
        </w:rPr>
        <w:t xml:space="preserve"> from the cohorts showed that P</w:t>
      </w:r>
      <w:r w:rsidR="085EFE5F" w:rsidRPr="00B85D62">
        <w:rPr>
          <w:rFonts w:eastAsia="Arial" w:cs="Arial"/>
          <w:color w:val="000000" w:themeColor="text1"/>
        </w:rPr>
        <w:t>V</w:t>
      </w:r>
      <w:r w:rsidRPr="00B85D62">
        <w:rPr>
          <w:rFonts w:eastAsia="Arial" w:cs="Arial"/>
          <w:color w:val="000000" w:themeColor="text1"/>
        </w:rPr>
        <w:t>D and SA as first events were relatively rare</w:t>
      </w:r>
      <w:r w:rsidR="1883BC26" w:rsidRPr="00B85D62">
        <w:rPr>
          <w:rFonts w:eastAsia="Arial" w:cs="Arial"/>
          <w:color w:val="000000" w:themeColor="text1"/>
        </w:rPr>
        <w:t>.</w:t>
      </w:r>
      <w:r w:rsidR="00B85D62" w:rsidRPr="00B85D62">
        <w:rPr>
          <w:rFonts w:eastAsia="Arial" w:cs="Arial"/>
          <w:color w:val="00B0F0"/>
        </w:rPr>
        <w:t xml:space="preserve"> – </w:t>
      </w:r>
      <w:r w:rsidR="009E34A2" w:rsidRPr="00B85D62">
        <w:rPr>
          <w:rFonts w:eastAsia="Arial" w:cs="Arial"/>
          <w:color w:val="000000" w:themeColor="text1"/>
        </w:rPr>
        <w:t xml:space="preserve">each event occurred in </w:t>
      </w:r>
      <w:r w:rsidR="00B85D62" w:rsidRPr="00B85D62">
        <w:rPr>
          <w:rFonts w:eastAsia="Arial" w:cs="Arial"/>
          <w:color w:val="00B0F0"/>
        </w:rPr>
        <w:t>≤</w:t>
      </w:r>
      <w:r w:rsidR="00B85D62" w:rsidRPr="00B85D62">
        <w:rPr>
          <w:rFonts w:eastAsia="Arial" w:cs="Arial"/>
          <w:color w:val="00B0F0"/>
        </w:rPr>
        <w:t> </w:t>
      </w:r>
      <w:r w:rsidR="00B85D62" w:rsidRPr="00B85D62">
        <w:rPr>
          <w:rFonts w:eastAsia="Arial" w:cs="Arial"/>
          <w:color w:val="00B0F0"/>
        </w:rPr>
        <w:t>0</w:t>
      </w:r>
      <w:r w:rsidR="009E34A2" w:rsidRPr="00B85D62">
        <w:rPr>
          <w:rFonts w:eastAsia="Arial" w:cs="Arial"/>
          <w:color w:val="000000" w:themeColor="text1"/>
        </w:rPr>
        <w:t xml:space="preserve">.5% of the cohort. </w:t>
      </w:r>
      <w:r w:rsidRPr="00B85D62">
        <w:rPr>
          <w:rFonts w:eastAsia="Arial" w:cs="Arial"/>
          <w:color w:val="000000" w:themeColor="text1"/>
        </w:rPr>
        <w:t>Therefore, neither P</w:t>
      </w:r>
      <w:r w:rsidR="530B57B8" w:rsidRPr="00B85D62">
        <w:rPr>
          <w:rFonts w:eastAsia="Arial" w:cs="Arial"/>
          <w:color w:val="000000" w:themeColor="text1"/>
        </w:rPr>
        <w:t>V</w:t>
      </w:r>
      <w:r w:rsidRPr="00B85D62">
        <w:rPr>
          <w:rFonts w:eastAsia="Arial" w:cs="Arial"/>
          <w:color w:val="000000" w:themeColor="text1"/>
        </w:rPr>
        <w:t xml:space="preserve">D nor SA were included in the long-term risk modelling </w:t>
      </w:r>
      <w:r w:rsidR="00C35B5E" w:rsidRPr="00B85D62">
        <w:rPr>
          <w:rFonts w:eastAsia="Arial" w:cs="Arial"/>
          <w:noProof/>
          <w:color w:val="000000" w:themeColor="text1"/>
          <w:shd w:val="clear" w:color="auto" w:fill="E6E6E6"/>
          <w:vertAlign w:val="superscript"/>
        </w:rPr>
        <w:t>122</w:t>
      </w:r>
      <w:r w:rsidRPr="00B85D62">
        <w:rPr>
          <w:rFonts w:eastAsia="Arial" w:cs="Arial"/>
          <w:color w:val="000000" w:themeColor="text1"/>
        </w:rPr>
        <w:t xml:space="preserve">. </w:t>
      </w:r>
      <w:r w:rsidR="008547A2" w:rsidRPr="00B85D62">
        <w:rPr>
          <w:rFonts w:eastAsia="Arial" w:cs="Arial"/>
          <w:color w:val="000000" w:themeColor="text1"/>
        </w:rPr>
        <w:t>Heart</w:t>
      </w:r>
      <w:r w:rsidR="009E34A2" w:rsidRPr="00B85D62">
        <w:rPr>
          <w:rFonts w:eastAsia="Arial" w:cs="Arial"/>
          <w:color w:val="000000" w:themeColor="text1"/>
        </w:rPr>
        <w:t xml:space="preserve"> failure was also not </w:t>
      </w:r>
      <w:r w:rsidR="008547A2" w:rsidRPr="00B85D62">
        <w:rPr>
          <w:rFonts w:eastAsia="Arial" w:cs="Arial"/>
          <w:color w:val="000000" w:themeColor="text1"/>
        </w:rPr>
        <w:t>includ</w:t>
      </w:r>
      <w:r w:rsidR="009E34A2" w:rsidRPr="00B85D62">
        <w:rPr>
          <w:rFonts w:eastAsia="Arial" w:cs="Arial"/>
          <w:color w:val="000000" w:themeColor="text1"/>
        </w:rPr>
        <w:t xml:space="preserve">ed, as evidence from the literature suggests that </w:t>
      </w:r>
      <w:r w:rsidR="008547A2" w:rsidRPr="00B85D62">
        <w:rPr>
          <w:rFonts w:eastAsia="Arial" w:cs="Arial"/>
          <w:color w:val="000000" w:themeColor="text1"/>
        </w:rPr>
        <w:t xml:space="preserve">although </w:t>
      </w:r>
      <w:r w:rsidR="009E34A2" w:rsidRPr="00B85D62">
        <w:rPr>
          <w:rFonts w:eastAsia="Arial" w:cs="Arial"/>
          <w:color w:val="000000" w:themeColor="text1"/>
        </w:rPr>
        <w:t>FH patients are at elevated risk of H</w:t>
      </w:r>
      <w:r w:rsidR="008547A2" w:rsidRPr="00B85D62">
        <w:rPr>
          <w:rFonts w:eastAsia="Arial" w:cs="Arial"/>
          <w:color w:val="000000" w:themeColor="text1"/>
        </w:rPr>
        <w:t xml:space="preserve">eart </w:t>
      </w:r>
      <w:r w:rsidR="009E34A2" w:rsidRPr="00B85D62">
        <w:rPr>
          <w:rFonts w:eastAsia="Arial" w:cs="Arial"/>
          <w:color w:val="000000" w:themeColor="text1"/>
        </w:rPr>
        <w:t>F</w:t>
      </w:r>
      <w:r w:rsidR="008547A2" w:rsidRPr="00B85D62">
        <w:rPr>
          <w:rFonts w:eastAsia="Arial" w:cs="Arial"/>
          <w:color w:val="000000" w:themeColor="text1"/>
        </w:rPr>
        <w:t xml:space="preserve">ailure, </w:t>
      </w:r>
      <w:r w:rsidR="009E34A2" w:rsidRPr="00B85D62">
        <w:rPr>
          <w:rFonts w:eastAsia="Arial" w:cs="Arial"/>
          <w:color w:val="000000" w:themeColor="text1"/>
        </w:rPr>
        <w:t xml:space="preserve">this is predominantly an event that occurs following previous Coronary </w:t>
      </w:r>
      <w:r w:rsidR="003E6584" w:rsidRPr="00B85D62">
        <w:rPr>
          <w:rFonts w:eastAsia="Arial" w:cs="Arial"/>
          <w:color w:val="000000" w:themeColor="text1"/>
        </w:rPr>
        <w:t xml:space="preserve">Heart </w:t>
      </w:r>
      <w:r w:rsidR="009E34A2" w:rsidRPr="00B85D62">
        <w:rPr>
          <w:rFonts w:eastAsia="Arial" w:cs="Arial"/>
          <w:color w:val="000000" w:themeColor="text1"/>
        </w:rPr>
        <w:t xml:space="preserve">Disease </w:t>
      </w:r>
      <w:r w:rsidR="008547A2" w:rsidRPr="00B85D62">
        <w:rPr>
          <w:rFonts w:eastAsia="Arial" w:cs="Arial"/>
          <w:color w:val="000000" w:themeColor="text1"/>
        </w:rPr>
        <w:t>(with/without</w:t>
      </w:r>
      <w:r w:rsidR="009E34A2" w:rsidRPr="00B85D62">
        <w:rPr>
          <w:rFonts w:eastAsia="Arial" w:cs="Arial"/>
          <w:color w:val="000000" w:themeColor="text1"/>
        </w:rPr>
        <w:t xml:space="preserve"> myocardial infarction events</w:t>
      </w:r>
      <w:r w:rsidR="008547A2" w:rsidRPr="00B85D62">
        <w:rPr>
          <w:rFonts w:eastAsia="Arial" w:cs="Arial"/>
          <w:color w:val="000000" w:themeColor="text1"/>
        </w:rPr>
        <w:t xml:space="preserve">) </w:t>
      </w:r>
      <w:r w:rsidR="00C35B5E" w:rsidRPr="00B85D62">
        <w:rPr>
          <w:rFonts w:eastAsia="Arial" w:cs="Arial"/>
          <w:noProof/>
          <w:color w:val="000000" w:themeColor="text1"/>
          <w:shd w:val="clear" w:color="auto" w:fill="E6E6E6"/>
          <w:vertAlign w:val="superscript"/>
        </w:rPr>
        <w:t>122</w:t>
      </w:r>
      <w:r w:rsidR="009E34A2" w:rsidRPr="00B85D62">
        <w:rPr>
          <w:rFonts w:eastAsia="Arial" w:cs="Arial"/>
          <w:color w:val="000000" w:themeColor="text1"/>
        </w:rPr>
        <w:t>.</w:t>
      </w:r>
    </w:p>
    <w:p w14:paraId="35E05983" w14:textId="49CFF480" w:rsidR="0732252A" w:rsidRPr="00B85D62" w:rsidRDefault="2F06F1AA" w:rsidP="005611BD">
      <w:pPr>
        <w:pStyle w:val="ListParagraph"/>
        <w:numPr>
          <w:ilvl w:val="0"/>
          <w:numId w:val="9"/>
        </w:numPr>
        <w:spacing w:after="120"/>
        <w:ind w:left="1134" w:hanging="359"/>
        <w:rPr>
          <w:rFonts w:eastAsia="Arial" w:cs="Arial"/>
          <w:b/>
          <w:bCs/>
          <w:color w:val="000000" w:themeColor="text1"/>
        </w:rPr>
      </w:pPr>
      <w:r w:rsidRPr="00B85D62">
        <w:rPr>
          <w:rFonts w:eastAsia="Arial" w:cs="Arial"/>
          <w:b/>
          <w:bCs/>
          <w:color w:val="000000" w:themeColor="text1"/>
        </w:rPr>
        <w:t>Parametric survival modelling of time to first major CVD event</w:t>
      </w:r>
    </w:p>
    <w:p w14:paraId="5C3003E0" w14:textId="77777777" w:rsidR="00B85D62" w:rsidRPr="00B85D62" w:rsidRDefault="2F06F1AA" w:rsidP="0066232B">
      <w:pPr>
        <w:rPr>
          <w:rFonts w:eastAsia="Arial" w:cs="Arial"/>
          <w:color w:val="000000" w:themeColor="text1"/>
        </w:rPr>
      </w:pPr>
      <w:r w:rsidRPr="00B85D62">
        <w:rPr>
          <w:rFonts w:eastAsia="Arial" w:cs="Arial"/>
          <w:color w:val="000000" w:themeColor="text1"/>
        </w:rPr>
        <w:t xml:space="preserve">A fully parametric survival modelling framework was adopted. This framework was chosen as it facilitates extrapolations beyond the time range of the </w:t>
      </w:r>
      <w:r w:rsidRPr="00B85D62">
        <w:rPr>
          <w:rFonts w:eastAsia="Arial" w:cs="Arial"/>
          <w:color w:val="000000" w:themeColor="text1"/>
          <w:highlight w:val="magenta"/>
        </w:rPr>
        <w:t>data</w:t>
      </w:r>
      <w:r w:rsidRPr="00B85D62">
        <w:rPr>
          <w:rFonts w:eastAsia="Arial" w:cs="Arial"/>
          <w:color w:val="000000" w:themeColor="text1"/>
        </w:rPr>
        <w:t xml:space="preserve"> and allows predictions for individuals with different prognostic characteristics – essential features for the succeeding long-term cost-effectiveness model.</w:t>
      </w:r>
    </w:p>
    <w:p w14:paraId="1214D75A" w14:textId="503D8A9B" w:rsidR="0732252A" w:rsidRPr="00B85D62" w:rsidRDefault="2F06F1AA" w:rsidP="0066232B">
      <w:pPr>
        <w:rPr>
          <w:rFonts w:eastAsia="Arial" w:cs="Arial"/>
          <w:color w:val="000000" w:themeColor="text1"/>
        </w:rPr>
      </w:pPr>
      <w:r w:rsidRPr="00B85D62">
        <w:rPr>
          <w:rFonts w:eastAsia="Arial" w:cs="Arial"/>
          <w:color w:val="000000" w:themeColor="text1"/>
        </w:rPr>
        <w:t xml:space="preserve">The survival distributions that were tested in terms of model fit to the cohort </w:t>
      </w:r>
      <w:r w:rsidRPr="00B85D62">
        <w:rPr>
          <w:rFonts w:eastAsia="Arial" w:cs="Arial"/>
          <w:color w:val="000000" w:themeColor="text1"/>
          <w:highlight w:val="magenta"/>
        </w:rPr>
        <w:t>data</w:t>
      </w:r>
      <w:r w:rsidRPr="00B85D62">
        <w:rPr>
          <w:rFonts w:eastAsia="Arial" w:cs="Arial"/>
          <w:color w:val="000000" w:themeColor="text1"/>
        </w:rPr>
        <w:t xml:space="preserve"> were the exponential, the Weibull, the Gompertz, the log-normal, the log-logistic, the generalised gamma </w:t>
      </w:r>
      <w:r w:rsidR="00C35B5E" w:rsidRPr="00B85D62">
        <w:rPr>
          <w:rFonts w:eastAsia="Arial" w:cs="Arial"/>
          <w:noProof/>
          <w:color w:val="000000" w:themeColor="text1"/>
          <w:shd w:val="clear" w:color="auto" w:fill="E6E6E6"/>
          <w:vertAlign w:val="superscript"/>
        </w:rPr>
        <w:t>123</w:t>
      </w:r>
      <w:r w:rsidRPr="00B85D62">
        <w:rPr>
          <w:rFonts w:eastAsia="Arial" w:cs="Arial"/>
          <w:color w:val="000000" w:themeColor="text1"/>
        </w:rPr>
        <w:t xml:space="preserve"> and the Royston-Parmar spline model </w:t>
      </w:r>
      <w:r w:rsidR="00C35B5E" w:rsidRPr="00B85D62">
        <w:rPr>
          <w:rFonts w:eastAsia="Arial" w:cs="Arial"/>
          <w:noProof/>
          <w:color w:val="000000" w:themeColor="text1"/>
          <w:shd w:val="clear" w:color="auto" w:fill="E6E6E6"/>
          <w:vertAlign w:val="superscript"/>
        </w:rPr>
        <w:t>124</w:t>
      </w:r>
      <w:r w:rsidRPr="00B85D62">
        <w:rPr>
          <w:rFonts w:eastAsia="Arial" w:cs="Arial"/>
          <w:color w:val="000000" w:themeColor="text1"/>
        </w:rPr>
        <w:t xml:space="preserve">. </w:t>
      </w:r>
      <w:r w:rsidR="00B85D62" w:rsidRPr="00B85D62">
        <w:rPr>
          <w:rFonts w:eastAsia="Arial" w:cs="Arial"/>
          <w:color w:val="00B0F0"/>
        </w:rPr>
        <w:t>Kaplan–Meier</w:t>
      </w:r>
      <w:r w:rsidRPr="00B85D62">
        <w:rPr>
          <w:rFonts w:eastAsia="Arial" w:cs="Arial"/>
          <w:color w:val="000000" w:themeColor="text1"/>
        </w:rPr>
        <w:t xml:space="preserve"> curves were initially produced and CVD events were then modelled from FH diagnosis to produce long-term estimates of event rates and disease progression over time for the FH population.</w:t>
      </w:r>
    </w:p>
    <w:p w14:paraId="2B6B6F47" w14:textId="75E288F5" w:rsidR="0732252A" w:rsidRPr="00B85D62" w:rsidRDefault="2F06F1AA" w:rsidP="0066232B">
      <w:pPr>
        <w:rPr>
          <w:rFonts w:eastAsia="Arial" w:cs="Arial"/>
          <w:color w:val="000000" w:themeColor="text1"/>
        </w:rPr>
      </w:pPr>
      <w:r w:rsidRPr="00B85D62">
        <w:rPr>
          <w:rFonts w:eastAsia="Arial" w:cs="Arial"/>
          <w:color w:val="000000" w:themeColor="text1"/>
        </w:rPr>
        <w:t xml:space="preserve">A range of important prognostic variables for the risk of first major CVD event occurrences were considered for the survival modelling. An assessment of available baseline covariates and potential confounding effects was performed. Baseline covariates were selected according to expert clinical advice and reference to previous models </w:t>
      </w:r>
      <w:r w:rsidR="00C35B5E" w:rsidRPr="00B85D62">
        <w:rPr>
          <w:rFonts w:eastAsia="Arial" w:cs="Arial"/>
          <w:noProof/>
          <w:color w:val="000000" w:themeColor="text1"/>
          <w:shd w:val="clear" w:color="auto" w:fill="E6E6E6"/>
          <w:vertAlign w:val="superscript"/>
        </w:rPr>
        <w:t>83, 113</w:t>
      </w:r>
      <w:r w:rsidR="00B85D62" w:rsidRPr="00B85D62">
        <w:rPr>
          <w:rFonts w:eastAsia="Arial" w:cs="Arial"/>
          <w:noProof/>
          <w:color w:val="00B0F0"/>
          <w:shd w:val="clear" w:color="auto" w:fill="E6E6E6"/>
          <w:vertAlign w:val="superscript"/>
        </w:rPr>
        <w:t>–</w:t>
      </w:r>
      <w:r w:rsidR="00B85D62" w:rsidRPr="00B85D62">
        <w:rPr>
          <w:rFonts w:eastAsia="Arial" w:cs="Arial"/>
          <w:noProof/>
          <w:color w:val="00B0F0"/>
          <w:shd w:val="clear" w:color="auto" w:fill="E6E6E6"/>
          <w:vertAlign w:val="superscript"/>
        </w:rPr>
        <w:t>1</w:t>
      </w:r>
      <w:r w:rsidR="00C35B5E" w:rsidRPr="00B85D62">
        <w:rPr>
          <w:rFonts w:eastAsia="Arial" w:cs="Arial"/>
          <w:noProof/>
          <w:color w:val="000000" w:themeColor="text1"/>
          <w:shd w:val="clear" w:color="auto" w:fill="E6E6E6"/>
          <w:vertAlign w:val="superscript"/>
        </w:rPr>
        <w:t>19</w:t>
      </w:r>
      <w:r w:rsidRPr="00B85D62">
        <w:rPr>
          <w:rFonts w:eastAsia="Arial" w:cs="Arial"/>
          <w:color w:val="000000" w:themeColor="text1"/>
        </w:rPr>
        <w:t xml:space="preserve">, but mainly influenced by the structure of the cascade model. We note also that, although the CPRD cohort was relatively large, a small number of CVD events of interest were found, which precluded the inclusion of an extensive set of explanatory variables. These were defined to be gender and baseline age (years), baseline clinical history of CVD (yes/no) and pre-treatment LDL-C (in mmol/l), with the closest LDL-C measurements prior to treatment initiation being selected. Pre-treatment LDL-C missingness was substantial and was tackled with the Friedewald equation and multiple imputation </w:t>
      </w:r>
      <w:r w:rsidR="00C35B5E" w:rsidRPr="00B85D62">
        <w:rPr>
          <w:rFonts w:eastAsia="Arial" w:cs="Arial"/>
          <w:noProof/>
          <w:color w:val="000000" w:themeColor="text1"/>
          <w:shd w:val="clear" w:color="auto" w:fill="E6E6E6"/>
          <w:vertAlign w:val="superscript"/>
        </w:rPr>
        <w:t>111</w:t>
      </w:r>
      <w:r w:rsidRPr="00B85D62">
        <w:rPr>
          <w:rFonts w:eastAsia="Arial" w:cs="Arial"/>
          <w:color w:val="000000" w:themeColor="text1"/>
        </w:rPr>
        <w:t xml:space="preserve"> –</w:t>
      </w:r>
      <w:r w:rsidR="00E51CF7" w:rsidRPr="00B85D62">
        <w:rPr>
          <w:rFonts w:eastAsia="Arial" w:cs="Arial"/>
          <w:color w:val="000000" w:themeColor="text1"/>
        </w:rPr>
        <w:t xml:space="preserve">– </w:t>
      </w:r>
      <w:r w:rsidR="00E51CF7" w:rsidRPr="00B85D62">
        <w:rPr>
          <w:rFonts w:eastAsia="Arial" w:cs="Arial"/>
          <w:i/>
          <w:color w:val="000000" w:themeColor="text1"/>
        </w:rPr>
        <w:t xml:space="preserve">see </w:t>
      </w:r>
      <w:r w:rsidR="006E1EE8" w:rsidRPr="00B85D62">
        <w:rPr>
          <w:rFonts w:eastAsia="Arial" w:cs="Arial"/>
          <w:i/>
          <w:color w:val="000000" w:themeColor="text1"/>
        </w:rPr>
        <w:t>Online Supplementary file 2 (CPRD technical report)</w:t>
      </w:r>
      <w:r w:rsidR="006E1EE8" w:rsidRPr="00B85D62">
        <w:rPr>
          <w:rFonts w:eastAsia="Arial" w:cs="Arial"/>
          <w:color w:val="000000" w:themeColor="text1"/>
        </w:rPr>
        <w:t xml:space="preserve"> </w:t>
      </w:r>
      <w:r w:rsidR="00E51CF7" w:rsidRPr="00B85D62">
        <w:rPr>
          <w:rFonts w:eastAsia="Arial" w:cs="Arial"/>
          <w:color w:val="000000" w:themeColor="text1"/>
        </w:rPr>
        <w:t>for further details.</w:t>
      </w:r>
    </w:p>
    <w:p w14:paraId="7260CB42" w14:textId="3A3340A1" w:rsidR="00B85D62" w:rsidRPr="00B85D62" w:rsidRDefault="2F06F1AA" w:rsidP="0066232B">
      <w:pPr>
        <w:spacing w:after="120"/>
        <w:rPr>
          <w:rFonts w:eastAsia="Arial" w:cs="Arial"/>
          <w:color w:val="000000" w:themeColor="text1"/>
        </w:rPr>
      </w:pPr>
      <w:r w:rsidRPr="00B85D62">
        <w:rPr>
          <w:rFonts w:eastAsia="Arial" w:cs="Arial"/>
          <w:color w:val="000000" w:themeColor="text1"/>
        </w:rPr>
        <w:t>As described above, several survival distributions were tested. Following existing guidance on survival analysis for economic evaluations</w:t>
      </w:r>
      <w:r w:rsidR="00C35B5E" w:rsidRPr="00B85D62">
        <w:rPr>
          <w:rFonts w:eastAsia="Arial" w:cs="Arial"/>
          <w:noProof/>
          <w:color w:val="000000" w:themeColor="text1"/>
          <w:shd w:val="clear" w:color="auto" w:fill="E6E6E6"/>
          <w:vertAlign w:val="superscript"/>
        </w:rPr>
        <w:t>125</w:t>
      </w:r>
      <w:r w:rsidRPr="00B85D62">
        <w:rPr>
          <w:rFonts w:eastAsia="Arial" w:cs="Arial"/>
          <w:color w:val="000000" w:themeColor="text1"/>
        </w:rPr>
        <w:t xml:space="preserve">, the suitability of each survival model tested was assessed. The choice of distribution </w:t>
      </w:r>
      <w:r w:rsidR="45BCA215" w:rsidRPr="00B85D62">
        <w:rPr>
          <w:rFonts w:eastAsia="Arial" w:cs="Arial"/>
          <w:color w:val="000000" w:themeColor="text1"/>
        </w:rPr>
        <w:t>is related to</w:t>
      </w:r>
      <w:r w:rsidRPr="00B85D62">
        <w:rPr>
          <w:rFonts w:eastAsia="Arial" w:cs="Arial"/>
          <w:color w:val="000000" w:themeColor="text1"/>
        </w:rPr>
        <w:t xml:space="preserve"> the appropriateness of the model in terms of goodness of fit to the observed </w:t>
      </w:r>
      <w:r w:rsidRPr="00B85D62">
        <w:rPr>
          <w:rFonts w:eastAsia="Arial" w:cs="Arial"/>
          <w:color w:val="000000" w:themeColor="text1"/>
          <w:highlight w:val="magenta"/>
        </w:rPr>
        <w:t>data</w:t>
      </w:r>
      <w:r w:rsidRPr="00B85D62">
        <w:rPr>
          <w:rFonts w:eastAsia="Arial" w:cs="Arial"/>
          <w:color w:val="000000" w:themeColor="text1"/>
        </w:rPr>
        <w:t xml:space="preserve"> but also whether any temporal extrapolation is plausible. The internal validity of the fitted models was assessed through visual inspection of how well the parametric survival models fitted the observed </w:t>
      </w:r>
      <w:r w:rsidRPr="00B85D62">
        <w:rPr>
          <w:rFonts w:eastAsia="Arial" w:cs="Arial"/>
          <w:color w:val="000000" w:themeColor="text1"/>
          <w:highlight w:val="magenta"/>
        </w:rPr>
        <w:t>data</w:t>
      </w:r>
      <w:r w:rsidRPr="00B85D62">
        <w:rPr>
          <w:rFonts w:eastAsia="Arial" w:cs="Arial"/>
          <w:color w:val="000000" w:themeColor="text1"/>
        </w:rPr>
        <w:t>, through consideration of hazard rates and cumulative hazard rates, but also through the Akaike</w:t>
      </w:r>
      <w:r w:rsidR="00B85D62" w:rsidRPr="00B85D62">
        <w:rPr>
          <w:rFonts w:eastAsia="Arial" w:cs="Arial"/>
          <w:color w:val="000000" w:themeColor="text1"/>
        </w:rPr>
        <w:t>’</w:t>
      </w:r>
      <w:r w:rsidRPr="00B85D62">
        <w:rPr>
          <w:rFonts w:eastAsia="Arial" w:cs="Arial"/>
          <w:color w:val="000000" w:themeColor="text1"/>
        </w:rPr>
        <w:t xml:space="preserve">s information criteria (AIC) test </w:t>
      </w:r>
      <w:r w:rsidR="00C35B5E" w:rsidRPr="00B85D62">
        <w:rPr>
          <w:rFonts w:eastAsia="Arial" w:cs="Arial"/>
          <w:noProof/>
          <w:color w:val="000000" w:themeColor="text1"/>
          <w:shd w:val="clear" w:color="auto" w:fill="E6E6E6"/>
          <w:vertAlign w:val="superscript"/>
        </w:rPr>
        <w:t>126</w:t>
      </w:r>
      <w:r w:rsidRPr="00B85D62">
        <w:rPr>
          <w:rFonts w:eastAsia="Arial" w:cs="Arial"/>
          <w:color w:val="000000" w:themeColor="text1"/>
        </w:rPr>
        <w:t xml:space="preserve"> that weighs up model fit and model complexity. Furthermore, quantile survival predictions were obtained to assess how models addressed cohort </w:t>
      </w:r>
      <w:r w:rsidR="003E6584" w:rsidRPr="00B85D62">
        <w:rPr>
          <w:rFonts w:eastAsia="Arial" w:cs="Arial"/>
          <w:color w:val="000000" w:themeColor="text1"/>
        </w:rPr>
        <w:t xml:space="preserve">cardiovascular </w:t>
      </w:r>
      <w:r w:rsidRPr="00B85D62">
        <w:rPr>
          <w:rFonts w:eastAsia="Arial" w:cs="Arial"/>
          <w:color w:val="000000" w:themeColor="text1"/>
        </w:rPr>
        <w:t xml:space="preserve">risk heterogeneity. The external validity of the fitted parametric models was performed through the use of external </w:t>
      </w:r>
      <w:r w:rsidRPr="00B85D62">
        <w:rPr>
          <w:rFonts w:eastAsia="Arial" w:cs="Arial"/>
          <w:color w:val="000000" w:themeColor="text1"/>
          <w:highlight w:val="magenta"/>
        </w:rPr>
        <w:t>data</w:t>
      </w:r>
      <w:r w:rsidRPr="00B85D62">
        <w:rPr>
          <w:rFonts w:eastAsia="Arial" w:cs="Arial"/>
          <w:color w:val="000000" w:themeColor="text1"/>
        </w:rPr>
        <w:t xml:space="preserve"> from a recent publication by Perak</w:t>
      </w:r>
      <w:r w:rsidRPr="00B85D62">
        <w:rPr>
          <w:rFonts w:eastAsia="Arial" w:cs="Arial"/>
          <w:i/>
          <w:color w:val="00B0F0"/>
        </w:rPr>
        <w:t xml:space="preserve"> et al</w:t>
      </w:r>
      <w:r w:rsidR="60FFF338" w:rsidRPr="00B85D62">
        <w:rPr>
          <w:rFonts w:eastAsia="Arial" w:cs="Arial"/>
          <w:color w:val="000000" w:themeColor="text1"/>
        </w:rPr>
        <w:t xml:space="preserve"> 2016</w:t>
      </w:r>
      <w:r w:rsidR="00C35B5E" w:rsidRPr="00B85D62">
        <w:rPr>
          <w:rFonts w:eastAsia="Arial" w:cs="Arial"/>
          <w:noProof/>
          <w:color w:val="000000" w:themeColor="text1"/>
          <w:shd w:val="clear" w:color="auto" w:fill="E6E6E6"/>
          <w:vertAlign w:val="superscript"/>
        </w:rPr>
        <w:t>105</w:t>
      </w:r>
      <w:r w:rsidRPr="00B85D62">
        <w:rPr>
          <w:rFonts w:eastAsia="Arial" w:cs="Arial"/>
          <w:color w:val="000000" w:themeColor="text1"/>
        </w:rPr>
        <w:t>–</w:t>
      </w:r>
      <w:r w:rsidR="093A54D1" w:rsidRPr="00B85D62">
        <w:rPr>
          <w:rFonts w:eastAsia="Arial" w:cs="Arial"/>
          <w:color w:val="000000" w:themeColor="text1"/>
        </w:rPr>
        <w:t xml:space="preserve"> see </w:t>
      </w:r>
      <w:r w:rsidR="006E1EE8" w:rsidRPr="00B85D62">
        <w:rPr>
          <w:rFonts w:eastAsia="Arial" w:cs="Arial"/>
          <w:i/>
          <w:color w:val="000000" w:themeColor="text1"/>
        </w:rPr>
        <w:t>Online Supplementary file 2 (CPRD technical report)</w:t>
      </w:r>
      <w:r w:rsidR="00B85D62" w:rsidRPr="00B85D62">
        <w:rPr>
          <w:rFonts w:eastAsia="Arial" w:cs="Arial"/>
          <w:i/>
          <w:color w:val="00B0F0"/>
        </w:rPr>
        <w:t>)</w:t>
      </w:r>
      <w:r w:rsidR="093A54D1" w:rsidRPr="00B85D62">
        <w:rPr>
          <w:rFonts w:eastAsia="Arial" w:cs="Arial"/>
          <w:color w:val="000000" w:themeColor="text1"/>
        </w:rPr>
        <w:t xml:space="preserve"> for further details</w:t>
      </w:r>
      <w:r w:rsidRPr="00B85D62">
        <w:rPr>
          <w:rFonts w:eastAsia="Arial" w:cs="Arial"/>
          <w:color w:val="000000" w:themeColor="text1"/>
        </w:rPr>
        <w:t xml:space="preserve">. To check the plausibility of extrapolations presented by each model, </w:t>
      </w:r>
      <w:r w:rsidR="00B85D62" w:rsidRPr="00B85D62">
        <w:rPr>
          <w:rFonts w:eastAsia="Arial" w:cs="Arial"/>
          <w:color w:val="00B0F0"/>
        </w:rPr>
        <w:t>Kaplan–Meier</w:t>
      </w:r>
      <w:r w:rsidRPr="00B85D62">
        <w:rPr>
          <w:rFonts w:eastAsia="Arial" w:cs="Arial"/>
          <w:color w:val="000000" w:themeColor="text1"/>
        </w:rPr>
        <w:t xml:space="preserve"> curves were overlaid with the different survival distribution curves and by the external </w:t>
      </w:r>
      <w:r w:rsidRPr="00B85D62">
        <w:rPr>
          <w:rFonts w:eastAsia="Arial" w:cs="Arial"/>
          <w:color w:val="000000" w:themeColor="text1"/>
          <w:highlight w:val="magenta"/>
        </w:rPr>
        <w:t>data</w:t>
      </w:r>
      <w:r w:rsidRPr="00B85D62">
        <w:rPr>
          <w:rFonts w:eastAsia="Arial" w:cs="Arial"/>
          <w:color w:val="000000" w:themeColor="text1"/>
        </w:rPr>
        <w:t xml:space="preserve"> from Perak</w:t>
      </w:r>
      <w:r w:rsidRPr="00B85D62">
        <w:rPr>
          <w:rFonts w:eastAsia="Arial" w:cs="Arial"/>
          <w:i/>
          <w:color w:val="00B0F0"/>
        </w:rPr>
        <w:t xml:space="preserve"> et al</w:t>
      </w:r>
      <w:r w:rsidRPr="00B85D62">
        <w:rPr>
          <w:rFonts w:eastAsia="Arial" w:cs="Arial"/>
          <w:color w:val="000000" w:themeColor="text1"/>
        </w:rPr>
        <w:t xml:space="preserve"> </w:t>
      </w:r>
      <w:r w:rsidR="00C35B5E" w:rsidRPr="00B85D62">
        <w:rPr>
          <w:rFonts w:eastAsia="Arial" w:cs="Arial"/>
          <w:noProof/>
          <w:color w:val="000000" w:themeColor="text1"/>
          <w:shd w:val="clear" w:color="auto" w:fill="E6E6E6"/>
          <w:vertAlign w:val="superscript"/>
        </w:rPr>
        <w:t>105</w:t>
      </w:r>
      <w:r w:rsidRPr="00B85D62">
        <w:rPr>
          <w:rFonts w:eastAsia="Arial" w:cs="Arial"/>
          <w:color w:val="000000" w:themeColor="text1"/>
        </w:rPr>
        <w:t xml:space="preserve">. A similar approach was taken when looking at 1-year conditional survival </w:t>
      </w:r>
      <w:r w:rsidR="00C35B5E" w:rsidRPr="00B85D62">
        <w:rPr>
          <w:rFonts w:eastAsia="Arial" w:cs="Arial"/>
          <w:noProof/>
          <w:color w:val="000000" w:themeColor="text1"/>
          <w:shd w:val="clear" w:color="auto" w:fill="E6E6E6"/>
          <w:vertAlign w:val="superscript"/>
        </w:rPr>
        <w:t>127</w:t>
      </w:r>
      <w:r w:rsidRPr="00B85D62">
        <w:rPr>
          <w:rFonts w:eastAsia="Arial" w:cs="Arial"/>
          <w:color w:val="000000" w:themeColor="text1"/>
        </w:rPr>
        <w:t>.</w:t>
      </w:r>
    </w:p>
    <w:p w14:paraId="52548D70" w14:textId="391193D3" w:rsidR="0732252A" w:rsidRPr="00B85D62" w:rsidRDefault="2F06F1AA" w:rsidP="005611BD">
      <w:pPr>
        <w:pStyle w:val="ListParagraph"/>
        <w:numPr>
          <w:ilvl w:val="0"/>
          <w:numId w:val="9"/>
        </w:numPr>
        <w:spacing w:after="120"/>
        <w:ind w:left="1134" w:hanging="359"/>
        <w:rPr>
          <w:rFonts w:eastAsia="Arial" w:cs="Arial"/>
          <w:b/>
          <w:bCs/>
          <w:color w:val="000000" w:themeColor="text1"/>
        </w:rPr>
      </w:pPr>
      <w:r w:rsidRPr="00B85D62">
        <w:rPr>
          <w:rFonts w:eastAsia="Arial" w:cs="Arial"/>
          <w:b/>
          <w:bCs/>
          <w:color w:val="000000" w:themeColor="text1"/>
        </w:rPr>
        <w:lastRenderedPageBreak/>
        <w:t>Mortality following non-fatal CVD events</w:t>
      </w:r>
    </w:p>
    <w:p w14:paraId="15EF329B" w14:textId="3B6C8DD8" w:rsidR="0732252A" w:rsidRPr="00B85D62" w:rsidRDefault="2F06F1AA" w:rsidP="0066232B">
      <w:pPr>
        <w:rPr>
          <w:rFonts w:eastAsia="Arial" w:cs="Arial"/>
          <w:color w:val="000000" w:themeColor="text1"/>
        </w:rPr>
      </w:pPr>
      <w:r w:rsidRPr="00B85D62">
        <w:rPr>
          <w:rFonts w:eastAsia="Arial" w:cs="Arial"/>
          <w:color w:val="000000" w:themeColor="text1"/>
        </w:rPr>
        <w:t xml:space="preserve">Other clinical endpoints were CVD and non-CVD mortality following a non-fatal CVD event as defined above. However, insufficient </w:t>
      </w:r>
      <w:r w:rsidRPr="00B85D62">
        <w:rPr>
          <w:rFonts w:eastAsia="Arial" w:cs="Arial"/>
          <w:color w:val="000000" w:themeColor="text1"/>
          <w:highlight w:val="magenta"/>
        </w:rPr>
        <w:t>data</w:t>
      </w:r>
      <w:r w:rsidRPr="00B85D62">
        <w:rPr>
          <w:rFonts w:eastAsia="Arial" w:cs="Arial"/>
          <w:color w:val="000000" w:themeColor="text1"/>
        </w:rPr>
        <w:t xml:space="preserve"> to support detailed survival modelling existed for these endpoints, and therefore </w:t>
      </w:r>
      <w:r w:rsidR="00B85D62" w:rsidRPr="00B85D62">
        <w:rPr>
          <w:rFonts w:eastAsia="Arial" w:cs="Arial"/>
          <w:color w:val="00B0F0"/>
        </w:rPr>
        <w:t>Kaplan–Meier</w:t>
      </w:r>
      <w:r w:rsidRPr="00B85D62">
        <w:rPr>
          <w:rFonts w:eastAsia="Arial" w:cs="Arial"/>
          <w:color w:val="000000" w:themeColor="text1"/>
        </w:rPr>
        <w:t xml:space="preserve"> curves were produced from each non-fatal event type but no further parametric modelling was considered appropriate.</w:t>
      </w:r>
    </w:p>
    <w:p w14:paraId="7D5A833F" w14:textId="17EBE3D0" w:rsidR="0732252A" w:rsidRPr="00B85D62" w:rsidRDefault="0732252A" w:rsidP="0066232B">
      <w:pPr>
        <w:rPr>
          <w:rFonts w:eastAsia="Arial" w:cs="Arial"/>
          <w:color w:val="000000" w:themeColor="text1"/>
        </w:rPr>
      </w:pPr>
      <w:r w:rsidRPr="00B85D62">
        <w:rPr>
          <w:rFonts w:eastAsia="Arial" w:cs="Arial"/>
          <w:color w:val="000000" w:themeColor="text1"/>
        </w:rPr>
        <w:t>All statistical analyses were performed using RStudio v1.4.1103 © 2009</w:t>
      </w:r>
      <w:r w:rsidR="00B85D62" w:rsidRPr="00B85D62">
        <w:rPr>
          <w:rFonts w:eastAsia="Arial" w:cs="Arial"/>
          <w:color w:val="00B0F0"/>
        </w:rPr>
        <w:t>–</w:t>
      </w:r>
      <w:r w:rsidR="00B85D62" w:rsidRPr="00B85D62">
        <w:rPr>
          <w:rFonts w:eastAsia="Arial" w:cs="Arial"/>
          <w:color w:val="00B0F0"/>
        </w:rPr>
        <w:t>2</w:t>
      </w:r>
      <w:r w:rsidRPr="00B85D62">
        <w:rPr>
          <w:rFonts w:eastAsia="Arial" w:cs="Arial"/>
          <w:color w:val="000000" w:themeColor="text1"/>
        </w:rPr>
        <w:t xml:space="preserve">021 RStudio, Inc, with </w:t>
      </w:r>
      <w:r w:rsidR="00A97CF2" w:rsidRPr="00B85D62">
        <w:rPr>
          <w:rFonts w:cs="Arial"/>
          <w:noProof/>
        </w:rPr>
        <w:t>Multivariate Imputation by Chained Equations</w:t>
      </w:r>
      <w:r w:rsidR="00A97CF2" w:rsidRPr="00B85D62">
        <w:rPr>
          <w:rFonts w:eastAsia="Courier New" w:cs="Arial"/>
          <w:color w:val="000000" w:themeColor="text1"/>
        </w:rPr>
        <w:t xml:space="preserve"> (</w:t>
      </w:r>
      <w:r w:rsidRPr="00B85D62">
        <w:rPr>
          <w:rFonts w:eastAsia="Courier New" w:cs="Arial"/>
          <w:color w:val="000000" w:themeColor="text1"/>
        </w:rPr>
        <w:t>mice</w:t>
      </w:r>
      <w:r w:rsidR="00A97CF2" w:rsidRPr="00B85D62">
        <w:rPr>
          <w:rFonts w:eastAsia="Courier New" w:cs="Arial"/>
          <w:color w:val="000000" w:themeColor="text1"/>
        </w:rPr>
        <w:t>)</w:t>
      </w:r>
      <w:r w:rsidR="00C35B5E" w:rsidRPr="00B85D62">
        <w:rPr>
          <w:rFonts w:eastAsia="Arial" w:cs="Arial"/>
          <w:noProof/>
          <w:color w:val="000000" w:themeColor="text1"/>
          <w:shd w:val="clear" w:color="auto" w:fill="E6E6E6"/>
          <w:vertAlign w:val="superscript"/>
        </w:rPr>
        <w:t>112</w:t>
      </w:r>
      <w:r w:rsidRPr="00B85D62">
        <w:rPr>
          <w:rFonts w:eastAsia="Arial" w:cs="Arial"/>
          <w:color w:val="000000" w:themeColor="text1"/>
        </w:rPr>
        <w:t xml:space="preserve"> and </w:t>
      </w:r>
      <w:r w:rsidRPr="00B85D62">
        <w:rPr>
          <w:rFonts w:eastAsia="Courier New" w:cs="Arial"/>
          <w:color w:val="000000" w:themeColor="text1"/>
        </w:rPr>
        <w:t>flexsurv</w:t>
      </w:r>
      <w:r w:rsidR="00C35B5E" w:rsidRPr="00B85D62">
        <w:rPr>
          <w:rFonts w:eastAsia="Arial" w:cs="Arial"/>
          <w:noProof/>
          <w:color w:val="000000" w:themeColor="text1"/>
          <w:shd w:val="clear" w:color="auto" w:fill="E6E6E6"/>
          <w:vertAlign w:val="superscript"/>
        </w:rPr>
        <w:t>128</w:t>
      </w:r>
      <w:r w:rsidRPr="00B85D62">
        <w:rPr>
          <w:rFonts w:eastAsia="Arial" w:cs="Arial"/>
          <w:color w:val="000000" w:themeColor="text1"/>
        </w:rPr>
        <w:t xml:space="preserve"> being the main packages used. Values of </w:t>
      </w:r>
      <w:r w:rsidRPr="00B85D62">
        <w:rPr>
          <w:rFonts w:eastAsia="Arial" w:cs="Arial"/>
          <w:i/>
          <w:color w:val="00B0F0"/>
        </w:rPr>
        <w:t>p</w:t>
      </w:r>
      <w:r w:rsidR="00B85D62" w:rsidRPr="00B85D62">
        <w:rPr>
          <w:rFonts w:eastAsia="Arial" w:cs="Arial"/>
          <w:color w:val="00B0F0"/>
        </w:rPr>
        <w:t>&lt;</w:t>
      </w:r>
      <w:r w:rsidR="00B85D62" w:rsidRPr="00B85D62">
        <w:rPr>
          <w:rFonts w:eastAsia="Arial" w:cs="Arial"/>
          <w:color w:val="00B0F0"/>
        </w:rPr>
        <w:t> </w:t>
      </w:r>
      <w:r w:rsidR="00B85D62" w:rsidRPr="00B85D62">
        <w:rPr>
          <w:rFonts w:eastAsia="Arial" w:cs="Arial"/>
          <w:color w:val="00B0F0"/>
        </w:rPr>
        <w:t>0</w:t>
      </w:r>
      <w:r w:rsidRPr="00B85D62">
        <w:rPr>
          <w:rFonts w:eastAsia="Arial" w:cs="Arial"/>
          <w:color w:val="000000" w:themeColor="text1"/>
        </w:rPr>
        <w:t>.05 were considered to be statistically significant.</w:t>
      </w:r>
    </w:p>
    <w:p w14:paraId="2F2E232C" w14:textId="48D2E094" w:rsidR="0732252A" w:rsidRPr="00B85D62" w:rsidRDefault="2F06F1AA" w:rsidP="006C7E71">
      <w:pPr>
        <w:pStyle w:val="Heading3"/>
      </w:pPr>
      <w:bookmarkStart w:id="162" w:name="_Toc107157481"/>
      <w:r w:rsidRPr="00B85D62">
        <w:t>Results</w:t>
      </w:r>
      <w:bookmarkEnd w:id="162"/>
    </w:p>
    <w:p w14:paraId="0FA25E54" w14:textId="77777777" w:rsidR="00B85D62" w:rsidRPr="00B85D62" w:rsidRDefault="2F06F1AA" w:rsidP="006C7E71">
      <w:pPr>
        <w:pStyle w:val="Heading4"/>
        <w:numPr>
          <w:ilvl w:val="0"/>
          <w:numId w:val="0"/>
        </w:numPr>
      </w:pPr>
      <w:r w:rsidRPr="00B85D62">
        <w:t>CPRD baseline characteristics</w:t>
      </w:r>
    </w:p>
    <w:p w14:paraId="79D81195" w14:textId="0B4C1EAF" w:rsidR="00B85D62" w:rsidRPr="00B85D62" w:rsidRDefault="2F06F1AA" w:rsidP="0066232B">
      <w:pPr>
        <w:rPr>
          <w:rFonts w:eastAsia="Arial" w:cs="Arial"/>
          <w:color w:val="000000" w:themeColor="text1"/>
        </w:rPr>
      </w:pPr>
      <w:r w:rsidRPr="00B85D62">
        <w:rPr>
          <w:rFonts w:eastAsia="Arial" w:cs="Arial"/>
          <w:color w:val="000000" w:themeColor="text1"/>
        </w:rPr>
        <w:t xml:space="preserve">FH diagnosis in the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color w:val="000000" w:themeColor="text1"/>
        </w:rPr>
        <w:t xml:space="preserve"> ranged from February 1991 to June 2016. Baseline characteristics of the CPRD sample are shown in</w:t>
      </w:r>
      <w:r w:rsidR="00EE5795" w:rsidRPr="00B85D62">
        <w:rPr>
          <w:rFonts w:eastAsia="Arial" w:cs="Arial"/>
          <w:color w:val="000000" w:themeColor="text1"/>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6</w:t>
      </w:r>
      <w:r w:rsidRPr="00B85D62">
        <w:rPr>
          <w:rFonts w:eastAsia="Arial" w:cs="Arial"/>
          <w:color w:val="000000" w:themeColor="text1"/>
        </w:rPr>
        <w:t xml:space="preserve">, split by the listed subsets, with the </w:t>
      </w:r>
      <w:r w:rsidR="00B85D62" w:rsidRPr="00B85D62">
        <w:rPr>
          <w:rFonts w:eastAsia="Arial" w:cs="Arial"/>
          <w:color w:val="000000" w:themeColor="text1"/>
        </w:rPr>
        <w:t>‘</w:t>
      </w:r>
      <w:r w:rsidRPr="00B85D62">
        <w:rPr>
          <w:rFonts w:eastAsia="Arial" w:cs="Arial"/>
          <w:color w:val="000000" w:themeColor="text1"/>
        </w:rPr>
        <w:t>untreated</w:t>
      </w:r>
      <w:r w:rsidR="00B85D62" w:rsidRPr="00B85D62">
        <w:rPr>
          <w:rFonts w:eastAsia="Arial" w:cs="Arial"/>
          <w:color w:val="000000" w:themeColor="text1"/>
        </w:rPr>
        <w:t>’</w:t>
      </w:r>
      <w:r w:rsidRPr="00B85D62">
        <w:rPr>
          <w:rFonts w:eastAsia="Arial" w:cs="Arial"/>
          <w:color w:val="000000" w:themeColor="text1"/>
        </w:rPr>
        <w:t xml:space="preserve"> subgroup accounting only for approximately 26% of the sample. The treated subset of individuals (includes </w:t>
      </w:r>
      <w:r w:rsidR="00B85D62" w:rsidRPr="00B85D62">
        <w:rPr>
          <w:rFonts w:eastAsia="Arial" w:cs="Arial"/>
          <w:color w:val="000000" w:themeColor="text1"/>
        </w:rPr>
        <w:t>‘</w:t>
      </w:r>
      <w:r w:rsidRPr="00B85D62">
        <w:rPr>
          <w:rFonts w:eastAsia="Arial" w:cs="Arial"/>
          <w:color w:val="000000" w:themeColor="text1"/>
        </w:rPr>
        <w:t>newly treated</w:t>
      </w:r>
      <w:r w:rsidR="00B85D62" w:rsidRPr="00B85D62">
        <w:rPr>
          <w:rFonts w:eastAsia="Arial" w:cs="Arial"/>
          <w:color w:val="000000" w:themeColor="text1"/>
        </w:rPr>
        <w:t>’</w:t>
      </w:r>
      <w:r w:rsidRPr="00B85D62">
        <w:rPr>
          <w:rFonts w:eastAsia="Arial" w:cs="Arial"/>
          <w:color w:val="000000" w:themeColor="text1"/>
        </w:rPr>
        <w:t xml:space="preserve"> and </w:t>
      </w:r>
      <w:r w:rsidR="00B85D62" w:rsidRPr="00B85D62">
        <w:rPr>
          <w:rFonts w:eastAsia="Arial" w:cs="Arial"/>
          <w:color w:val="000000" w:themeColor="text1"/>
        </w:rPr>
        <w:t>‘</w:t>
      </w:r>
      <w:r w:rsidRPr="00B85D62">
        <w:rPr>
          <w:rFonts w:eastAsia="Arial" w:cs="Arial"/>
          <w:color w:val="000000" w:themeColor="text1"/>
        </w:rPr>
        <w:t>treatment retainers</w:t>
      </w:r>
      <w:r w:rsidR="00B85D62" w:rsidRPr="00B85D62">
        <w:rPr>
          <w:rFonts w:eastAsia="Arial" w:cs="Arial"/>
          <w:color w:val="000000" w:themeColor="text1"/>
        </w:rPr>
        <w:t>’</w:t>
      </w:r>
      <w:r w:rsidRPr="00B85D62">
        <w:rPr>
          <w:rFonts w:eastAsia="Arial" w:cs="Arial"/>
          <w:color w:val="000000" w:themeColor="text1"/>
        </w:rPr>
        <w:t xml:space="preserve">) was, on average, older and encompassed a larger proportion of males </w:t>
      </w:r>
      <w:r w:rsidRPr="00B85D62">
        <w:rPr>
          <w:rFonts w:eastAsia="Arial" w:cs="Arial"/>
          <w:color w:val="000000" w:themeColor="text1"/>
          <w:highlight w:val="magenta"/>
        </w:rPr>
        <w:t>compared to</w:t>
      </w:r>
      <w:r w:rsidRPr="00B85D62">
        <w:rPr>
          <w:rFonts w:eastAsia="Arial" w:cs="Arial"/>
          <w:color w:val="000000" w:themeColor="text1"/>
        </w:rPr>
        <w:t xml:space="preserve"> the </w:t>
      </w:r>
      <w:r w:rsidR="00B85D62" w:rsidRPr="00B85D62">
        <w:rPr>
          <w:rFonts w:eastAsia="Arial" w:cs="Arial"/>
          <w:color w:val="000000" w:themeColor="text1"/>
        </w:rPr>
        <w:t>‘</w:t>
      </w:r>
      <w:r w:rsidRPr="00B85D62">
        <w:rPr>
          <w:rFonts w:eastAsia="Arial" w:cs="Arial"/>
          <w:color w:val="000000" w:themeColor="text1"/>
        </w:rPr>
        <w:t>untreated</w:t>
      </w:r>
      <w:r w:rsidR="00B85D62" w:rsidRPr="00B85D62">
        <w:rPr>
          <w:rFonts w:eastAsia="Arial" w:cs="Arial"/>
          <w:color w:val="000000" w:themeColor="text1"/>
        </w:rPr>
        <w:t>’</w:t>
      </w:r>
      <w:r w:rsidRPr="00B85D62">
        <w:rPr>
          <w:rFonts w:eastAsia="Arial" w:cs="Arial"/>
          <w:color w:val="000000" w:themeColor="text1"/>
        </w:rPr>
        <w:t xml:space="preserve"> subset. The prevalence of comorbidities in the treated subset was higher than </w:t>
      </w:r>
      <w:r w:rsidR="00B85D62" w:rsidRPr="00B85D62">
        <w:rPr>
          <w:rFonts w:eastAsia="Arial" w:cs="Arial"/>
          <w:color w:val="00B0F0"/>
        </w:rPr>
        <w:t>among</w:t>
      </w:r>
      <w:r w:rsidRPr="00B85D62">
        <w:rPr>
          <w:rFonts w:eastAsia="Arial" w:cs="Arial"/>
          <w:color w:val="000000" w:themeColor="text1"/>
        </w:rPr>
        <w:t xml:space="preserve"> untreated individuals. Over 4% of the treated subset had history of CVD (</w:t>
      </w:r>
      <w:r w:rsidRPr="00B85D62">
        <w:rPr>
          <w:rFonts w:eastAsia="Arial" w:cs="Arial"/>
          <w:color w:val="000000" w:themeColor="text1"/>
          <w:highlight w:val="magenta"/>
        </w:rPr>
        <w:t>compared to</w:t>
      </w:r>
      <w:r w:rsidRPr="00B85D62">
        <w:rPr>
          <w:rFonts w:eastAsia="Arial" w:cs="Arial"/>
          <w:color w:val="000000" w:themeColor="text1"/>
        </w:rPr>
        <w:t xml:space="preserve"> just 1% in the untreated) and approximately 16% presented a family history of CHD (</w:t>
      </w:r>
      <w:r w:rsidRPr="00B85D62">
        <w:rPr>
          <w:rFonts w:eastAsia="Arial" w:cs="Arial"/>
          <w:color w:val="000000" w:themeColor="text1"/>
          <w:highlight w:val="magenta"/>
        </w:rPr>
        <w:t>compared to</w:t>
      </w:r>
      <w:r w:rsidRPr="00B85D62">
        <w:rPr>
          <w:rFonts w:eastAsia="Arial" w:cs="Arial"/>
          <w:color w:val="000000" w:themeColor="text1"/>
        </w:rPr>
        <w:t xml:space="preserve"> 10% in the untreated).</w:t>
      </w:r>
    </w:p>
    <w:p w14:paraId="31013858" w14:textId="5310F742" w:rsidR="0079788F" w:rsidRPr="00B85D62" w:rsidRDefault="00B85D62" w:rsidP="0079788F">
      <w:pPr>
        <w:pStyle w:val="Caption"/>
        <w:keepNext/>
        <w:rPr>
          <w:rFonts w:cs="Arial"/>
        </w:rPr>
      </w:pPr>
      <w:bookmarkStart w:id="163" w:name="_Toc79740201"/>
      <w:bookmarkStart w:id="164" w:name="_Toc107157360"/>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6</w:t>
      </w:r>
      <w:r w:rsidR="0079788F" w:rsidRPr="00B85D62">
        <w:rPr>
          <w:rFonts w:cs="Arial"/>
        </w:rPr>
        <w:t xml:space="preserve"> Baseline characteristics of the CPRD sample of FH patients by treatment subgroup</w:t>
      </w:r>
      <w:bookmarkEnd w:id="163"/>
      <w:bookmarkEnd w:id="16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74"/>
        <w:gridCol w:w="627"/>
        <w:gridCol w:w="534"/>
        <w:gridCol w:w="627"/>
        <w:gridCol w:w="534"/>
        <w:gridCol w:w="627"/>
        <w:gridCol w:w="534"/>
        <w:gridCol w:w="811"/>
        <w:gridCol w:w="691"/>
      </w:tblGrid>
      <w:tr w:rsidR="3341BD48" w:rsidRPr="00B85D62" w14:paraId="51C6D7B4" w14:textId="77777777" w:rsidTr="00B85D62">
        <w:trPr>
          <w:cantSplit/>
        </w:trPr>
        <w:tc>
          <w:tcPr>
            <w:tcW w:w="0" w:type="auto"/>
            <w:vMerge w:val="restart"/>
            <w:shd w:val="clear" w:color="auto" w:fill="auto"/>
            <w:vAlign w:val="center"/>
          </w:tcPr>
          <w:p w14:paraId="5255B47D" w14:textId="59D37C21" w:rsidR="3341BD48" w:rsidRPr="00B85D62" w:rsidRDefault="3341BD48" w:rsidP="0066232B">
            <w:pPr>
              <w:rPr>
                <w:rFonts w:eastAsia="Arial" w:cs="Arial"/>
                <w:sz w:val="16"/>
                <w:szCs w:val="16"/>
              </w:rPr>
            </w:pPr>
            <w:r w:rsidRPr="00B85D62">
              <w:rPr>
                <w:rFonts w:eastAsia="Arial" w:cs="Arial"/>
                <w:b/>
                <w:bCs/>
                <w:sz w:val="16"/>
                <w:szCs w:val="16"/>
              </w:rPr>
              <w:t>Baseline characteristics</w:t>
            </w:r>
            <w:r w:rsidRPr="00B85D62">
              <w:rPr>
                <w:rFonts w:eastAsia="Arial" w:cs="Arial"/>
                <w:b/>
                <w:bCs/>
                <w:sz w:val="16"/>
                <w:szCs w:val="16"/>
                <w:vertAlign w:val="superscript"/>
              </w:rPr>
              <w:t>#</w:t>
            </w:r>
          </w:p>
        </w:tc>
        <w:tc>
          <w:tcPr>
            <w:tcW w:w="0" w:type="auto"/>
            <w:gridSpan w:val="2"/>
            <w:shd w:val="clear" w:color="auto" w:fill="auto"/>
            <w:vAlign w:val="center"/>
          </w:tcPr>
          <w:p w14:paraId="640E597C" w14:textId="387F7839" w:rsidR="3341BD48" w:rsidRPr="00B85D62" w:rsidRDefault="3341BD48" w:rsidP="0066232B">
            <w:pPr>
              <w:jc w:val="center"/>
              <w:rPr>
                <w:rFonts w:eastAsia="Arial" w:cs="Arial"/>
                <w:sz w:val="16"/>
                <w:szCs w:val="16"/>
              </w:rPr>
            </w:pPr>
            <w:r w:rsidRPr="00B85D62">
              <w:rPr>
                <w:rFonts w:eastAsia="Arial" w:cs="Arial"/>
                <w:b/>
                <w:bCs/>
                <w:sz w:val="16"/>
                <w:szCs w:val="16"/>
              </w:rPr>
              <w:t>Overall</w:t>
            </w:r>
          </w:p>
        </w:tc>
        <w:tc>
          <w:tcPr>
            <w:tcW w:w="0" w:type="auto"/>
            <w:gridSpan w:val="2"/>
            <w:shd w:val="clear" w:color="auto" w:fill="auto"/>
            <w:vAlign w:val="center"/>
          </w:tcPr>
          <w:p w14:paraId="44DA1B81" w14:textId="6B26A301" w:rsidR="3341BD48" w:rsidRPr="00B85D62" w:rsidRDefault="3341BD48" w:rsidP="0066232B">
            <w:pPr>
              <w:jc w:val="center"/>
              <w:rPr>
                <w:rFonts w:eastAsia="Arial" w:cs="Arial"/>
                <w:sz w:val="16"/>
                <w:szCs w:val="16"/>
              </w:rPr>
            </w:pPr>
            <w:r w:rsidRPr="00B85D62">
              <w:rPr>
                <w:rFonts w:eastAsia="Arial" w:cs="Arial"/>
                <w:b/>
                <w:bCs/>
                <w:sz w:val="16"/>
                <w:szCs w:val="16"/>
              </w:rPr>
              <w:t>Untreated</w:t>
            </w:r>
          </w:p>
        </w:tc>
        <w:tc>
          <w:tcPr>
            <w:tcW w:w="0" w:type="auto"/>
            <w:gridSpan w:val="2"/>
            <w:shd w:val="clear" w:color="auto" w:fill="auto"/>
            <w:vAlign w:val="center"/>
          </w:tcPr>
          <w:p w14:paraId="3408A1BE" w14:textId="13FD3120" w:rsidR="3341BD48" w:rsidRPr="00B85D62" w:rsidRDefault="3341BD48" w:rsidP="0066232B">
            <w:pPr>
              <w:jc w:val="center"/>
              <w:rPr>
                <w:rFonts w:eastAsia="Arial" w:cs="Arial"/>
                <w:sz w:val="16"/>
                <w:szCs w:val="16"/>
              </w:rPr>
            </w:pPr>
            <w:r w:rsidRPr="00B85D62">
              <w:rPr>
                <w:rFonts w:eastAsia="Arial" w:cs="Arial"/>
                <w:b/>
                <w:bCs/>
                <w:sz w:val="16"/>
                <w:szCs w:val="16"/>
              </w:rPr>
              <w:t>Newly treated</w:t>
            </w:r>
          </w:p>
        </w:tc>
        <w:tc>
          <w:tcPr>
            <w:tcW w:w="0" w:type="auto"/>
            <w:gridSpan w:val="2"/>
            <w:shd w:val="clear" w:color="auto" w:fill="auto"/>
            <w:vAlign w:val="center"/>
          </w:tcPr>
          <w:p w14:paraId="6E838615" w14:textId="78D9B0AE" w:rsidR="3341BD48" w:rsidRPr="00B85D62" w:rsidRDefault="3341BD48" w:rsidP="0066232B">
            <w:pPr>
              <w:jc w:val="center"/>
              <w:rPr>
                <w:rFonts w:eastAsia="Arial" w:cs="Arial"/>
                <w:sz w:val="16"/>
                <w:szCs w:val="16"/>
              </w:rPr>
            </w:pPr>
            <w:r w:rsidRPr="00B85D62">
              <w:rPr>
                <w:rFonts w:eastAsia="Arial" w:cs="Arial"/>
                <w:b/>
                <w:bCs/>
                <w:sz w:val="16"/>
                <w:szCs w:val="16"/>
              </w:rPr>
              <w:t>Treatment retainers</w:t>
            </w:r>
          </w:p>
        </w:tc>
      </w:tr>
      <w:tr w:rsidR="3341BD48" w:rsidRPr="00B85D62" w14:paraId="32A92A05" w14:textId="77777777" w:rsidTr="00B85D62">
        <w:trPr>
          <w:cantSplit/>
        </w:trPr>
        <w:tc>
          <w:tcPr>
            <w:tcW w:w="0" w:type="auto"/>
            <w:vMerge/>
            <w:shd w:val="clear" w:color="auto" w:fill="auto"/>
            <w:vAlign w:val="center"/>
          </w:tcPr>
          <w:p w14:paraId="092F0FA5" w14:textId="77777777" w:rsidR="003F1F7A" w:rsidRPr="00B85D62" w:rsidRDefault="003F1F7A" w:rsidP="0066232B">
            <w:pPr>
              <w:rPr>
                <w:rFonts w:cs="Arial"/>
                <w:sz w:val="16"/>
                <w:szCs w:val="16"/>
              </w:rPr>
            </w:pPr>
          </w:p>
        </w:tc>
        <w:tc>
          <w:tcPr>
            <w:tcW w:w="0" w:type="auto"/>
            <w:gridSpan w:val="2"/>
            <w:shd w:val="clear" w:color="auto" w:fill="auto"/>
            <w:vAlign w:val="center"/>
          </w:tcPr>
          <w:p w14:paraId="03936DF2" w14:textId="211C3DF4" w:rsidR="3341BD48" w:rsidRPr="00B85D62" w:rsidRDefault="3341BD48" w:rsidP="0066232B">
            <w:pPr>
              <w:jc w:val="center"/>
              <w:rPr>
                <w:rFonts w:eastAsia="Arial" w:cs="Arial"/>
                <w:sz w:val="16"/>
                <w:szCs w:val="16"/>
              </w:rPr>
            </w:pPr>
            <w:r w:rsidRPr="00B85D62">
              <w:rPr>
                <w:rFonts w:eastAsia="Arial" w:cs="Arial"/>
                <w:sz w:val="16"/>
                <w:szCs w:val="16"/>
              </w:rPr>
              <w:t>2879</w:t>
            </w:r>
          </w:p>
        </w:tc>
        <w:tc>
          <w:tcPr>
            <w:tcW w:w="0" w:type="auto"/>
            <w:gridSpan w:val="2"/>
            <w:shd w:val="clear" w:color="auto" w:fill="auto"/>
            <w:vAlign w:val="center"/>
          </w:tcPr>
          <w:p w14:paraId="65A48ABE" w14:textId="51ABC73D" w:rsidR="3341BD48" w:rsidRPr="00B85D62" w:rsidRDefault="3341BD48" w:rsidP="0066232B">
            <w:pPr>
              <w:jc w:val="center"/>
              <w:rPr>
                <w:rFonts w:eastAsia="Arial" w:cs="Arial"/>
                <w:sz w:val="16"/>
                <w:szCs w:val="16"/>
              </w:rPr>
            </w:pPr>
            <w:r w:rsidRPr="00B85D62">
              <w:rPr>
                <w:rFonts w:eastAsia="Arial" w:cs="Arial"/>
                <w:sz w:val="16"/>
                <w:szCs w:val="16"/>
              </w:rPr>
              <w:t>744</w:t>
            </w:r>
          </w:p>
        </w:tc>
        <w:tc>
          <w:tcPr>
            <w:tcW w:w="0" w:type="auto"/>
            <w:gridSpan w:val="2"/>
            <w:shd w:val="clear" w:color="auto" w:fill="auto"/>
            <w:vAlign w:val="center"/>
          </w:tcPr>
          <w:p w14:paraId="6B1582F7" w14:textId="543EB55C" w:rsidR="3341BD48" w:rsidRPr="00B85D62" w:rsidRDefault="3341BD48" w:rsidP="0066232B">
            <w:pPr>
              <w:jc w:val="center"/>
              <w:rPr>
                <w:rFonts w:eastAsia="Arial" w:cs="Arial"/>
                <w:sz w:val="16"/>
                <w:szCs w:val="16"/>
              </w:rPr>
            </w:pPr>
            <w:r w:rsidRPr="00B85D62">
              <w:rPr>
                <w:rFonts w:eastAsia="Arial" w:cs="Arial"/>
                <w:sz w:val="16"/>
                <w:szCs w:val="16"/>
              </w:rPr>
              <w:t>1291</w:t>
            </w:r>
          </w:p>
        </w:tc>
        <w:tc>
          <w:tcPr>
            <w:tcW w:w="0" w:type="auto"/>
            <w:gridSpan w:val="2"/>
            <w:shd w:val="clear" w:color="auto" w:fill="auto"/>
            <w:vAlign w:val="center"/>
          </w:tcPr>
          <w:p w14:paraId="33AA63B1" w14:textId="4BE94612" w:rsidR="3341BD48" w:rsidRPr="00B85D62" w:rsidRDefault="3341BD48" w:rsidP="0066232B">
            <w:pPr>
              <w:jc w:val="center"/>
              <w:rPr>
                <w:rFonts w:eastAsia="Arial" w:cs="Arial"/>
                <w:sz w:val="16"/>
                <w:szCs w:val="16"/>
              </w:rPr>
            </w:pPr>
            <w:r w:rsidRPr="00B85D62">
              <w:rPr>
                <w:rFonts w:eastAsia="Arial" w:cs="Arial"/>
                <w:sz w:val="16"/>
                <w:szCs w:val="16"/>
              </w:rPr>
              <w:t>844</w:t>
            </w:r>
          </w:p>
        </w:tc>
      </w:tr>
      <w:tr w:rsidR="3341BD48" w:rsidRPr="00B85D62" w14:paraId="2936A095" w14:textId="77777777" w:rsidTr="00B85D62">
        <w:trPr>
          <w:cantSplit/>
        </w:trPr>
        <w:tc>
          <w:tcPr>
            <w:tcW w:w="0" w:type="auto"/>
            <w:vMerge/>
            <w:shd w:val="clear" w:color="auto" w:fill="auto"/>
            <w:vAlign w:val="center"/>
          </w:tcPr>
          <w:p w14:paraId="49DC7CA9" w14:textId="77777777" w:rsidR="003F1F7A" w:rsidRPr="00B85D62" w:rsidRDefault="003F1F7A" w:rsidP="0066232B">
            <w:pPr>
              <w:rPr>
                <w:rFonts w:cs="Arial"/>
                <w:sz w:val="16"/>
                <w:szCs w:val="16"/>
              </w:rPr>
            </w:pPr>
          </w:p>
        </w:tc>
        <w:tc>
          <w:tcPr>
            <w:tcW w:w="0" w:type="auto"/>
            <w:shd w:val="clear" w:color="auto" w:fill="auto"/>
            <w:vAlign w:val="center"/>
          </w:tcPr>
          <w:p w14:paraId="19298B39" w14:textId="12AB5FE4" w:rsidR="3341BD48" w:rsidRPr="00B85D62" w:rsidRDefault="3341BD48" w:rsidP="0066232B">
            <w:pPr>
              <w:jc w:val="center"/>
              <w:rPr>
                <w:rFonts w:eastAsia="Arial" w:cs="Arial"/>
                <w:sz w:val="16"/>
                <w:szCs w:val="16"/>
              </w:rPr>
            </w:pPr>
            <w:r w:rsidRPr="00B85D62">
              <w:rPr>
                <w:rFonts w:eastAsia="Arial" w:cs="Arial"/>
                <w:sz w:val="16"/>
                <w:szCs w:val="16"/>
              </w:rPr>
              <w:t>N/mean</w:t>
            </w:r>
          </w:p>
        </w:tc>
        <w:tc>
          <w:tcPr>
            <w:tcW w:w="0" w:type="auto"/>
            <w:shd w:val="clear" w:color="auto" w:fill="auto"/>
            <w:vAlign w:val="center"/>
          </w:tcPr>
          <w:p w14:paraId="587E0706" w14:textId="318075AD" w:rsidR="3341BD48" w:rsidRPr="00B85D62" w:rsidRDefault="3341BD48" w:rsidP="0066232B">
            <w:pPr>
              <w:jc w:val="center"/>
              <w:rPr>
                <w:rFonts w:eastAsia="Arial" w:cs="Arial"/>
                <w:sz w:val="16"/>
                <w:szCs w:val="16"/>
              </w:rPr>
            </w:pPr>
            <w:r w:rsidRPr="00B85D62">
              <w:rPr>
                <w:rFonts w:eastAsia="Arial" w:cs="Arial"/>
                <w:sz w:val="16"/>
                <w:szCs w:val="16"/>
              </w:rPr>
              <w:t>%/SD</w:t>
            </w:r>
          </w:p>
        </w:tc>
        <w:tc>
          <w:tcPr>
            <w:tcW w:w="0" w:type="auto"/>
            <w:shd w:val="clear" w:color="auto" w:fill="auto"/>
            <w:vAlign w:val="center"/>
          </w:tcPr>
          <w:p w14:paraId="133DDA27" w14:textId="7C310BDE" w:rsidR="3341BD48" w:rsidRPr="00B85D62" w:rsidRDefault="3341BD48" w:rsidP="0066232B">
            <w:pPr>
              <w:jc w:val="center"/>
              <w:rPr>
                <w:rFonts w:eastAsia="Arial" w:cs="Arial"/>
                <w:sz w:val="16"/>
                <w:szCs w:val="16"/>
              </w:rPr>
            </w:pPr>
            <w:r w:rsidRPr="00B85D62">
              <w:rPr>
                <w:rFonts w:eastAsia="Arial" w:cs="Arial"/>
                <w:sz w:val="16"/>
                <w:szCs w:val="16"/>
              </w:rPr>
              <w:t>N/mean</w:t>
            </w:r>
          </w:p>
        </w:tc>
        <w:tc>
          <w:tcPr>
            <w:tcW w:w="0" w:type="auto"/>
            <w:shd w:val="clear" w:color="auto" w:fill="auto"/>
            <w:vAlign w:val="center"/>
          </w:tcPr>
          <w:p w14:paraId="076DC64D" w14:textId="6B9BD3B2" w:rsidR="3341BD48" w:rsidRPr="00B85D62" w:rsidRDefault="3341BD48" w:rsidP="0066232B">
            <w:pPr>
              <w:jc w:val="center"/>
              <w:rPr>
                <w:rFonts w:eastAsia="Arial" w:cs="Arial"/>
                <w:sz w:val="16"/>
                <w:szCs w:val="16"/>
              </w:rPr>
            </w:pPr>
            <w:r w:rsidRPr="00B85D62">
              <w:rPr>
                <w:rFonts w:eastAsia="Arial" w:cs="Arial"/>
                <w:sz w:val="16"/>
                <w:szCs w:val="16"/>
              </w:rPr>
              <w:t>%/SD</w:t>
            </w:r>
          </w:p>
        </w:tc>
        <w:tc>
          <w:tcPr>
            <w:tcW w:w="0" w:type="auto"/>
            <w:shd w:val="clear" w:color="auto" w:fill="auto"/>
            <w:vAlign w:val="center"/>
          </w:tcPr>
          <w:p w14:paraId="58AC23E4" w14:textId="1D6CD984" w:rsidR="3341BD48" w:rsidRPr="00B85D62" w:rsidRDefault="3341BD48" w:rsidP="0066232B">
            <w:pPr>
              <w:jc w:val="center"/>
              <w:rPr>
                <w:rFonts w:eastAsia="Arial" w:cs="Arial"/>
                <w:sz w:val="16"/>
                <w:szCs w:val="16"/>
              </w:rPr>
            </w:pPr>
            <w:r w:rsidRPr="00B85D62">
              <w:rPr>
                <w:rFonts w:eastAsia="Arial" w:cs="Arial"/>
                <w:sz w:val="16"/>
                <w:szCs w:val="16"/>
              </w:rPr>
              <w:t>N/mean</w:t>
            </w:r>
          </w:p>
        </w:tc>
        <w:tc>
          <w:tcPr>
            <w:tcW w:w="0" w:type="auto"/>
            <w:shd w:val="clear" w:color="auto" w:fill="auto"/>
            <w:vAlign w:val="center"/>
          </w:tcPr>
          <w:p w14:paraId="4D928A21" w14:textId="799E993E" w:rsidR="3341BD48" w:rsidRPr="00B85D62" w:rsidRDefault="3341BD48" w:rsidP="0066232B">
            <w:pPr>
              <w:jc w:val="center"/>
              <w:rPr>
                <w:rFonts w:eastAsia="Arial" w:cs="Arial"/>
                <w:sz w:val="16"/>
                <w:szCs w:val="16"/>
              </w:rPr>
            </w:pPr>
            <w:r w:rsidRPr="00B85D62">
              <w:rPr>
                <w:rFonts w:eastAsia="Arial" w:cs="Arial"/>
                <w:sz w:val="16"/>
                <w:szCs w:val="16"/>
              </w:rPr>
              <w:t>%/SD</w:t>
            </w:r>
          </w:p>
        </w:tc>
        <w:tc>
          <w:tcPr>
            <w:tcW w:w="0" w:type="auto"/>
            <w:shd w:val="clear" w:color="auto" w:fill="auto"/>
            <w:vAlign w:val="center"/>
          </w:tcPr>
          <w:p w14:paraId="44EF7649" w14:textId="3D0388C8" w:rsidR="3341BD48" w:rsidRPr="00B85D62" w:rsidRDefault="3341BD48" w:rsidP="0066232B">
            <w:pPr>
              <w:jc w:val="center"/>
              <w:rPr>
                <w:rFonts w:eastAsia="Arial" w:cs="Arial"/>
                <w:sz w:val="16"/>
                <w:szCs w:val="16"/>
              </w:rPr>
            </w:pPr>
            <w:r w:rsidRPr="00B85D62">
              <w:rPr>
                <w:rFonts w:eastAsia="Arial" w:cs="Arial"/>
                <w:sz w:val="16"/>
                <w:szCs w:val="16"/>
              </w:rPr>
              <w:t>N/mean</w:t>
            </w:r>
          </w:p>
        </w:tc>
        <w:tc>
          <w:tcPr>
            <w:tcW w:w="0" w:type="auto"/>
            <w:shd w:val="clear" w:color="auto" w:fill="auto"/>
          </w:tcPr>
          <w:p w14:paraId="6F8A897B" w14:textId="47BBEECF" w:rsidR="3341BD48" w:rsidRPr="00B85D62" w:rsidRDefault="3341BD48" w:rsidP="0066232B">
            <w:pPr>
              <w:jc w:val="center"/>
              <w:rPr>
                <w:rFonts w:eastAsia="Arial" w:cs="Arial"/>
                <w:sz w:val="16"/>
                <w:szCs w:val="16"/>
              </w:rPr>
            </w:pPr>
            <w:r w:rsidRPr="00B85D62">
              <w:rPr>
                <w:rFonts w:eastAsia="Arial" w:cs="Arial"/>
                <w:sz w:val="16"/>
                <w:szCs w:val="16"/>
              </w:rPr>
              <w:t>%/SD</w:t>
            </w:r>
          </w:p>
        </w:tc>
      </w:tr>
      <w:tr w:rsidR="3341BD48" w:rsidRPr="00B85D62" w14:paraId="53965890" w14:textId="77777777" w:rsidTr="00B85D62">
        <w:trPr>
          <w:cantSplit/>
        </w:trPr>
        <w:tc>
          <w:tcPr>
            <w:tcW w:w="0" w:type="auto"/>
            <w:shd w:val="clear" w:color="auto" w:fill="auto"/>
            <w:vAlign w:val="center"/>
          </w:tcPr>
          <w:p w14:paraId="1C5B98D1" w14:textId="1EC4D05B" w:rsidR="3341BD48" w:rsidRPr="00B85D62" w:rsidRDefault="3341BD48" w:rsidP="0066232B">
            <w:pPr>
              <w:rPr>
                <w:rFonts w:eastAsia="Arial" w:cs="Arial"/>
                <w:sz w:val="16"/>
                <w:szCs w:val="16"/>
              </w:rPr>
            </w:pPr>
            <w:r w:rsidRPr="00B85D62">
              <w:rPr>
                <w:rFonts w:eastAsia="Arial" w:cs="Arial"/>
                <w:sz w:val="16"/>
                <w:szCs w:val="16"/>
              </w:rPr>
              <w:t>Age</w:t>
            </w:r>
          </w:p>
        </w:tc>
        <w:tc>
          <w:tcPr>
            <w:tcW w:w="0" w:type="auto"/>
            <w:shd w:val="clear" w:color="auto" w:fill="auto"/>
            <w:vAlign w:val="center"/>
          </w:tcPr>
          <w:p w14:paraId="43C3887F" w14:textId="3ADE9954" w:rsidR="3341BD48" w:rsidRPr="00B85D62" w:rsidRDefault="3341BD48" w:rsidP="0066232B">
            <w:pPr>
              <w:jc w:val="center"/>
              <w:rPr>
                <w:rFonts w:eastAsia="Arial" w:cs="Arial"/>
                <w:sz w:val="16"/>
                <w:szCs w:val="16"/>
              </w:rPr>
            </w:pPr>
            <w:r w:rsidRPr="00B85D62">
              <w:rPr>
                <w:rFonts w:eastAsia="Arial" w:cs="Arial"/>
                <w:sz w:val="16"/>
                <w:szCs w:val="16"/>
              </w:rPr>
              <w:t>50.4</w:t>
            </w:r>
          </w:p>
        </w:tc>
        <w:tc>
          <w:tcPr>
            <w:tcW w:w="0" w:type="auto"/>
            <w:shd w:val="clear" w:color="auto" w:fill="auto"/>
            <w:vAlign w:val="center"/>
          </w:tcPr>
          <w:p w14:paraId="498A3C93" w14:textId="0881CE55" w:rsidR="3341BD48" w:rsidRPr="00B85D62" w:rsidRDefault="3341BD48" w:rsidP="0066232B">
            <w:pPr>
              <w:jc w:val="center"/>
              <w:rPr>
                <w:rFonts w:eastAsia="Arial" w:cs="Arial"/>
                <w:sz w:val="16"/>
                <w:szCs w:val="16"/>
              </w:rPr>
            </w:pPr>
            <w:r w:rsidRPr="00B85D62">
              <w:rPr>
                <w:rFonts w:eastAsia="Arial" w:cs="Arial"/>
                <w:sz w:val="16"/>
                <w:szCs w:val="16"/>
              </w:rPr>
              <w:t>13.8</w:t>
            </w:r>
          </w:p>
        </w:tc>
        <w:tc>
          <w:tcPr>
            <w:tcW w:w="0" w:type="auto"/>
            <w:shd w:val="clear" w:color="auto" w:fill="auto"/>
            <w:vAlign w:val="center"/>
          </w:tcPr>
          <w:p w14:paraId="06F5F740" w14:textId="2DE9AD80" w:rsidR="3341BD48" w:rsidRPr="00B85D62" w:rsidRDefault="3341BD48" w:rsidP="0066232B">
            <w:pPr>
              <w:jc w:val="center"/>
              <w:rPr>
                <w:rFonts w:eastAsia="Arial" w:cs="Arial"/>
                <w:sz w:val="16"/>
                <w:szCs w:val="16"/>
              </w:rPr>
            </w:pPr>
            <w:r w:rsidRPr="00B85D62">
              <w:rPr>
                <w:rFonts w:eastAsia="Arial" w:cs="Arial"/>
                <w:sz w:val="16"/>
                <w:szCs w:val="16"/>
              </w:rPr>
              <w:t>47.8</w:t>
            </w:r>
          </w:p>
        </w:tc>
        <w:tc>
          <w:tcPr>
            <w:tcW w:w="0" w:type="auto"/>
            <w:shd w:val="clear" w:color="auto" w:fill="auto"/>
            <w:vAlign w:val="center"/>
          </w:tcPr>
          <w:p w14:paraId="6D13D37E" w14:textId="6969E5CF" w:rsidR="3341BD48" w:rsidRPr="00B85D62" w:rsidRDefault="3341BD48" w:rsidP="0066232B">
            <w:pPr>
              <w:jc w:val="center"/>
              <w:rPr>
                <w:rFonts w:eastAsia="Arial" w:cs="Arial"/>
                <w:sz w:val="16"/>
                <w:szCs w:val="16"/>
              </w:rPr>
            </w:pPr>
            <w:r w:rsidRPr="00B85D62">
              <w:rPr>
                <w:rFonts w:eastAsia="Arial" w:cs="Arial"/>
                <w:sz w:val="16"/>
                <w:szCs w:val="16"/>
              </w:rPr>
              <w:t>13.0</w:t>
            </w:r>
          </w:p>
        </w:tc>
        <w:tc>
          <w:tcPr>
            <w:tcW w:w="0" w:type="auto"/>
            <w:shd w:val="clear" w:color="auto" w:fill="auto"/>
            <w:vAlign w:val="center"/>
          </w:tcPr>
          <w:p w14:paraId="03D24105" w14:textId="2BC8F903" w:rsidR="3341BD48" w:rsidRPr="00B85D62" w:rsidRDefault="3341BD48" w:rsidP="0066232B">
            <w:pPr>
              <w:jc w:val="center"/>
              <w:rPr>
                <w:rFonts w:eastAsia="Arial" w:cs="Arial"/>
                <w:sz w:val="16"/>
                <w:szCs w:val="16"/>
              </w:rPr>
            </w:pPr>
            <w:r w:rsidRPr="00B85D62">
              <w:rPr>
                <w:rFonts w:eastAsia="Arial" w:cs="Arial"/>
                <w:sz w:val="16"/>
                <w:szCs w:val="16"/>
              </w:rPr>
              <w:t>50. 5</w:t>
            </w:r>
          </w:p>
        </w:tc>
        <w:tc>
          <w:tcPr>
            <w:tcW w:w="0" w:type="auto"/>
            <w:shd w:val="clear" w:color="auto" w:fill="auto"/>
            <w:vAlign w:val="center"/>
          </w:tcPr>
          <w:p w14:paraId="24A45D5E" w14:textId="6DFA9DC4" w:rsidR="3341BD48" w:rsidRPr="00B85D62" w:rsidRDefault="3341BD48" w:rsidP="0066232B">
            <w:pPr>
              <w:jc w:val="center"/>
              <w:rPr>
                <w:rFonts w:eastAsia="Arial" w:cs="Arial"/>
                <w:sz w:val="16"/>
                <w:szCs w:val="16"/>
              </w:rPr>
            </w:pPr>
            <w:r w:rsidRPr="00B85D62">
              <w:rPr>
                <w:rFonts w:eastAsia="Arial" w:cs="Arial"/>
                <w:sz w:val="16"/>
                <w:szCs w:val="16"/>
              </w:rPr>
              <w:t>13.8</w:t>
            </w:r>
          </w:p>
        </w:tc>
        <w:tc>
          <w:tcPr>
            <w:tcW w:w="0" w:type="auto"/>
            <w:shd w:val="clear" w:color="auto" w:fill="auto"/>
            <w:vAlign w:val="center"/>
          </w:tcPr>
          <w:p w14:paraId="2C0BE827" w14:textId="000EB55A" w:rsidR="3341BD48" w:rsidRPr="00B85D62" w:rsidRDefault="3341BD48" w:rsidP="0066232B">
            <w:pPr>
              <w:jc w:val="center"/>
              <w:rPr>
                <w:rFonts w:eastAsia="Arial" w:cs="Arial"/>
                <w:sz w:val="16"/>
                <w:szCs w:val="16"/>
              </w:rPr>
            </w:pPr>
            <w:r w:rsidRPr="00B85D62">
              <w:rPr>
                <w:rFonts w:eastAsia="Arial" w:cs="Arial"/>
                <w:sz w:val="16"/>
                <w:szCs w:val="16"/>
              </w:rPr>
              <w:t>52.6</w:t>
            </w:r>
          </w:p>
        </w:tc>
        <w:tc>
          <w:tcPr>
            <w:tcW w:w="0" w:type="auto"/>
            <w:shd w:val="clear" w:color="auto" w:fill="auto"/>
            <w:vAlign w:val="center"/>
          </w:tcPr>
          <w:p w14:paraId="42B656F8" w14:textId="3F28EDEA" w:rsidR="3341BD48" w:rsidRPr="00B85D62" w:rsidRDefault="3341BD48" w:rsidP="0066232B">
            <w:pPr>
              <w:jc w:val="center"/>
              <w:rPr>
                <w:rFonts w:eastAsia="Arial" w:cs="Arial"/>
                <w:sz w:val="16"/>
                <w:szCs w:val="16"/>
              </w:rPr>
            </w:pPr>
            <w:r w:rsidRPr="00B85D62">
              <w:rPr>
                <w:rFonts w:eastAsia="Arial" w:cs="Arial"/>
                <w:sz w:val="16"/>
                <w:szCs w:val="16"/>
              </w:rPr>
              <w:t>14.1</w:t>
            </w:r>
          </w:p>
        </w:tc>
      </w:tr>
      <w:tr w:rsidR="3341BD48" w:rsidRPr="00B85D62" w14:paraId="79C9AD06" w14:textId="77777777" w:rsidTr="00B85D62">
        <w:trPr>
          <w:cantSplit/>
        </w:trPr>
        <w:tc>
          <w:tcPr>
            <w:tcW w:w="0" w:type="auto"/>
            <w:shd w:val="clear" w:color="auto" w:fill="auto"/>
            <w:vAlign w:val="center"/>
          </w:tcPr>
          <w:p w14:paraId="58EF2954" w14:textId="6FA83494" w:rsidR="3341BD48" w:rsidRPr="00B85D62" w:rsidRDefault="3341BD48" w:rsidP="0066232B">
            <w:pPr>
              <w:rPr>
                <w:rFonts w:eastAsia="Arial" w:cs="Arial"/>
                <w:sz w:val="16"/>
                <w:szCs w:val="16"/>
              </w:rPr>
            </w:pPr>
            <w:r w:rsidRPr="00B85D62">
              <w:rPr>
                <w:rFonts w:eastAsia="Arial" w:cs="Arial"/>
                <w:sz w:val="16"/>
                <w:szCs w:val="16"/>
              </w:rPr>
              <w:t>Gender (male)</w:t>
            </w:r>
          </w:p>
        </w:tc>
        <w:tc>
          <w:tcPr>
            <w:tcW w:w="0" w:type="auto"/>
            <w:shd w:val="clear" w:color="auto" w:fill="auto"/>
            <w:vAlign w:val="center"/>
          </w:tcPr>
          <w:p w14:paraId="15078172" w14:textId="4C153961" w:rsidR="3341BD48" w:rsidRPr="00B85D62" w:rsidRDefault="3341BD48" w:rsidP="0066232B">
            <w:pPr>
              <w:jc w:val="center"/>
              <w:rPr>
                <w:rFonts w:eastAsia="Arial" w:cs="Arial"/>
                <w:sz w:val="16"/>
                <w:szCs w:val="16"/>
              </w:rPr>
            </w:pPr>
            <w:r w:rsidRPr="00B85D62">
              <w:rPr>
                <w:rFonts w:eastAsia="Arial" w:cs="Arial"/>
                <w:sz w:val="16"/>
                <w:szCs w:val="16"/>
              </w:rPr>
              <w:t>1197</w:t>
            </w:r>
          </w:p>
        </w:tc>
        <w:tc>
          <w:tcPr>
            <w:tcW w:w="0" w:type="auto"/>
            <w:shd w:val="clear" w:color="auto" w:fill="auto"/>
            <w:vAlign w:val="center"/>
          </w:tcPr>
          <w:p w14:paraId="71D5584F" w14:textId="5A4DE5AC" w:rsidR="3341BD48" w:rsidRPr="00B85D62" w:rsidRDefault="3341BD48" w:rsidP="0066232B">
            <w:pPr>
              <w:jc w:val="center"/>
              <w:rPr>
                <w:rFonts w:eastAsia="Arial" w:cs="Arial"/>
                <w:sz w:val="16"/>
                <w:szCs w:val="16"/>
              </w:rPr>
            </w:pPr>
            <w:r w:rsidRPr="00B85D62">
              <w:rPr>
                <w:rFonts w:eastAsia="Arial" w:cs="Arial"/>
                <w:sz w:val="16"/>
                <w:szCs w:val="16"/>
              </w:rPr>
              <w:t>41.6%</w:t>
            </w:r>
          </w:p>
        </w:tc>
        <w:tc>
          <w:tcPr>
            <w:tcW w:w="0" w:type="auto"/>
            <w:shd w:val="clear" w:color="auto" w:fill="auto"/>
            <w:vAlign w:val="center"/>
          </w:tcPr>
          <w:p w14:paraId="0560214B" w14:textId="3B617BEF" w:rsidR="3341BD48" w:rsidRPr="00B85D62" w:rsidRDefault="3341BD48" w:rsidP="0066232B">
            <w:pPr>
              <w:jc w:val="center"/>
              <w:rPr>
                <w:rFonts w:eastAsia="Arial" w:cs="Arial"/>
                <w:sz w:val="16"/>
                <w:szCs w:val="16"/>
              </w:rPr>
            </w:pPr>
            <w:r w:rsidRPr="00B85D62">
              <w:rPr>
                <w:rFonts w:eastAsia="Arial" w:cs="Arial"/>
                <w:sz w:val="16"/>
                <w:szCs w:val="16"/>
              </w:rPr>
              <w:t>273</w:t>
            </w:r>
          </w:p>
        </w:tc>
        <w:tc>
          <w:tcPr>
            <w:tcW w:w="0" w:type="auto"/>
            <w:shd w:val="clear" w:color="auto" w:fill="auto"/>
            <w:vAlign w:val="center"/>
          </w:tcPr>
          <w:p w14:paraId="1C258E93" w14:textId="5BD0977A" w:rsidR="3341BD48" w:rsidRPr="00B85D62" w:rsidRDefault="3341BD48" w:rsidP="0066232B">
            <w:pPr>
              <w:jc w:val="center"/>
              <w:rPr>
                <w:rFonts w:eastAsia="Arial" w:cs="Arial"/>
                <w:sz w:val="16"/>
                <w:szCs w:val="16"/>
              </w:rPr>
            </w:pPr>
            <w:r w:rsidRPr="00B85D62">
              <w:rPr>
                <w:rFonts w:eastAsia="Arial" w:cs="Arial"/>
                <w:sz w:val="16"/>
                <w:szCs w:val="16"/>
              </w:rPr>
              <w:t>36.7%</w:t>
            </w:r>
          </w:p>
        </w:tc>
        <w:tc>
          <w:tcPr>
            <w:tcW w:w="0" w:type="auto"/>
            <w:shd w:val="clear" w:color="auto" w:fill="auto"/>
            <w:vAlign w:val="center"/>
          </w:tcPr>
          <w:p w14:paraId="1D12DFA4" w14:textId="4A677BF4" w:rsidR="3341BD48" w:rsidRPr="00B85D62" w:rsidRDefault="3341BD48" w:rsidP="0066232B">
            <w:pPr>
              <w:jc w:val="center"/>
              <w:rPr>
                <w:rFonts w:eastAsia="Arial" w:cs="Arial"/>
                <w:sz w:val="16"/>
                <w:szCs w:val="16"/>
              </w:rPr>
            </w:pPr>
            <w:r w:rsidRPr="00B85D62">
              <w:rPr>
                <w:rFonts w:eastAsia="Arial" w:cs="Arial"/>
                <w:sz w:val="16"/>
                <w:szCs w:val="16"/>
              </w:rPr>
              <w:t>536</w:t>
            </w:r>
          </w:p>
        </w:tc>
        <w:tc>
          <w:tcPr>
            <w:tcW w:w="0" w:type="auto"/>
            <w:shd w:val="clear" w:color="auto" w:fill="auto"/>
            <w:vAlign w:val="center"/>
          </w:tcPr>
          <w:p w14:paraId="7A8E2EC7" w14:textId="5C771E6C" w:rsidR="3341BD48" w:rsidRPr="00B85D62" w:rsidRDefault="3341BD48" w:rsidP="0066232B">
            <w:pPr>
              <w:jc w:val="center"/>
              <w:rPr>
                <w:rFonts w:eastAsia="Arial" w:cs="Arial"/>
                <w:sz w:val="16"/>
                <w:szCs w:val="16"/>
              </w:rPr>
            </w:pPr>
            <w:r w:rsidRPr="00B85D62">
              <w:rPr>
                <w:rFonts w:eastAsia="Arial" w:cs="Arial"/>
                <w:sz w:val="16"/>
                <w:szCs w:val="16"/>
              </w:rPr>
              <w:t>41.5%</w:t>
            </w:r>
          </w:p>
        </w:tc>
        <w:tc>
          <w:tcPr>
            <w:tcW w:w="0" w:type="auto"/>
            <w:shd w:val="clear" w:color="auto" w:fill="auto"/>
            <w:vAlign w:val="center"/>
          </w:tcPr>
          <w:p w14:paraId="00DC3E87" w14:textId="09940123" w:rsidR="3341BD48" w:rsidRPr="00B85D62" w:rsidRDefault="3341BD48" w:rsidP="0066232B">
            <w:pPr>
              <w:jc w:val="center"/>
              <w:rPr>
                <w:rFonts w:eastAsia="Arial" w:cs="Arial"/>
                <w:sz w:val="16"/>
                <w:szCs w:val="16"/>
              </w:rPr>
            </w:pPr>
            <w:r w:rsidRPr="00B85D62">
              <w:rPr>
                <w:rFonts w:eastAsia="Arial" w:cs="Arial"/>
                <w:sz w:val="16"/>
                <w:szCs w:val="16"/>
              </w:rPr>
              <w:t>388</w:t>
            </w:r>
          </w:p>
        </w:tc>
        <w:tc>
          <w:tcPr>
            <w:tcW w:w="0" w:type="auto"/>
            <w:shd w:val="clear" w:color="auto" w:fill="auto"/>
            <w:vAlign w:val="center"/>
          </w:tcPr>
          <w:p w14:paraId="5D34C843" w14:textId="72210E73" w:rsidR="3341BD48" w:rsidRPr="00B85D62" w:rsidRDefault="3341BD48" w:rsidP="0066232B">
            <w:pPr>
              <w:jc w:val="center"/>
              <w:rPr>
                <w:rFonts w:eastAsia="Arial" w:cs="Arial"/>
                <w:sz w:val="16"/>
                <w:szCs w:val="16"/>
              </w:rPr>
            </w:pPr>
            <w:r w:rsidRPr="00B85D62">
              <w:rPr>
                <w:rFonts w:eastAsia="Arial" w:cs="Arial"/>
                <w:sz w:val="16"/>
                <w:szCs w:val="16"/>
              </w:rPr>
              <w:t>46.0%</w:t>
            </w:r>
          </w:p>
        </w:tc>
      </w:tr>
      <w:tr w:rsidR="3341BD48" w:rsidRPr="00B85D62" w14:paraId="00BD8B56" w14:textId="77777777" w:rsidTr="00B85D62">
        <w:trPr>
          <w:cantSplit/>
        </w:trPr>
        <w:tc>
          <w:tcPr>
            <w:tcW w:w="0" w:type="auto"/>
            <w:shd w:val="clear" w:color="auto" w:fill="auto"/>
            <w:vAlign w:val="center"/>
          </w:tcPr>
          <w:p w14:paraId="272AD0D9" w14:textId="1E786933" w:rsidR="3341BD48" w:rsidRPr="00B85D62" w:rsidRDefault="3341BD48" w:rsidP="0066232B">
            <w:pPr>
              <w:rPr>
                <w:rFonts w:eastAsia="Arial" w:cs="Arial"/>
                <w:sz w:val="16"/>
                <w:szCs w:val="16"/>
              </w:rPr>
            </w:pPr>
            <w:r w:rsidRPr="00B85D62">
              <w:rPr>
                <w:rFonts w:eastAsia="Arial" w:cs="Arial"/>
                <w:sz w:val="16"/>
                <w:szCs w:val="16"/>
              </w:rPr>
              <w:t>Ethnicity</w:t>
            </w:r>
          </w:p>
        </w:tc>
        <w:tc>
          <w:tcPr>
            <w:tcW w:w="0" w:type="auto"/>
            <w:shd w:val="clear" w:color="auto" w:fill="auto"/>
            <w:vAlign w:val="center"/>
          </w:tcPr>
          <w:p w14:paraId="4C66ACCE" w14:textId="607F7198" w:rsidR="3341BD48" w:rsidRPr="00B85D62" w:rsidRDefault="3341BD48" w:rsidP="0066232B">
            <w:pPr>
              <w:jc w:val="center"/>
              <w:rPr>
                <w:rFonts w:eastAsia="Arial" w:cs="Arial"/>
                <w:sz w:val="16"/>
                <w:szCs w:val="16"/>
              </w:rPr>
            </w:pPr>
          </w:p>
        </w:tc>
        <w:tc>
          <w:tcPr>
            <w:tcW w:w="0" w:type="auto"/>
            <w:shd w:val="clear" w:color="auto" w:fill="auto"/>
            <w:vAlign w:val="center"/>
          </w:tcPr>
          <w:p w14:paraId="4C62FF6D" w14:textId="7A88380F" w:rsidR="3341BD48" w:rsidRPr="00B85D62" w:rsidRDefault="3341BD48" w:rsidP="0066232B">
            <w:pPr>
              <w:jc w:val="center"/>
              <w:rPr>
                <w:rFonts w:eastAsia="Arial" w:cs="Arial"/>
                <w:sz w:val="16"/>
                <w:szCs w:val="16"/>
              </w:rPr>
            </w:pPr>
          </w:p>
        </w:tc>
        <w:tc>
          <w:tcPr>
            <w:tcW w:w="0" w:type="auto"/>
            <w:shd w:val="clear" w:color="auto" w:fill="auto"/>
            <w:vAlign w:val="center"/>
          </w:tcPr>
          <w:p w14:paraId="6901CC03" w14:textId="244428DF" w:rsidR="3341BD48" w:rsidRPr="00B85D62" w:rsidRDefault="3341BD48" w:rsidP="0066232B">
            <w:pPr>
              <w:jc w:val="center"/>
              <w:rPr>
                <w:rFonts w:eastAsia="Arial" w:cs="Arial"/>
                <w:sz w:val="16"/>
                <w:szCs w:val="16"/>
              </w:rPr>
            </w:pPr>
          </w:p>
        </w:tc>
        <w:tc>
          <w:tcPr>
            <w:tcW w:w="0" w:type="auto"/>
            <w:shd w:val="clear" w:color="auto" w:fill="auto"/>
            <w:vAlign w:val="center"/>
          </w:tcPr>
          <w:p w14:paraId="39E79180" w14:textId="2D090A49" w:rsidR="3341BD48" w:rsidRPr="00B85D62" w:rsidRDefault="3341BD48" w:rsidP="0066232B">
            <w:pPr>
              <w:jc w:val="center"/>
              <w:rPr>
                <w:rFonts w:eastAsia="Arial" w:cs="Arial"/>
                <w:sz w:val="16"/>
                <w:szCs w:val="16"/>
              </w:rPr>
            </w:pPr>
          </w:p>
        </w:tc>
        <w:tc>
          <w:tcPr>
            <w:tcW w:w="0" w:type="auto"/>
            <w:shd w:val="clear" w:color="auto" w:fill="auto"/>
            <w:vAlign w:val="center"/>
          </w:tcPr>
          <w:p w14:paraId="6B465FB9" w14:textId="5971F369" w:rsidR="3341BD48" w:rsidRPr="00B85D62" w:rsidRDefault="3341BD48" w:rsidP="0066232B">
            <w:pPr>
              <w:jc w:val="center"/>
              <w:rPr>
                <w:rFonts w:eastAsia="Arial" w:cs="Arial"/>
                <w:sz w:val="16"/>
                <w:szCs w:val="16"/>
              </w:rPr>
            </w:pPr>
          </w:p>
        </w:tc>
        <w:tc>
          <w:tcPr>
            <w:tcW w:w="0" w:type="auto"/>
            <w:shd w:val="clear" w:color="auto" w:fill="auto"/>
            <w:vAlign w:val="center"/>
          </w:tcPr>
          <w:p w14:paraId="4D6C1891" w14:textId="12BAF3E9" w:rsidR="3341BD48" w:rsidRPr="00B85D62" w:rsidRDefault="3341BD48" w:rsidP="0066232B">
            <w:pPr>
              <w:jc w:val="center"/>
              <w:rPr>
                <w:rFonts w:eastAsia="Arial" w:cs="Arial"/>
                <w:sz w:val="16"/>
                <w:szCs w:val="16"/>
              </w:rPr>
            </w:pPr>
          </w:p>
        </w:tc>
        <w:tc>
          <w:tcPr>
            <w:tcW w:w="0" w:type="auto"/>
            <w:shd w:val="clear" w:color="auto" w:fill="auto"/>
            <w:vAlign w:val="center"/>
          </w:tcPr>
          <w:p w14:paraId="3B1D555C" w14:textId="437910CE" w:rsidR="3341BD48" w:rsidRPr="00B85D62" w:rsidRDefault="3341BD48" w:rsidP="0066232B">
            <w:pPr>
              <w:jc w:val="center"/>
              <w:rPr>
                <w:rFonts w:eastAsia="Arial" w:cs="Arial"/>
                <w:sz w:val="16"/>
                <w:szCs w:val="16"/>
              </w:rPr>
            </w:pPr>
          </w:p>
        </w:tc>
        <w:tc>
          <w:tcPr>
            <w:tcW w:w="0" w:type="auto"/>
            <w:shd w:val="clear" w:color="auto" w:fill="auto"/>
            <w:vAlign w:val="center"/>
          </w:tcPr>
          <w:p w14:paraId="49A77AEC" w14:textId="3137C171" w:rsidR="3341BD48" w:rsidRPr="00B85D62" w:rsidRDefault="3341BD48" w:rsidP="0066232B">
            <w:pPr>
              <w:jc w:val="center"/>
              <w:rPr>
                <w:rFonts w:eastAsia="Arial" w:cs="Arial"/>
                <w:sz w:val="16"/>
                <w:szCs w:val="16"/>
              </w:rPr>
            </w:pPr>
          </w:p>
        </w:tc>
      </w:tr>
      <w:tr w:rsidR="3341BD48" w:rsidRPr="00B85D62" w14:paraId="4409F27B" w14:textId="77777777" w:rsidTr="00B85D62">
        <w:trPr>
          <w:cantSplit/>
        </w:trPr>
        <w:tc>
          <w:tcPr>
            <w:tcW w:w="0" w:type="auto"/>
            <w:shd w:val="clear" w:color="auto" w:fill="auto"/>
            <w:vAlign w:val="center"/>
          </w:tcPr>
          <w:p w14:paraId="58FED5EF" w14:textId="27DDE517"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Asian/British Asian</w:t>
            </w:r>
          </w:p>
        </w:tc>
        <w:tc>
          <w:tcPr>
            <w:tcW w:w="0" w:type="auto"/>
            <w:shd w:val="clear" w:color="auto" w:fill="auto"/>
            <w:vAlign w:val="center"/>
          </w:tcPr>
          <w:p w14:paraId="60E65A4A" w14:textId="03531863" w:rsidR="3341BD48" w:rsidRPr="00B85D62" w:rsidRDefault="3341BD48" w:rsidP="0066232B">
            <w:pPr>
              <w:jc w:val="center"/>
              <w:rPr>
                <w:rFonts w:eastAsia="Arial" w:cs="Arial"/>
                <w:sz w:val="16"/>
                <w:szCs w:val="16"/>
              </w:rPr>
            </w:pPr>
            <w:r w:rsidRPr="00B85D62">
              <w:rPr>
                <w:rFonts w:eastAsia="Arial" w:cs="Arial"/>
                <w:sz w:val="16"/>
                <w:szCs w:val="16"/>
              </w:rPr>
              <w:t>117</w:t>
            </w:r>
          </w:p>
        </w:tc>
        <w:tc>
          <w:tcPr>
            <w:tcW w:w="0" w:type="auto"/>
            <w:shd w:val="clear" w:color="auto" w:fill="auto"/>
            <w:vAlign w:val="center"/>
          </w:tcPr>
          <w:p w14:paraId="11D053AE" w14:textId="77CDEDC7" w:rsidR="3341BD48" w:rsidRPr="00B85D62" w:rsidRDefault="3341BD48" w:rsidP="0066232B">
            <w:pPr>
              <w:jc w:val="center"/>
              <w:rPr>
                <w:rFonts w:eastAsia="Arial" w:cs="Arial"/>
                <w:sz w:val="16"/>
                <w:szCs w:val="16"/>
              </w:rPr>
            </w:pPr>
            <w:r w:rsidRPr="00B85D62">
              <w:rPr>
                <w:rFonts w:eastAsia="Arial" w:cs="Arial"/>
                <w:sz w:val="16"/>
                <w:szCs w:val="16"/>
              </w:rPr>
              <w:t>4.1%</w:t>
            </w:r>
          </w:p>
        </w:tc>
        <w:tc>
          <w:tcPr>
            <w:tcW w:w="0" w:type="auto"/>
            <w:shd w:val="clear" w:color="auto" w:fill="auto"/>
            <w:vAlign w:val="center"/>
          </w:tcPr>
          <w:p w14:paraId="2437A4EB" w14:textId="43A32623" w:rsidR="3341BD48" w:rsidRPr="00B85D62" w:rsidRDefault="3341BD48" w:rsidP="0066232B">
            <w:pPr>
              <w:jc w:val="center"/>
              <w:rPr>
                <w:rFonts w:eastAsia="Arial" w:cs="Arial"/>
                <w:sz w:val="16"/>
                <w:szCs w:val="16"/>
              </w:rPr>
            </w:pPr>
            <w:r w:rsidRPr="00B85D62">
              <w:rPr>
                <w:rFonts w:eastAsia="Arial" w:cs="Arial"/>
                <w:sz w:val="16"/>
                <w:szCs w:val="16"/>
              </w:rPr>
              <w:t>44</w:t>
            </w:r>
          </w:p>
        </w:tc>
        <w:tc>
          <w:tcPr>
            <w:tcW w:w="0" w:type="auto"/>
            <w:shd w:val="clear" w:color="auto" w:fill="auto"/>
            <w:vAlign w:val="center"/>
          </w:tcPr>
          <w:p w14:paraId="6A9780DB" w14:textId="71FC26D2" w:rsidR="3341BD48" w:rsidRPr="00B85D62" w:rsidRDefault="3341BD48" w:rsidP="0066232B">
            <w:pPr>
              <w:jc w:val="center"/>
              <w:rPr>
                <w:rFonts w:eastAsia="Arial" w:cs="Arial"/>
                <w:sz w:val="16"/>
                <w:szCs w:val="16"/>
              </w:rPr>
            </w:pPr>
            <w:r w:rsidRPr="00B85D62">
              <w:rPr>
                <w:rFonts w:eastAsia="Arial" w:cs="Arial"/>
                <w:sz w:val="16"/>
                <w:szCs w:val="16"/>
              </w:rPr>
              <w:t>5.9%</w:t>
            </w:r>
          </w:p>
        </w:tc>
        <w:tc>
          <w:tcPr>
            <w:tcW w:w="0" w:type="auto"/>
            <w:shd w:val="clear" w:color="auto" w:fill="auto"/>
            <w:vAlign w:val="center"/>
          </w:tcPr>
          <w:p w14:paraId="389BCA41" w14:textId="3D787EF1" w:rsidR="3341BD48" w:rsidRPr="00B85D62" w:rsidRDefault="3341BD48" w:rsidP="0066232B">
            <w:pPr>
              <w:jc w:val="center"/>
              <w:rPr>
                <w:rFonts w:eastAsia="Arial" w:cs="Arial"/>
                <w:sz w:val="16"/>
                <w:szCs w:val="16"/>
              </w:rPr>
            </w:pPr>
            <w:r w:rsidRPr="00B85D62">
              <w:rPr>
                <w:rFonts w:eastAsia="Arial" w:cs="Arial"/>
                <w:sz w:val="16"/>
                <w:szCs w:val="16"/>
              </w:rPr>
              <w:t>41</w:t>
            </w:r>
          </w:p>
        </w:tc>
        <w:tc>
          <w:tcPr>
            <w:tcW w:w="0" w:type="auto"/>
            <w:shd w:val="clear" w:color="auto" w:fill="auto"/>
            <w:vAlign w:val="center"/>
          </w:tcPr>
          <w:p w14:paraId="7CD0F45F" w14:textId="7543C593" w:rsidR="3341BD48" w:rsidRPr="00B85D62" w:rsidRDefault="3341BD48" w:rsidP="0066232B">
            <w:pPr>
              <w:jc w:val="center"/>
              <w:rPr>
                <w:rFonts w:eastAsia="Arial" w:cs="Arial"/>
                <w:sz w:val="16"/>
                <w:szCs w:val="16"/>
              </w:rPr>
            </w:pPr>
            <w:r w:rsidRPr="00B85D62">
              <w:rPr>
                <w:rFonts w:eastAsia="Arial" w:cs="Arial"/>
                <w:sz w:val="16"/>
                <w:szCs w:val="16"/>
              </w:rPr>
              <w:t>3.2%</w:t>
            </w:r>
          </w:p>
        </w:tc>
        <w:tc>
          <w:tcPr>
            <w:tcW w:w="0" w:type="auto"/>
            <w:shd w:val="clear" w:color="auto" w:fill="auto"/>
            <w:vAlign w:val="center"/>
          </w:tcPr>
          <w:p w14:paraId="2334131E" w14:textId="623FA88C" w:rsidR="3341BD48" w:rsidRPr="00B85D62" w:rsidRDefault="3341BD48" w:rsidP="0066232B">
            <w:pPr>
              <w:jc w:val="center"/>
              <w:rPr>
                <w:rFonts w:eastAsia="Arial" w:cs="Arial"/>
                <w:sz w:val="16"/>
                <w:szCs w:val="16"/>
              </w:rPr>
            </w:pPr>
            <w:r w:rsidRPr="00B85D62">
              <w:rPr>
                <w:rFonts w:eastAsia="Arial" w:cs="Arial"/>
                <w:sz w:val="16"/>
                <w:szCs w:val="16"/>
              </w:rPr>
              <w:t>32</w:t>
            </w:r>
          </w:p>
        </w:tc>
        <w:tc>
          <w:tcPr>
            <w:tcW w:w="0" w:type="auto"/>
            <w:shd w:val="clear" w:color="auto" w:fill="auto"/>
            <w:vAlign w:val="center"/>
          </w:tcPr>
          <w:p w14:paraId="16333B07" w14:textId="74003912" w:rsidR="3341BD48" w:rsidRPr="00B85D62" w:rsidRDefault="3341BD48" w:rsidP="0066232B">
            <w:pPr>
              <w:jc w:val="center"/>
              <w:rPr>
                <w:rFonts w:eastAsia="Arial" w:cs="Arial"/>
                <w:sz w:val="16"/>
                <w:szCs w:val="16"/>
              </w:rPr>
            </w:pPr>
            <w:r w:rsidRPr="00B85D62">
              <w:rPr>
                <w:rFonts w:eastAsia="Arial" w:cs="Arial"/>
                <w:sz w:val="16"/>
                <w:szCs w:val="16"/>
              </w:rPr>
              <w:t>3.8%</w:t>
            </w:r>
          </w:p>
        </w:tc>
      </w:tr>
      <w:tr w:rsidR="3341BD48" w:rsidRPr="00B85D62" w14:paraId="63AEBF4E" w14:textId="77777777" w:rsidTr="00B85D62">
        <w:trPr>
          <w:cantSplit/>
        </w:trPr>
        <w:tc>
          <w:tcPr>
            <w:tcW w:w="0" w:type="auto"/>
            <w:shd w:val="clear" w:color="auto" w:fill="auto"/>
            <w:vAlign w:val="center"/>
          </w:tcPr>
          <w:p w14:paraId="72F12C4E" w14:textId="516D088E"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highlight w:val="magenta"/>
              </w:rPr>
              <w:t>Black</w:t>
            </w:r>
            <w:r w:rsidR="3341BD48" w:rsidRPr="00B85D62">
              <w:rPr>
                <w:rFonts w:eastAsia="Arial" w:cs="Arial"/>
                <w:sz w:val="16"/>
                <w:szCs w:val="16"/>
              </w:rPr>
              <w:t xml:space="preserve">/British </w:t>
            </w:r>
            <w:r w:rsidR="3341BD48" w:rsidRPr="00B85D62">
              <w:rPr>
                <w:rFonts w:eastAsia="Arial" w:cs="Arial"/>
                <w:sz w:val="16"/>
                <w:szCs w:val="16"/>
                <w:highlight w:val="magenta"/>
              </w:rPr>
              <w:t>Black</w:t>
            </w:r>
          </w:p>
        </w:tc>
        <w:tc>
          <w:tcPr>
            <w:tcW w:w="0" w:type="auto"/>
            <w:shd w:val="clear" w:color="auto" w:fill="auto"/>
            <w:vAlign w:val="center"/>
          </w:tcPr>
          <w:p w14:paraId="53C74661" w14:textId="6ADB765F" w:rsidR="3341BD48" w:rsidRPr="00B85D62" w:rsidRDefault="3341BD48" w:rsidP="0066232B">
            <w:pPr>
              <w:jc w:val="center"/>
              <w:rPr>
                <w:rFonts w:eastAsia="Arial" w:cs="Arial"/>
                <w:sz w:val="16"/>
                <w:szCs w:val="16"/>
              </w:rPr>
            </w:pPr>
            <w:r w:rsidRPr="00B85D62">
              <w:rPr>
                <w:rFonts w:eastAsia="Arial" w:cs="Arial"/>
                <w:sz w:val="16"/>
                <w:szCs w:val="16"/>
              </w:rPr>
              <w:t>26</w:t>
            </w:r>
          </w:p>
        </w:tc>
        <w:tc>
          <w:tcPr>
            <w:tcW w:w="0" w:type="auto"/>
            <w:shd w:val="clear" w:color="auto" w:fill="auto"/>
            <w:vAlign w:val="center"/>
          </w:tcPr>
          <w:p w14:paraId="20F461F0" w14:textId="736FC645" w:rsidR="3341BD48" w:rsidRPr="00B85D62" w:rsidRDefault="3341BD48" w:rsidP="0066232B">
            <w:pPr>
              <w:jc w:val="center"/>
              <w:rPr>
                <w:rFonts w:eastAsia="Arial" w:cs="Arial"/>
                <w:sz w:val="16"/>
                <w:szCs w:val="16"/>
              </w:rPr>
            </w:pPr>
            <w:r w:rsidRPr="00B85D62">
              <w:rPr>
                <w:rFonts w:eastAsia="Arial" w:cs="Arial"/>
                <w:sz w:val="16"/>
                <w:szCs w:val="16"/>
              </w:rPr>
              <w:t>0.9%</w:t>
            </w:r>
          </w:p>
        </w:tc>
        <w:tc>
          <w:tcPr>
            <w:tcW w:w="0" w:type="auto"/>
            <w:shd w:val="clear" w:color="auto" w:fill="auto"/>
            <w:vAlign w:val="center"/>
          </w:tcPr>
          <w:p w14:paraId="0F217094" w14:textId="76B85498" w:rsidR="3341BD48" w:rsidRPr="00B85D62" w:rsidRDefault="3341BD48" w:rsidP="0066232B">
            <w:pPr>
              <w:jc w:val="center"/>
              <w:rPr>
                <w:rFonts w:eastAsia="Arial" w:cs="Arial"/>
                <w:sz w:val="16"/>
                <w:szCs w:val="16"/>
              </w:rPr>
            </w:pPr>
            <w:r w:rsidRPr="00B85D62">
              <w:rPr>
                <w:rFonts w:eastAsia="Arial" w:cs="Arial"/>
                <w:sz w:val="16"/>
                <w:szCs w:val="16"/>
              </w:rPr>
              <w:t>10</w:t>
            </w:r>
          </w:p>
        </w:tc>
        <w:tc>
          <w:tcPr>
            <w:tcW w:w="0" w:type="auto"/>
            <w:shd w:val="clear" w:color="auto" w:fill="auto"/>
            <w:vAlign w:val="center"/>
          </w:tcPr>
          <w:p w14:paraId="717C408C" w14:textId="347A13AD" w:rsidR="3341BD48" w:rsidRPr="00B85D62" w:rsidRDefault="3341BD48" w:rsidP="0066232B">
            <w:pPr>
              <w:jc w:val="center"/>
              <w:rPr>
                <w:rFonts w:eastAsia="Arial" w:cs="Arial"/>
                <w:sz w:val="16"/>
                <w:szCs w:val="16"/>
              </w:rPr>
            </w:pPr>
            <w:r w:rsidRPr="00B85D62">
              <w:rPr>
                <w:rFonts w:eastAsia="Arial" w:cs="Arial"/>
                <w:sz w:val="16"/>
                <w:szCs w:val="16"/>
              </w:rPr>
              <w:t>1.3%</w:t>
            </w:r>
          </w:p>
        </w:tc>
        <w:tc>
          <w:tcPr>
            <w:tcW w:w="0" w:type="auto"/>
            <w:shd w:val="clear" w:color="auto" w:fill="auto"/>
            <w:vAlign w:val="center"/>
          </w:tcPr>
          <w:p w14:paraId="0B2B991B" w14:textId="369D54C2" w:rsidR="3341BD48" w:rsidRPr="00B85D62" w:rsidRDefault="3341BD48" w:rsidP="0066232B">
            <w:pPr>
              <w:jc w:val="center"/>
              <w:rPr>
                <w:rFonts w:eastAsia="Arial" w:cs="Arial"/>
                <w:sz w:val="16"/>
                <w:szCs w:val="16"/>
              </w:rPr>
            </w:pPr>
            <w:r w:rsidRPr="00B85D62">
              <w:rPr>
                <w:rFonts w:eastAsia="Arial" w:cs="Arial"/>
                <w:sz w:val="16"/>
                <w:szCs w:val="16"/>
              </w:rPr>
              <w:t>10</w:t>
            </w:r>
          </w:p>
        </w:tc>
        <w:tc>
          <w:tcPr>
            <w:tcW w:w="0" w:type="auto"/>
            <w:shd w:val="clear" w:color="auto" w:fill="auto"/>
            <w:vAlign w:val="center"/>
          </w:tcPr>
          <w:p w14:paraId="63C71CE3" w14:textId="4A5DF41C" w:rsidR="3341BD48" w:rsidRPr="00B85D62" w:rsidRDefault="3341BD48" w:rsidP="0066232B">
            <w:pPr>
              <w:jc w:val="center"/>
              <w:rPr>
                <w:rFonts w:eastAsia="Arial" w:cs="Arial"/>
                <w:sz w:val="16"/>
                <w:szCs w:val="16"/>
              </w:rPr>
            </w:pPr>
            <w:r w:rsidRPr="00B85D62">
              <w:rPr>
                <w:rFonts w:eastAsia="Arial" w:cs="Arial"/>
                <w:sz w:val="16"/>
                <w:szCs w:val="16"/>
              </w:rPr>
              <w:t>0.8%</w:t>
            </w:r>
          </w:p>
        </w:tc>
        <w:tc>
          <w:tcPr>
            <w:tcW w:w="0" w:type="auto"/>
            <w:shd w:val="clear" w:color="auto" w:fill="auto"/>
            <w:vAlign w:val="center"/>
          </w:tcPr>
          <w:p w14:paraId="571D15AA" w14:textId="35F626BA" w:rsidR="3341BD48" w:rsidRPr="00B85D62" w:rsidRDefault="3341BD48" w:rsidP="0066232B">
            <w:pPr>
              <w:jc w:val="center"/>
              <w:rPr>
                <w:rFonts w:eastAsia="Arial" w:cs="Arial"/>
                <w:sz w:val="16"/>
                <w:szCs w:val="16"/>
              </w:rPr>
            </w:pPr>
            <w:r w:rsidRPr="00B85D62">
              <w:rPr>
                <w:rFonts w:eastAsia="Arial" w:cs="Arial"/>
                <w:sz w:val="16"/>
                <w:szCs w:val="16"/>
              </w:rPr>
              <w:t>6</w:t>
            </w:r>
          </w:p>
        </w:tc>
        <w:tc>
          <w:tcPr>
            <w:tcW w:w="0" w:type="auto"/>
            <w:shd w:val="clear" w:color="auto" w:fill="auto"/>
            <w:vAlign w:val="center"/>
          </w:tcPr>
          <w:p w14:paraId="1E6BF399" w14:textId="4A8047E5" w:rsidR="3341BD48" w:rsidRPr="00B85D62" w:rsidRDefault="3341BD48" w:rsidP="0066232B">
            <w:pPr>
              <w:jc w:val="center"/>
              <w:rPr>
                <w:rFonts w:eastAsia="Arial" w:cs="Arial"/>
                <w:sz w:val="16"/>
                <w:szCs w:val="16"/>
              </w:rPr>
            </w:pPr>
            <w:r w:rsidRPr="00B85D62">
              <w:rPr>
                <w:rFonts w:eastAsia="Arial" w:cs="Arial"/>
                <w:sz w:val="16"/>
                <w:szCs w:val="16"/>
              </w:rPr>
              <w:t>0.7%</w:t>
            </w:r>
          </w:p>
        </w:tc>
      </w:tr>
      <w:tr w:rsidR="3341BD48" w:rsidRPr="00B85D62" w14:paraId="155C2947" w14:textId="77777777" w:rsidTr="00B85D62">
        <w:trPr>
          <w:cantSplit/>
        </w:trPr>
        <w:tc>
          <w:tcPr>
            <w:tcW w:w="0" w:type="auto"/>
            <w:shd w:val="clear" w:color="auto" w:fill="auto"/>
            <w:vAlign w:val="center"/>
          </w:tcPr>
          <w:p w14:paraId="20786ABE" w14:textId="708722C1"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Mixed</w:t>
            </w:r>
          </w:p>
        </w:tc>
        <w:tc>
          <w:tcPr>
            <w:tcW w:w="0" w:type="auto"/>
            <w:shd w:val="clear" w:color="auto" w:fill="auto"/>
            <w:vAlign w:val="center"/>
          </w:tcPr>
          <w:p w14:paraId="0AB2FBF5" w14:textId="192AA047" w:rsidR="3341BD48" w:rsidRPr="00B85D62" w:rsidRDefault="3341BD48" w:rsidP="0066232B">
            <w:pPr>
              <w:jc w:val="center"/>
              <w:rPr>
                <w:rFonts w:eastAsia="Arial" w:cs="Arial"/>
                <w:sz w:val="16"/>
                <w:szCs w:val="16"/>
              </w:rPr>
            </w:pPr>
            <w:r w:rsidRPr="00B85D62">
              <w:rPr>
                <w:rFonts w:eastAsia="Arial" w:cs="Arial"/>
                <w:sz w:val="16"/>
                <w:szCs w:val="16"/>
              </w:rPr>
              <w:t>10</w:t>
            </w:r>
          </w:p>
        </w:tc>
        <w:tc>
          <w:tcPr>
            <w:tcW w:w="0" w:type="auto"/>
            <w:shd w:val="clear" w:color="auto" w:fill="auto"/>
            <w:vAlign w:val="center"/>
          </w:tcPr>
          <w:p w14:paraId="5C8DFE22" w14:textId="2DE3FF20" w:rsidR="3341BD48" w:rsidRPr="00B85D62" w:rsidRDefault="3341BD48" w:rsidP="0066232B">
            <w:pPr>
              <w:jc w:val="center"/>
              <w:rPr>
                <w:rFonts w:eastAsia="Arial" w:cs="Arial"/>
                <w:sz w:val="16"/>
                <w:szCs w:val="16"/>
              </w:rPr>
            </w:pPr>
            <w:r w:rsidRPr="00B85D62">
              <w:rPr>
                <w:rFonts w:eastAsia="Arial" w:cs="Arial"/>
                <w:sz w:val="16"/>
                <w:szCs w:val="16"/>
              </w:rPr>
              <w:t>0.3%</w:t>
            </w:r>
          </w:p>
        </w:tc>
        <w:tc>
          <w:tcPr>
            <w:tcW w:w="0" w:type="auto"/>
            <w:shd w:val="clear" w:color="auto" w:fill="auto"/>
            <w:vAlign w:val="center"/>
          </w:tcPr>
          <w:p w14:paraId="22EFB459" w14:textId="5A9EBC08" w:rsidR="3341BD48" w:rsidRPr="00B85D62" w:rsidRDefault="3341BD48" w:rsidP="0066232B">
            <w:pPr>
              <w:jc w:val="center"/>
              <w:rPr>
                <w:rFonts w:eastAsia="Arial" w:cs="Arial"/>
                <w:sz w:val="16"/>
                <w:szCs w:val="16"/>
              </w:rPr>
            </w:pPr>
            <w:r w:rsidRPr="00B85D62">
              <w:rPr>
                <w:rFonts w:eastAsia="Arial" w:cs="Arial"/>
                <w:sz w:val="16"/>
                <w:szCs w:val="16"/>
              </w:rPr>
              <w:t>2</w:t>
            </w:r>
          </w:p>
        </w:tc>
        <w:tc>
          <w:tcPr>
            <w:tcW w:w="0" w:type="auto"/>
            <w:shd w:val="clear" w:color="auto" w:fill="auto"/>
            <w:vAlign w:val="center"/>
          </w:tcPr>
          <w:p w14:paraId="4523357D" w14:textId="58DC8A1A" w:rsidR="3341BD48" w:rsidRPr="00B85D62" w:rsidRDefault="3341BD48" w:rsidP="0066232B">
            <w:pPr>
              <w:jc w:val="center"/>
              <w:rPr>
                <w:rFonts w:eastAsia="Arial" w:cs="Arial"/>
                <w:sz w:val="16"/>
                <w:szCs w:val="16"/>
              </w:rPr>
            </w:pPr>
            <w:r w:rsidRPr="00B85D62">
              <w:rPr>
                <w:rFonts w:eastAsia="Arial" w:cs="Arial"/>
                <w:sz w:val="16"/>
                <w:szCs w:val="16"/>
              </w:rPr>
              <w:t>0.3%</w:t>
            </w:r>
          </w:p>
        </w:tc>
        <w:tc>
          <w:tcPr>
            <w:tcW w:w="0" w:type="auto"/>
            <w:shd w:val="clear" w:color="auto" w:fill="auto"/>
            <w:vAlign w:val="center"/>
          </w:tcPr>
          <w:p w14:paraId="2D290273" w14:textId="5926EB39" w:rsidR="3341BD48" w:rsidRPr="00B85D62" w:rsidRDefault="3341BD48" w:rsidP="0066232B">
            <w:pPr>
              <w:jc w:val="center"/>
              <w:rPr>
                <w:rFonts w:eastAsia="Arial" w:cs="Arial"/>
                <w:sz w:val="16"/>
                <w:szCs w:val="16"/>
              </w:rPr>
            </w:pPr>
            <w:r w:rsidRPr="00B85D62">
              <w:rPr>
                <w:rFonts w:eastAsia="Arial" w:cs="Arial"/>
                <w:sz w:val="16"/>
                <w:szCs w:val="16"/>
              </w:rPr>
              <w:t>4</w:t>
            </w:r>
          </w:p>
        </w:tc>
        <w:tc>
          <w:tcPr>
            <w:tcW w:w="0" w:type="auto"/>
            <w:shd w:val="clear" w:color="auto" w:fill="auto"/>
            <w:vAlign w:val="center"/>
          </w:tcPr>
          <w:p w14:paraId="7C100243" w14:textId="167B5B44" w:rsidR="3341BD48" w:rsidRPr="00B85D62" w:rsidRDefault="3341BD48" w:rsidP="0066232B">
            <w:pPr>
              <w:jc w:val="center"/>
              <w:rPr>
                <w:rFonts w:eastAsia="Arial" w:cs="Arial"/>
                <w:sz w:val="16"/>
                <w:szCs w:val="16"/>
              </w:rPr>
            </w:pPr>
            <w:r w:rsidRPr="00B85D62">
              <w:rPr>
                <w:rFonts w:eastAsia="Arial" w:cs="Arial"/>
                <w:sz w:val="16"/>
                <w:szCs w:val="16"/>
              </w:rPr>
              <w:t>0.3%</w:t>
            </w:r>
          </w:p>
        </w:tc>
        <w:tc>
          <w:tcPr>
            <w:tcW w:w="0" w:type="auto"/>
            <w:shd w:val="clear" w:color="auto" w:fill="auto"/>
            <w:vAlign w:val="center"/>
          </w:tcPr>
          <w:p w14:paraId="4E3BA53A" w14:textId="5D3EC623" w:rsidR="3341BD48" w:rsidRPr="00B85D62" w:rsidRDefault="3341BD48" w:rsidP="0066232B">
            <w:pPr>
              <w:jc w:val="center"/>
              <w:rPr>
                <w:rFonts w:eastAsia="Arial" w:cs="Arial"/>
                <w:sz w:val="16"/>
                <w:szCs w:val="16"/>
              </w:rPr>
            </w:pPr>
            <w:r w:rsidRPr="00B85D62">
              <w:rPr>
                <w:rFonts w:eastAsia="Arial" w:cs="Arial"/>
                <w:sz w:val="16"/>
                <w:szCs w:val="16"/>
              </w:rPr>
              <w:t>4</w:t>
            </w:r>
          </w:p>
        </w:tc>
        <w:tc>
          <w:tcPr>
            <w:tcW w:w="0" w:type="auto"/>
            <w:shd w:val="clear" w:color="auto" w:fill="auto"/>
            <w:vAlign w:val="center"/>
          </w:tcPr>
          <w:p w14:paraId="47E849B3" w14:textId="34BCCBE2" w:rsidR="3341BD48" w:rsidRPr="00B85D62" w:rsidRDefault="3341BD48" w:rsidP="0066232B">
            <w:pPr>
              <w:jc w:val="center"/>
              <w:rPr>
                <w:rFonts w:eastAsia="Arial" w:cs="Arial"/>
                <w:sz w:val="16"/>
                <w:szCs w:val="16"/>
              </w:rPr>
            </w:pPr>
            <w:r w:rsidRPr="00B85D62">
              <w:rPr>
                <w:rFonts w:eastAsia="Arial" w:cs="Arial"/>
                <w:sz w:val="16"/>
                <w:szCs w:val="16"/>
              </w:rPr>
              <w:t>0.5%</w:t>
            </w:r>
          </w:p>
        </w:tc>
      </w:tr>
      <w:tr w:rsidR="3341BD48" w:rsidRPr="00B85D62" w14:paraId="2E277D55" w14:textId="77777777" w:rsidTr="00B85D62">
        <w:trPr>
          <w:cantSplit/>
        </w:trPr>
        <w:tc>
          <w:tcPr>
            <w:tcW w:w="0" w:type="auto"/>
            <w:shd w:val="clear" w:color="auto" w:fill="auto"/>
            <w:vAlign w:val="center"/>
          </w:tcPr>
          <w:p w14:paraId="25E4C5A7" w14:textId="2BB823F8"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White</w:t>
            </w:r>
          </w:p>
        </w:tc>
        <w:tc>
          <w:tcPr>
            <w:tcW w:w="0" w:type="auto"/>
            <w:shd w:val="clear" w:color="auto" w:fill="auto"/>
            <w:vAlign w:val="center"/>
          </w:tcPr>
          <w:p w14:paraId="03A54FD5" w14:textId="1E785B9B" w:rsidR="3341BD48" w:rsidRPr="00B85D62" w:rsidRDefault="3341BD48" w:rsidP="0066232B">
            <w:pPr>
              <w:jc w:val="center"/>
              <w:rPr>
                <w:rFonts w:eastAsia="Arial" w:cs="Arial"/>
                <w:sz w:val="16"/>
                <w:szCs w:val="16"/>
              </w:rPr>
            </w:pPr>
            <w:r w:rsidRPr="00B85D62">
              <w:rPr>
                <w:rFonts w:eastAsia="Arial" w:cs="Arial"/>
                <w:sz w:val="16"/>
                <w:szCs w:val="16"/>
              </w:rPr>
              <w:t>2302</w:t>
            </w:r>
          </w:p>
        </w:tc>
        <w:tc>
          <w:tcPr>
            <w:tcW w:w="0" w:type="auto"/>
            <w:shd w:val="clear" w:color="auto" w:fill="auto"/>
            <w:vAlign w:val="center"/>
          </w:tcPr>
          <w:p w14:paraId="416F3C04" w14:textId="33CA7E96" w:rsidR="3341BD48" w:rsidRPr="00B85D62" w:rsidRDefault="3341BD48" w:rsidP="0066232B">
            <w:pPr>
              <w:jc w:val="center"/>
              <w:rPr>
                <w:rFonts w:eastAsia="Arial" w:cs="Arial"/>
                <w:sz w:val="16"/>
                <w:szCs w:val="16"/>
              </w:rPr>
            </w:pPr>
            <w:r w:rsidRPr="00B85D62">
              <w:rPr>
                <w:rFonts w:eastAsia="Arial" w:cs="Arial"/>
                <w:sz w:val="16"/>
                <w:szCs w:val="16"/>
              </w:rPr>
              <w:t>80.0%</w:t>
            </w:r>
          </w:p>
        </w:tc>
        <w:tc>
          <w:tcPr>
            <w:tcW w:w="0" w:type="auto"/>
            <w:shd w:val="clear" w:color="auto" w:fill="auto"/>
            <w:vAlign w:val="center"/>
          </w:tcPr>
          <w:p w14:paraId="15068DE2" w14:textId="24B3B570" w:rsidR="3341BD48" w:rsidRPr="00B85D62" w:rsidRDefault="3341BD48" w:rsidP="0066232B">
            <w:pPr>
              <w:jc w:val="center"/>
              <w:rPr>
                <w:rFonts w:eastAsia="Arial" w:cs="Arial"/>
                <w:sz w:val="16"/>
                <w:szCs w:val="16"/>
              </w:rPr>
            </w:pPr>
            <w:r w:rsidRPr="00B85D62">
              <w:rPr>
                <w:rFonts w:eastAsia="Arial" w:cs="Arial"/>
                <w:sz w:val="16"/>
                <w:szCs w:val="16"/>
              </w:rPr>
              <w:t>582</w:t>
            </w:r>
          </w:p>
        </w:tc>
        <w:tc>
          <w:tcPr>
            <w:tcW w:w="0" w:type="auto"/>
            <w:shd w:val="clear" w:color="auto" w:fill="auto"/>
            <w:vAlign w:val="center"/>
          </w:tcPr>
          <w:p w14:paraId="2F7769DC" w14:textId="4E7BDE80" w:rsidR="3341BD48" w:rsidRPr="00B85D62" w:rsidRDefault="3341BD48" w:rsidP="0066232B">
            <w:pPr>
              <w:jc w:val="center"/>
              <w:rPr>
                <w:rFonts w:eastAsia="Arial" w:cs="Arial"/>
                <w:sz w:val="16"/>
                <w:szCs w:val="16"/>
              </w:rPr>
            </w:pPr>
            <w:r w:rsidRPr="00B85D62">
              <w:rPr>
                <w:rFonts w:eastAsia="Arial" w:cs="Arial"/>
                <w:sz w:val="16"/>
                <w:szCs w:val="16"/>
              </w:rPr>
              <w:t>78.2%</w:t>
            </w:r>
          </w:p>
        </w:tc>
        <w:tc>
          <w:tcPr>
            <w:tcW w:w="0" w:type="auto"/>
            <w:shd w:val="clear" w:color="auto" w:fill="auto"/>
            <w:vAlign w:val="center"/>
          </w:tcPr>
          <w:p w14:paraId="5384B25C" w14:textId="608C29EC" w:rsidR="3341BD48" w:rsidRPr="00B85D62" w:rsidRDefault="3341BD48" w:rsidP="0066232B">
            <w:pPr>
              <w:jc w:val="center"/>
              <w:rPr>
                <w:rFonts w:eastAsia="Arial" w:cs="Arial"/>
                <w:sz w:val="16"/>
                <w:szCs w:val="16"/>
              </w:rPr>
            </w:pPr>
            <w:r w:rsidRPr="00B85D62">
              <w:rPr>
                <w:rFonts w:eastAsia="Arial" w:cs="Arial"/>
                <w:sz w:val="16"/>
                <w:szCs w:val="16"/>
              </w:rPr>
              <w:t>1029</w:t>
            </w:r>
          </w:p>
        </w:tc>
        <w:tc>
          <w:tcPr>
            <w:tcW w:w="0" w:type="auto"/>
            <w:shd w:val="clear" w:color="auto" w:fill="auto"/>
            <w:vAlign w:val="center"/>
          </w:tcPr>
          <w:p w14:paraId="6CECAA1B" w14:textId="3AC0E9E3" w:rsidR="3341BD48" w:rsidRPr="00B85D62" w:rsidRDefault="3341BD48" w:rsidP="0066232B">
            <w:pPr>
              <w:jc w:val="center"/>
              <w:rPr>
                <w:rFonts w:eastAsia="Arial" w:cs="Arial"/>
                <w:sz w:val="16"/>
                <w:szCs w:val="16"/>
              </w:rPr>
            </w:pPr>
            <w:r w:rsidRPr="00B85D62">
              <w:rPr>
                <w:rFonts w:eastAsia="Arial" w:cs="Arial"/>
                <w:sz w:val="16"/>
                <w:szCs w:val="16"/>
              </w:rPr>
              <w:t>79.7%</w:t>
            </w:r>
          </w:p>
        </w:tc>
        <w:tc>
          <w:tcPr>
            <w:tcW w:w="0" w:type="auto"/>
            <w:shd w:val="clear" w:color="auto" w:fill="auto"/>
            <w:vAlign w:val="center"/>
          </w:tcPr>
          <w:p w14:paraId="6F827CC8" w14:textId="323EAE13" w:rsidR="3341BD48" w:rsidRPr="00B85D62" w:rsidRDefault="3341BD48" w:rsidP="0066232B">
            <w:pPr>
              <w:jc w:val="center"/>
              <w:rPr>
                <w:rFonts w:eastAsia="Arial" w:cs="Arial"/>
                <w:sz w:val="16"/>
                <w:szCs w:val="16"/>
              </w:rPr>
            </w:pPr>
            <w:r w:rsidRPr="00B85D62">
              <w:rPr>
                <w:rFonts w:eastAsia="Arial" w:cs="Arial"/>
                <w:sz w:val="16"/>
                <w:szCs w:val="16"/>
              </w:rPr>
              <w:t>691</w:t>
            </w:r>
          </w:p>
        </w:tc>
        <w:tc>
          <w:tcPr>
            <w:tcW w:w="0" w:type="auto"/>
            <w:shd w:val="clear" w:color="auto" w:fill="auto"/>
            <w:vAlign w:val="center"/>
          </w:tcPr>
          <w:p w14:paraId="13E0802C" w14:textId="4144129B" w:rsidR="3341BD48" w:rsidRPr="00B85D62" w:rsidRDefault="3341BD48" w:rsidP="0066232B">
            <w:pPr>
              <w:jc w:val="center"/>
              <w:rPr>
                <w:rFonts w:eastAsia="Arial" w:cs="Arial"/>
                <w:sz w:val="16"/>
                <w:szCs w:val="16"/>
              </w:rPr>
            </w:pPr>
            <w:r w:rsidRPr="00B85D62">
              <w:rPr>
                <w:rFonts w:eastAsia="Arial" w:cs="Arial"/>
                <w:sz w:val="16"/>
                <w:szCs w:val="16"/>
              </w:rPr>
              <w:t>81.9%</w:t>
            </w:r>
          </w:p>
        </w:tc>
      </w:tr>
      <w:tr w:rsidR="3341BD48" w:rsidRPr="00B85D62" w14:paraId="579CF0DA" w14:textId="77777777" w:rsidTr="00B85D62">
        <w:trPr>
          <w:cantSplit/>
        </w:trPr>
        <w:tc>
          <w:tcPr>
            <w:tcW w:w="0" w:type="auto"/>
            <w:shd w:val="clear" w:color="auto" w:fill="auto"/>
            <w:vAlign w:val="center"/>
          </w:tcPr>
          <w:p w14:paraId="26970611" w14:textId="488373AA"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Other</w:t>
            </w:r>
          </w:p>
        </w:tc>
        <w:tc>
          <w:tcPr>
            <w:tcW w:w="0" w:type="auto"/>
            <w:shd w:val="clear" w:color="auto" w:fill="auto"/>
            <w:vAlign w:val="center"/>
          </w:tcPr>
          <w:p w14:paraId="615E2B92" w14:textId="7328F431" w:rsidR="3341BD48" w:rsidRPr="00B85D62" w:rsidRDefault="3341BD48" w:rsidP="0066232B">
            <w:pPr>
              <w:jc w:val="center"/>
              <w:rPr>
                <w:rFonts w:eastAsia="Arial" w:cs="Arial"/>
                <w:sz w:val="16"/>
                <w:szCs w:val="16"/>
              </w:rPr>
            </w:pPr>
            <w:r w:rsidRPr="00B85D62">
              <w:rPr>
                <w:rFonts w:eastAsia="Arial" w:cs="Arial"/>
                <w:sz w:val="16"/>
                <w:szCs w:val="16"/>
              </w:rPr>
              <w:t>33</w:t>
            </w:r>
          </w:p>
        </w:tc>
        <w:tc>
          <w:tcPr>
            <w:tcW w:w="0" w:type="auto"/>
            <w:shd w:val="clear" w:color="auto" w:fill="auto"/>
            <w:vAlign w:val="center"/>
          </w:tcPr>
          <w:p w14:paraId="4F2C5C4B" w14:textId="06E4E422" w:rsidR="3341BD48" w:rsidRPr="00B85D62" w:rsidRDefault="3341BD48" w:rsidP="0066232B">
            <w:pPr>
              <w:jc w:val="center"/>
              <w:rPr>
                <w:rFonts w:eastAsia="Arial" w:cs="Arial"/>
                <w:sz w:val="16"/>
                <w:szCs w:val="16"/>
              </w:rPr>
            </w:pPr>
            <w:r w:rsidRPr="00B85D62">
              <w:rPr>
                <w:rFonts w:eastAsia="Arial" w:cs="Arial"/>
                <w:sz w:val="16"/>
                <w:szCs w:val="16"/>
              </w:rPr>
              <w:t>1.1%</w:t>
            </w:r>
          </w:p>
        </w:tc>
        <w:tc>
          <w:tcPr>
            <w:tcW w:w="0" w:type="auto"/>
            <w:shd w:val="clear" w:color="auto" w:fill="auto"/>
            <w:vAlign w:val="center"/>
          </w:tcPr>
          <w:p w14:paraId="3318B7CB" w14:textId="64399483" w:rsidR="3341BD48" w:rsidRPr="00B85D62" w:rsidRDefault="3341BD48" w:rsidP="0066232B">
            <w:pPr>
              <w:jc w:val="center"/>
              <w:rPr>
                <w:rFonts w:eastAsia="Arial" w:cs="Arial"/>
                <w:sz w:val="16"/>
                <w:szCs w:val="16"/>
              </w:rPr>
            </w:pPr>
            <w:r w:rsidRPr="00B85D62">
              <w:rPr>
                <w:rFonts w:eastAsia="Arial" w:cs="Arial"/>
                <w:sz w:val="16"/>
                <w:szCs w:val="16"/>
              </w:rPr>
              <w:t>17</w:t>
            </w:r>
          </w:p>
        </w:tc>
        <w:tc>
          <w:tcPr>
            <w:tcW w:w="0" w:type="auto"/>
            <w:shd w:val="clear" w:color="auto" w:fill="auto"/>
            <w:vAlign w:val="center"/>
          </w:tcPr>
          <w:p w14:paraId="6D0B0506" w14:textId="2C6142A0" w:rsidR="3341BD48" w:rsidRPr="00B85D62" w:rsidRDefault="3341BD48" w:rsidP="0066232B">
            <w:pPr>
              <w:jc w:val="center"/>
              <w:rPr>
                <w:rFonts w:eastAsia="Arial" w:cs="Arial"/>
                <w:sz w:val="16"/>
                <w:szCs w:val="16"/>
              </w:rPr>
            </w:pPr>
            <w:r w:rsidRPr="00B85D62">
              <w:rPr>
                <w:rFonts w:eastAsia="Arial" w:cs="Arial"/>
                <w:sz w:val="16"/>
                <w:szCs w:val="16"/>
              </w:rPr>
              <w:t>2.3%</w:t>
            </w:r>
          </w:p>
        </w:tc>
        <w:tc>
          <w:tcPr>
            <w:tcW w:w="0" w:type="auto"/>
            <w:shd w:val="clear" w:color="auto" w:fill="auto"/>
            <w:vAlign w:val="center"/>
          </w:tcPr>
          <w:p w14:paraId="7CD924C8" w14:textId="0EE98C9B" w:rsidR="3341BD48" w:rsidRPr="00B85D62" w:rsidRDefault="3341BD48" w:rsidP="0066232B">
            <w:pPr>
              <w:jc w:val="center"/>
              <w:rPr>
                <w:rFonts w:eastAsia="Arial" w:cs="Arial"/>
                <w:sz w:val="16"/>
                <w:szCs w:val="16"/>
              </w:rPr>
            </w:pPr>
            <w:r w:rsidRPr="00B85D62">
              <w:rPr>
                <w:rFonts w:eastAsia="Arial" w:cs="Arial"/>
                <w:sz w:val="16"/>
                <w:szCs w:val="16"/>
              </w:rPr>
              <w:t>12</w:t>
            </w:r>
          </w:p>
        </w:tc>
        <w:tc>
          <w:tcPr>
            <w:tcW w:w="0" w:type="auto"/>
            <w:shd w:val="clear" w:color="auto" w:fill="auto"/>
            <w:vAlign w:val="center"/>
          </w:tcPr>
          <w:p w14:paraId="375EBA10" w14:textId="4A3AD4E2" w:rsidR="3341BD48" w:rsidRPr="00B85D62" w:rsidRDefault="3341BD48" w:rsidP="0066232B">
            <w:pPr>
              <w:jc w:val="center"/>
              <w:rPr>
                <w:rFonts w:eastAsia="Arial" w:cs="Arial"/>
                <w:sz w:val="16"/>
                <w:szCs w:val="16"/>
              </w:rPr>
            </w:pPr>
            <w:r w:rsidRPr="00B85D62">
              <w:rPr>
                <w:rFonts w:eastAsia="Arial" w:cs="Arial"/>
                <w:sz w:val="16"/>
                <w:szCs w:val="16"/>
              </w:rPr>
              <w:t>0.9%</w:t>
            </w:r>
          </w:p>
        </w:tc>
        <w:tc>
          <w:tcPr>
            <w:tcW w:w="0" w:type="auto"/>
            <w:shd w:val="clear" w:color="auto" w:fill="auto"/>
            <w:vAlign w:val="center"/>
          </w:tcPr>
          <w:p w14:paraId="799A781D" w14:textId="6EAEB0FE" w:rsidR="3341BD48" w:rsidRPr="00B85D62" w:rsidRDefault="3341BD48" w:rsidP="0066232B">
            <w:pPr>
              <w:jc w:val="center"/>
              <w:rPr>
                <w:rFonts w:eastAsia="Arial" w:cs="Arial"/>
                <w:sz w:val="16"/>
                <w:szCs w:val="16"/>
              </w:rPr>
            </w:pPr>
            <w:r w:rsidRPr="00B85D62">
              <w:rPr>
                <w:rFonts w:eastAsia="Arial" w:cs="Arial"/>
                <w:sz w:val="16"/>
                <w:szCs w:val="16"/>
              </w:rPr>
              <w:t>4</w:t>
            </w:r>
          </w:p>
        </w:tc>
        <w:tc>
          <w:tcPr>
            <w:tcW w:w="0" w:type="auto"/>
            <w:shd w:val="clear" w:color="auto" w:fill="auto"/>
            <w:vAlign w:val="center"/>
          </w:tcPr>
          <w:p w14:paraId="54AD4A78" w14:textId="4CEC5632" w:rsidR="3341BD48" w:rsidRPr="00B85D62" w:rsidRDefault="3341BD48" w:rsidP="0066232B">
            <w:pPr>
              <w:jc w:val="center"/>
              <w:rPr>
                <w:rFonts w:eastAsia="Arial" w:cs="Arial"/>
                <w:sz w:val="16"/>
                <w:szCs w:val="16"/>
              </w:rPr>
            </w:pPr>
            <w:r w:rsidRPr="00B85D62">
              <w:rPr>
                <w:rFonts w:eastAsia="Arial" w:cs="Arial"/>
                <w:sz w:val="16"/>
                <w:szCs w:val="16"/>
              </w:rPr>
              <w:t>0.5%</w:t>
            </w:r>
          </w:p>
        </w:tc>
      </w:tr>
      <w:tr w:rsidR="3341BD48" w:rsidRPr="00B85D62" w14:paraId="71F70B10" w14:textId="77777777" w:rsidTr="00B85D62">
        <w:trPr>
          <w:cantSplit/>
        </w:trPr>
        <w:tc>
          <w:tcPr>
            <w:tcW w:w="0" w:type="auto"/>
            <w:shd w:val="clear" w:color="auto" w:fill="auto"/>
            <w:vAlign w:val="center"/>
          </w:tcPr>
          <w:p w14:paraId="3665B7A9" w14:textId="6FC91966"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Unknown</w:t>
            </w:r>
          </w:p>
        </w:tc>
        <w:tc>
          <w:tcPr>
            <w:tcW w:w="0" w:type="auto"/>
            <w:shd w:val="clear" w:color="auto" w:fill="auto"/>
            <w:vAlign w:val="center"/>
          </w:tcPr>
          <w:p w14:paraId="6B494BF8" w14:textId="0C051BCA" w:rsidR="3341BD48" w:rsidRPr="00B85D62" w:rsidRDefault="3341BD48" w:rsidP="0066232B">
            <w:pPr>
              <w:jc w:val="center"/>
              <w:rPr>
                <w:rFonts w:eastAsia="Arial" w:cs="Arial"/>
                <w:sz w:val="16"/>
                <w:szCs w:val="16"/>
              </w:rPr>
            </w:pPr>
            <w:r w:rsidRPr="00B85D62">
              <w:rPr>
                <w:rFonts w:eastAsia="Arial" w:cs="Arial"/>
                <w:sz w:val="16"/>
                <w:szCs w:val="16"/>
              </w:rPr>
              <w:t>123</w:t>
            </w:r>
          </w:p>
        </w:tc>
        <w:tc>
          <w:tcPr>
            <w:tcW w:w="0" w:type="auto"/>
            <w:shd w:val="clear" w:color="auto" w:fill="auto"/>
            <w:vAlign w:val="center"/>
          </w:tcPr>
          <w:p w14:paraId="41B6530A" w14:textId="554FFC34" w:rsidR="3341BD48" w:rsidRPr="00B85D62" w:rsidRDefault="3341BD48" w:rsidP="0066232B">
            <w:pPr>
              <w:jc w:val="center"/>
              <w:rPr>
                <w:rFonts w:eastAsia="Arial" w:cs="Arial"/>
                <w:sz w:val="16"/>
                <w:szCs w:val="16"/>
              </w:rPr>
            </w:pPr>
            <w:r w:rsidRPr="00B85D62">
              <w:rPr>
                <w:rFonts w:eastAsia="Arial" w:cs="Arial"/>
                <w:sz w:val="16"/>
                <w:szCs w:val="16"/>
              </w:rPr>
              <w:t>4.3%</w:t>
            </w:r>
          </w:p>
        </w:tc>
        <w:tc>
          <w:tcPr>
            <w:tcW w:w="0" w:type="auto"/>
            <w:shd w:val="clear" w:color="auto" w:fill="auto"/>
            <w:vAlign w:val="center"/>
          </w:tcPr>
          <w:p w14:paraId="2DCEC741" w14:textId="62CD9FC7" w:rsidR="3341BD48" w:rsidRPr="00B85D62" w:rsidRDefault="3341BD48" w:rsidP="0066232B">
            <w:pPr>
              <w:jc w:val="center"/>
              <w:rPr>
                <w:rFonts w:eastAsia="Arial" w:cs="Arial"/>
                <w:sz w:val="16"/>
                <w:szCs w:val="16"/>
              </w:rPr>
            </w:pPr>
            <w:r w:rsidRPr="00B85D62">
              <w:rPr>
                <w:rFonts w:eastAsia="Arial" w:cs="Arial"/>
                <w:sz w:val="16"/>
                <w:szCs w:val="16"/>
              </w:rPr>
              <w:t>47</w:t>
            </w:r>
          </w:p>
        </w:tc>
        <w:tc>
          <w:tcPr>
            <w:tcW w:w="0" w:type="auto"/>
            <w:shd w:val="clear" w:color="auto" w:fill="auto"/>
            <w:vAlign w:val="center"/>
          </w:tcPr>
          <w:p w14:paraId="2AD49D00" w14:textId="3B8F35A5" w:rsidR="3341BD48" w:rsidRPr="00B85D62" w:rsidRDefault="3341BD48" w:rsidP="0066232B">
            <w:pPr>
              <w:jc w:val="center"/>
              <w:rPr>
                <w:rFonts w:eastAsia="Arial" w:cs="Arial"/>
                <w:sz w:val="16"/>
                <w:szCs w:val="16"/>
              </w:rPr>
            </w:pPr>
            <w:r w:rsidRPr="00B85D62">
              <w:rPr>
                <w:rFonts w:eastAsia="Arial" w:cs="Arial"/>
                <w:sz w:val="16"/>
                <w:szCs w:val="16"/>
              </w:rPr>
              <w:t>6.3%</w:t>
            </w:r>
          </w:p>
        </w:tc>
        <w:tc>
          <w:tcPr>
            <w:tcW w:w="0" w:type="auto"/>
            <w:shd w:val="clear" w:color="auto" w:fill="auto"/>
            <w:vAlign w:val="center"/>
          </w:tcPr>
          <w:p w14:paraId="75003545" w14:textId="6D344102" w:rsidR="3341BD48" w:rsidRPr="00B85D62" w:rsidRDefault="3341BD48" w:rsidP="0066232B">
            <w:pPr>
              <w:jc w:val="center"/>
              <w:rPr>
                <w:rFonts w:eastAsia="Arial" w:cs="Arial"/>
                <w:sz w:val="16"/>
                <w:szCs w:val="16"/>
              </w:rPr>
            </w:pPr>
            <w:r w:rsidRPr="00B85D62">
              <w:rPr>
                <w:rFonts w:eastAsia="Arial" w:cs="Arial"/>
                <w:sz w:val="16"/>
                <w:szCs w:val="16"/>
              </w:rPr>
              <w:t>47</w:t>
            </w:r>
          </w:p>
        </w:tc>
        <w:tc>
          <w:tcPr>
            <w:tcW w:w="0" w:type="auto"/>
            <w:shd w:val="clear" w:color="auto" w:fill="auto"/>
            <w:vAlign w:val="center"/>
          </w:tcPr>
          <w:p w14:paraId="29E1A42E" w14:textId="14322E6F" w:rsidR="3341BD48" w:rsidRPr="00B85D62" w:rsidRDefault="3341BD48" w:rsidP="0066232B">
            <w:pPr>
              <w:jc w:val="center"/>
              <w:rPr>
                <w:rFonts w:eastAsia="Arial" w:cs="Arial"/>
                <w:sz w:val="16"/>
                <w:szCs w:val="16"/>
              </w:rPr>
            </w:pPr>
            <w:r w:rsidRPr="00B85D62">
              <w:rPr>
                <w:rFonts w:eastAsia="Arial" w:cs="Arial"/>
                <w:sz w:val="16"/>
                <w:szCs w:val="16"/>
              </w:rPr>
              <w:t>3.6%</w:t>
            </w:r>
          </w:p>
        </w:tc>
        <w:tc>
          <w:tcPr>
            <w:tcW w:w="0" w:type="auto"/>
            <w:shd w:val="clear" w:color="auto" w:fill="auto"/>
            <w:vAlign w:val="center"/>
          </w:tcPr>
          <w:p w14:paraId="76E076BC" w14:textId="327221C4" w:rsidR="3341BD48" w:rsidRPr="00B85D62" w:rsidRDefault="3341BD48" w:rsidP="0066232B">
            <w:pPr>
              <w:jc w:val="center"/>
              <w:rPr>
                <w:rFonts w:eastAsia="Arial" w:cs="Arial"/>
                <w:sz w:val="16"/>
                <w:szCs w:val="16"/>
              </w:rPr>
            </w:pPr>
            <w:r w:rsidRPr="00B85D62">
              <w:rPr>
                <w:rFonts w:eastAsia="Arial" w:cs="Arial"/>
                <w:sz w:val="16"/>
                <w:szCs w:val="16"/>
              </w:rPr>
              <w:t>29</w:t>
            </w:r>
          </w:p>
        </w:tc>
        <w:tc>
          <w:tcPr>
            <w:tcW w:w="0" w:type="auto"/>
            <w:shd w:val="clear" w:color="auto" w:fill="auto"/>
            <w:vAlign w:val="center"/>
          </w:tcPr>
          <w:p w14:paraId="60F222A2" w14:textId="6545561A" w:rsidR="3341BD48" w:rsidRPr="00B85D62" w:rsidRDefault="3341BD48" w:rsidP="0066232B">
            <w:pPr>
              <w:jc w:val="center"/>
              <w:rPr>
                <w:rFonts w:eastAsia="Arial" w:cs="Arial"/>
                <w:sz w:val="16"/>
                <w:szCs w:val="16"/>
              </w:rPr>
            </w:pPr>
            <w:r w:rsidRPr="00B85D62">
              <w:rPr>
                <w:rFonts w:eastAsia="Arial" w:cs="Arial"/>
                <w:sz w:val="16"/>
                <w:szCs w:val="16"/>
              </w:rPr>
              <w:t>3.4%</w:t>
            </w:r>
          </w:p>
        </w:tc>
      </w:tr>
      <w:tr w:rsidR="3341BD48" w:rsidRPr="00B85D62" w14:paraId="6887F29E" w14:textId="77777777" w:rsidTr="00B85D62">
        <w:trPr>
          <w:cantSplit/>
        </w:trPr>
        <w:tc>
          <w:tcPr>
            <w:tcW w:w="0" w:type="auto"/>
            <w:shd w:val="clear" w:color="auto" w:fill="auto"/>
            <w:vAlign w:val="center"/>
          </w:tcPr>
          <w:p w14:paraId="1A232301" w14:textId="09286BC3"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Missing</w:t>
            </w:r>
          </w:p>
        </w:tc>
        <w:tc>
          <w:tcPr>
            <w:tcW w:w="0" w:type="auto"/>
            <w:shd w:val="clear" w:color="auto" w:fill="auto"/>
            <w:vAlign w:val="center"/>
          </w:tcPr>
          <w:p w14:paraId="75AB1883" w14:textId="1AFB40A5" w:rsidR="3341BD48" w:rsidRPr="00B85D62" w:rsidRDefault="3341BD48" w:rsidP="0066232B">
            <w:pPr>
              <w:jc w:val="center"/>
              <w:rPr>
                <w:rFonts w:eastAsia="Arial" w:cs="Arial"/>
                <w:sz w:val="16"/>
                <w:szCs w:val="16"/>
              </w:rPr>
            </w:pPr>
            <w:r w:rsidRPr="00B85D62">
              <w:rPr>
                <w:rFonts w:eastAsia="Arial" w:cs="Arial"/>
                <w:sz w:val="16"/>
                <w:szCs w:val="16"/>
              </w:rPr>
              <w:t>276</w:t>
            </w:r>
          </w:p>
        </w:tc>
        <w:tc>
          <w:tcPr>
            <w:tcW w:w="0" w:type="auto"/>
            <w:shd w:val="clear" w:color="auto" w:fill="auto"/>
            <w:vAlign w:val="center"/>
          </w:tcPr>
          <w:p w14:paraId="2354DB61" w14:textId="0EF5A58E" w:rsidR="3341BD48" w:rsidRPr="00B85D62" w:rsidRDefault="3341BD48" w:rsidP="0066232B">
            <w:pPr>
              <w:jc w:val="center"/>
              <w:rPr>
                <w:rFonts w:eastAsia="Arial" w:cs="Arial"/>
                <w:sz w:val="16"/>
                <w:szCs w:val="16"/>
              </w:rPr>
            </w:pPr>
            <w:r w:rsidRPr="00B85D62">
              <w:rPr>
                <w:rFonts w:eastAsia="Arial" w:cs="Arial"/>
                <w:sz w:val="16"/>
                <w:szCs w:val="16"/>
              </w:rPr>
              <w:t>9.6%</w:t>
            </w:r>
          </w:p>
        </w:tc>
        <w:tc>
          <w:tcPr>
            <w:tcW w:w="0" w:type="auto"/>
            <w:shd w:val="clear" w:color="auto" w:fill="auto"/>
            <w:vAlign w:val="center"/>
          </w:tcPr>
          <w:p w14:paraId="43701CAB" w14:textId="1C573E6B" w:rsidR="3341BD48" w:rsidRPr="00B85D62" w:rsidRDefault="3341BD48" w:rsidP="0066232B">
            <w:pPr>
              <w:jc w:val="center"/>
              <w:rPr>
                <w:rFonts w:eastAsia="Arial" w:cs="Arial"/>
                <w:sz w:val="16"/>
                <w:szCs w:val="16"/>
              </w:rPr>
            </w:pPr>
            <w:r w:rsidRPr="00B85D62">
              <w:rPr>
                <w:rFonts w:eastAsia="Arial" w:cs="Arial"/>
                <w:sz w:val="16"/>
                <w:szCs w:val="16"/>
              </w:rPr>
              <w:t>42</w:t>
            </w:r>
          </w:p>
        </w:tc>
        <w:tc>
          <w:tcPr>
            <w:tcW w:w="0" w:type="auto"/>
            <w:shd w:val="clear" w:color="auto" w:fill="auto"/>
            <w:vAlign w:val="center"/>
          </w:tcPr>
          <w:p w14:paraId="7D25BDE0" w14:textId="65B1652F" w:rsidR="3341BD48" w:rsidRPr="00B85D62" w:rsidRDefault="3341BD48" w:rsidP="0066232B">
            <w:pPr>
              <w:jc w:val="center"/>
              <w:rPr>
                <w:rFonts w:eastAsia="Arial" w:cs="Arial"/>
                <w:sz w:val="16"/>
                <w:szCs w:val="16"/>
              </w:rPr>
            </w:pPr>
            <w:r w:rsidRPr="00B85D62">
              <w:rPr>
                <w:rFonts w:eastAsia="Arial" w:cs="Arial"/>
                <w:sz w:val="16"/>
                <w:szCs w:val="16"/>
              </w:rPr>
              <w:t>5.6%</w:t>
            </w:r>
          </w:p>
        </w:tc>
        <w:tc>
          <w:tcPr>
            <w:tcW w:w="0" w:type="auto"/>
            <w:shd w:val="clear" w:color="auto" w:fill="auto"/>
            <w:vAlign w:val="center"/>
          </w:tcPr>
          <w:p w14:paraId="26521F21" w14:textId="2B20101B" w:rsidR="3341BD48" w:rsidRPr="00B85D62" w:rsidRDefault="3341BD48" w:rsidP="0066232B">
            <w:pPr>
              <w:jc w:val="center"/>
              <w:rPr>
                <w:rFonts w:eastAsia="Arial" w:cs="Arial"/>
                <w:sz w:val="16"/>
                <w:szCs w:val="16"/>
              </w:rPr>
            </w:pPr>
            <w:r w:rsidRPr="00B85D62">
              <w:rPr>
                <w:rFonts w:eastAsia="Arial" w:cs="Arial"/>
                <w:sz w:val="16"/>
                <w:szCs w:val="16"/>
              </w:rPr>
              <w:t>153</w:t>
            </w:r>
          </w:p>
        </w:tc>
        <w:tc>
          <w:tcPr>
            <w:tcW w:w="0" w:type="auto"/>
            <w:shd w:val="clear" w:color="auto" w:fill="auto"/>
            <w:vAlign w:val="center"/>
          </w:tcPr>
          <w:p w14:paraId="2D427F18" w14:textId="2CCDA531" w:rsidR="3341BD48" w:rsidRPr="00B85D62" w:rsidRDefault="3341BD48" w:rsidP="0066232B">
            <w:pPr>
              <w:jc w:val="center"/>
              <w:rPr>
                <w:rFonts w:eastAsia="Arial" w:cs="Arial"/>
                <w:sz w:val="16"/>
                <w:szCs w:val="16"/>
              </w:rPr>
            </w:pPr>
            <w:r w:rsidRPr="00B85D62">
              <w:rPr>
                <w:rFonts w:eastAsia="Arial" w:cs="Arial"/>
                <w:sz w:val="16"/>
                <w:szCs w:val="16"/>
              </w:rPr>
              <w:t>11.9%</w:t>
            </w:r>
          </w:p>
        </w:tc>
        <w:tc>
          <w:tcPr>
            <w:tcW w:w="0" w:type="auto"/>
            <w:shd w:val="clear" w:color="auto" w:fill="auto"/>
            <w:vAlign w:val="center"/>
          </w:tcPr>
          <w:p w14:paraId="54D939BC" w14:textId="5E6A7285" w:rsidR="3341BD48" w:rsidRPr="00B85D62" w:rsidRDefault="3341BD48" w:rsidP="0066232B">
            <w:pPr>
              <w:jc w:val="center"/>
              <w:rPr>
                <w:rFonts w:eastAsia="Arial" w:cs="Arial"/>
                <w:sz w:val="16"/>
                <w:szCs w:val="16"/>
              </w:rPr>
            </w:pPr>
            <w:r w:rsidRPr="00B85D62">
              <w:rPr>
                <w:rFonts w:eastAsia="Arial" w:cs="Arial"/>
                <w:sz w:val="16"/>
                <w:szCs w:val="16"/>
              </w:rPr>
              <w:t>81</w:t>
            </w:r>
          </w:p>
        </w:tc>
        <w:tc>
          <w:tcPr>
            <w:tcW w:w="0" w:type="auto"/>
            <w:shd w:val="clear" w:color="auto" w:fill="auto"/>
            <w:vAlign w:val="center"/>
          </w:tcPr>
          <w:p w14:paraId="5F9BB972" w14:textId="39C652A7" w:rsidR="3341BD48" w:rsidRPr="00B85D62" w:rsidRDefault="3341BD48" w:rsidP="0066232B">
            <w:pPr>
              <w:jc w:val="center"/>
              <w:rPr>
                <w:rFonts w:eastAsia="Arial" w:cs="Arial"/>
                <w:sz w:val="16"/>
                <w:szCs w:val="16"/>
              </w:rPr>
            </w:pPr>
            <w:r w:rsidRPr="00B85D62">
              <w:rPr>
                <w:rFonts w:eastAsia="Arial" w:cs="Arial"/>
                <w:sz w:val="16"/>
                <w:szCs w:val="16"/>
              </w:rPr>
              <w:t>9.6%</w:t>
            </w:r>
          </w:p>
        </w:tc>
      </w:tr>
      <w:tr w:rsidR="3341BD48" w:rsidRPr="00B85D62" w14:paraId="502FC093" w14:textId="77777777" w:rsidTr="00B85D62">
        <w:trPr>
          <w:cantSplit/>
        </w:trPr>
        <w:tc>
          <w:tcPr>
            <w:tcW w:w="0" w:type="auto"/>
            <w:shd w:val="clear" w:color="auto" w:fill="auto"/>
            <w:vAlign w:val="center"/>
          </w:tcPr>
          <w:p w14:paraId="36326DE4" w14:textId="0744E087" w:rsidR="3341BD48" w:rsidRPr="00B85D62" w:rsidRDefault="3341BD48" w:rsidP="0066232B">
            <w:pPr>
              <w:rPr>
                <w:rFonts w:eastAsia="Arial" w:cs="Arial"/>
                <w:sz w:val="16"/>
                <w:szCs w:val="16"/>
              </w:rPr>
            </w:pPr>
            <w:r w:rsidRPr="00B85D62">
              <w:rPr>
                <w:rFonts w:eastAsia="Arial" w:cs="Arial"/>
                <w:sz w:val="16"/>
                <w:szCs w:val="16"/>
              </w:rPr>
              <w:t>Deprivation index</w:t>
            </w:r>
          </w:p>
        </w:tc>
        <w:tc>
          <w:tcPr>
            <w:tcW w:w="0" w:type="auto"/>
            <w:shd w:val="clear" w:color="auto" w:fill="auto"/>
            <w:vAlign w:val="center"/>
          </w:tcPr>
          <w:p w14:paraId="5FA5CE15" w14:textId="620EA297" w:rsidR="3341BD48" w:rsidRPr="00B85D62" w:rsidRDefault="3341BD48" w:rsidP="0066232B">
            <w:pPr>
              <w:jc w:val="center"/>
              <w:rPr>
                <w:rFonts w:eastAsia="Arial" w:cs="Arial"/>
                <w:sz w:val="16"/>
                <w:szCs w:val="16"/>
              </w:rPr>
            </w:pPr>
          </w:p>
        </w:tc>
        <w:tc>
          <w:tcPr>
            <w:tcW w:w="0" w:type="auto"/>
            <w:shd w:val="clear" w:color="auto" w:fill="auto"/>
            <w:vAlign w:val="center"/>
          </w:tcPr>
          <w:p w14:paraId="761C43D6" w14:textId="145D9961" w:rsidR="3341BD48" w:rsidRPr="00B85D62" w:rsidRDefault="3341BD48" w:rsidP="0066232B">
            <w:pPr>
              <w:jc w:val="center"/>
              <w:rPr>
                <w:rFonts w:eastAsia="Arial" w:cs="Arial"/>
                <w:sz w:val="16"/>
                <w:szCs w:val="16"/>
              </w:rPr>
            </w:pPr>
          </w:p>
        </w:tc>
        <w:tc>
          <w:tcPr>
            <w:tcW w:w="0" w:type="auto"/>
            <w:shd w:val="clear" w:color="auto" w:fill="auto"/>
            <w:vAlign w:val="center"/>
          </w:tcPr>
          <w:p w14:paraId="45AFE114" w14:textId="3F351692" w:rsidR="3341BD48" w:rsidRPr="00B85D62" w:rsidRDefault="3341BD48" w:rsidP="0066232B">
            <w:pPr>
              <w:jc w:val="center"/>
              <w:rPr>
                <w:rFonts w:eastAsia="Arial" w:cs="Arial"/>
                <w:sz w:val="16"/>
                <w:szCs w:val="16"/>
              </w:rPr>
            </w:pPr>
          </w:p>
        </w:tc>
        <w:tc>
          <w:tcPr>
            <w:tcW w:w="0" w:type="auto"/>
            <w:shd w:val="clear" w:color="auto" w:fill="auto"/>
            <w:vAlign w:val="center"/>
          </w:tcPr>
          <w:p w14:paraId="7932A647" w14:textId="4266E16B" w:rsidR="3341BD48" w:rsidRPr="00B85D62" w:rsidRDefault="3341BD48" w:rsidP="0066232B">
            <w:pPr>
              <w:jc w:val="center"/>
              <w:rPr>
                <w:rFonts w:eastAsia="Arial" w:cs="Arial"/>
                <w:sz w:val="16"/>
                <w:szCs w:val="16"/>
              </w:rPr>
            </w:pPr>
          </w:p>
        </w:tc>
        <w:tc>
          <w:tcPr>
            <w:tcW w:w="0" w:type="auto"/>
            <w:shd w:val="clear" w:color="auto" w:fill="auto"/>
            <w:vAlign w:val="center"/>
          </w:tcPr>
          <w:p w14:paraId="64E6C69A" w14:textId="6F5DD97C" w:rsidR="3341BD48" w:rsidRPr="00B85D62" w:rsidRDefault="3341BD48" w:rsidP="0066232B">
            <w:pPr>
              <w:jc w:val="center"/>
              <w:rPr>
                <w:rFonts w:eastAsia="Arial" w:cs="Arial"/>
                <w:sz w:val="16"/>
                <w:szCs w:val="16"/>
              </w:rPr>
            </w:pPr>
          </w:p>
        </w:tc>
        <w:tc>
          <w:tcPr>
            <w:tcW w:w="0" w:type="auto"/>
            <w:shd w:val="clear" w:color="auto" w:fill="auto"/>
            <w:vAlign w:val="center"/>
          </w:tcPr>
          <w:p w14:paraId="0F6E697C" w14:textId="6E4CD477" w:rsidR="3341BD48" w:rsidRPr="00B85D62" w:rsidRDefault="3341BD48" w:rsidP="0066232B">
            <w:pPr>
              <w:jc w:val="center"/>
              <w:rPr>
                <w:rFonts w:eastAsia="Arial" w:cs="Arial"/>
                <w:sz w:val="16"/>
                <w:szCs w:val="16"/>
              </w:rPr>
            </w:pPr>
          </w:p>
        </w:tc>
        <w:tc>
          <w:tcPr>
            <w:tcW w:w="0" w:type="auto"/>
            <w:shd w:val="clear" w:color="auto" w:fill="auto"/>
            <w:vAlign w:val="center"/>
          </w:tcPr>
          <w:p w14:paraId="012470AB" w14:textId="0E0A671A" w:rsidR="3341BD48" w:rsidRPr="00B85D62" w:rsidRDefault="3341BD48" w:rsidP="0066232B">
            <w:pPr>
              <w:jc w:val="center"/>
              <w:rPr>
                <w:rFonts w:eastAsia="Arial" w:cs="Arial"/>
                <w:sz w:val="16"/>
                <w:szCs w:val="16"/>
              </w:rPr>
            </w:pPr>
          </w:p>
        </w:tc>
        <w:tc>
          <w:tcPr>
            <w:tcW w:w="0" w:type="auto"/>
            <w:shd w:val="clear" w:color="auto" w:fill="auto"/>
            <w:vAlign w:val="center"/>
          </w:tcPr>
          <w:p w14:paraId="65089167" w14:textId="60BCF0A7" w:rsidR="3341BD48" w:rsidRPr="00B85D62" w:rsidRDefault="3341BD48" w:rsidP="0066232B">
            <w:pPr>
              <w:jc w:val="center"/>
              <w:rPr>
                <w:rFonts w:eastAsia="Arial" w:cs="Arial"/>
                <w:sz w:val="16"/>
                <w:szCs w:val="16"/>
              </w:rPr>
            </w:pPr>
          </w:p>
        </w:tc>
      </w:tr>
      <w:tr w:rsidR="3341BD48" w:rsidRPr="00B85D62" w14:paraId="193E6A43" w14:textId="77777777" w:rsidTr="00B85D62">
        <w:trPr>
          <w:cantSplit/>
        </w:trPr>
        <w:tc>
          <w:tcPr>
            <w:tcW w:w="0" w:type="auto"/>
            <w:shd w:val="clear" w:color="auto" w:fill="auto"/>
            <w:vAlign w:val="center"/>
          </w:tcPr>
          <w:p w14:paraId="0E3CA236" w14:textId="11E833A4"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1 (least deprived)</w:t>
            </w:r>
          </w:p>
        </w:tc>
        <w:tc>
          <w:tcPr>
            <w:tcW w:w="0" w:type="auto"/>
            <w:shd w:val="clear" w:color="auto" w:fill="auto"/>
            <w:vAlign w:val="center"/>
          </w:tcPr>
          <w:p w14:paraId="495B9A96" w14:textId="1F1856E7" w:rsidR="3341BD48" w:rsidRPr="00B85D62" w:rsidRDefault="3341BD48" w:rsidP="0066232B">
            <w:pPr>
              <w:jc w:val="center"/>
              <w:rPr>
                <w:rFonts w:eastAsia="Arial" w:cs="Arial"/>
                <w:sz w:val="16"/>
                <w:szCs w:val="16"/>
              </w:rPr>
            </w:pPr>
            <w:r w:rsidRPr="00B85D62">
              <w:rPr>
                <w:rFonts w:eastAsia="Arial" w:cs="Arial"/>
                <w:sz w:val="16"/>
                <w:szCs w:val="16"/>
              </w:rPr>
              <w:t>854</w:t>
            </w:r>
          </w:p>
        </w:tc>
        <w:tc>
          <w:tcPr>
            <w:tcW w:w="0" w:type="auto"/>
            <w:shd w:val="clear" w:color="auto" w:fill="auto"/>
            <w:vAlign w:val="center"/>
          </w:tcPr>
          <w:p w14:paraId="483AEE12" w14:textId="14630ED6" w:rsidR="3341BD48" w:rsidRPr="00B85D62" w:rsidRDefault="3341BD48" w:rsidP="0066232B">
            <w:pPr>
              <w:jc w:val="center"/>
              <w:rPr>
                <w:rFonts w:eastAsia="Arial" w:cs="Arial"/>
                <w:sz w:val="16"/>
                <w:szCs w:val="16"/>
              </w:rPr>
            </w:pPr>
            <w:r w:rsidRPr="00B85D62">
              <w:rPr>
                <w:rFonts w:eastAsia="Arial" w:cs="Arial"/>
                <w:sz w:val="16"/>
                <w:szCs w:val="16"/>
              </w:rPr>
              <w:t>29.7%</w:t>
            </w:r>
          </w:p>
        </w:tc>
        <w:tc>
          <w:tcPr>
            <w:tcW w:w="0" w:type="auto"/>
            <w:shd w:val="clear" w:color="auto" w:fill="auto"/>
            <w:vAlign w:val="center"/>
          </w:tcPr>
          <w:p w14:paraId="6225059F" w14:textId="62618BF7" w:rsidR="3341BD48" w:rsidRPr="00B85D62" w:rsidRDefault="3341BD48" w:rsidP="0066232B">
            <w:pPr>
              <w:jc w:val="center"/>
              <w:rPr>
                <w:rFonts w:eastAsia="Arial" w:cs="Arial"/>
                <w:sz w:val="16"/>
                <w:szCs w:val="16"/>
              </w:rPr>
            </w:pPr>
            <w:r w:rsidRPr="00B85D62">
              <w:rPr>
                <w:rFonts w:eastAsia="Arial" w:cs="Arial"/>
                <w:sz w:val="16"/>
                <w:szCs w:val="16"/>
              </w:rPr>
              <w:t>206</w:t>
            </w:r>
          </w:p>
        </w:tc>
        <w:tc>
          <w:tcPr>
            <w:tcW w:w="0" w:type="auto"/>
            <w:shd w:val="clear" w:color="auto" w:fill="auto"/>
            <w:vAlign w:val="center"/>
          </w:tcPr>
          <w:p w14:paraId="20A518E3" w14:textId="26CE3D18" w:rsidR="3341BD48" w:rsidRPr="00B85D62" w:rsidRDefault="3341BD48" w:rsidP="0066232B">
            <w:pPr>
              <w:jc w:val="center"/>
              <w:rPr>
                <w:rFonts w:eastAsia="Arial" w:cs="Arial"/>
                <w:sz w:val="16"/>
                <w:szCs w:val="16"/>
              </w:rPr>
            </w:pPr>
            <w:r w:rsidRPr="00B85D62">
              <w:rPr>
                <w:rFonts w:eastAsia="Arial" w:cs="Arial"/>
                <w:sz w:val="16"/>
                <w:szCs w:val="16"/>
              </w:rPr>
              <w:t>27.7%</w:t>
            </w:r>
          </w:p>
        </w:tc>
        <w:tc>
          <w:tcPr>
            <w:tcW w:w="0" w:type="auto"/>
            <w:shd w:val="clear" w:color="auto" w:fill="auto"/>
            <w:vAlign w:val="center"/>
          </w:tcPr>
          <w:p w14:paraId="58F2DD04" w14:textId="4716A8D5" w:rsidR="3341BD48" w:rsidRPr="00B85D62" w:rsidRDefault="3341BD48" w:rsidP="0066232B">
            <w:pPr>
              <w:jc w:val="center"/>
              <w:rPr>
                <w:rFonts w:eastAsia="Arial" w:cs="Arial"/>
                <w:sz w:val="16"/>
                <w:szCs w:val="16"/>
              </w:rPr>
            </w:pPr>
            <w:r w:rsidRPr="00B85D62">
              <w:rPr>
                <w:rFonts w:eastAsia="Arial" w:cs="Arial"/>
                <w:sz w:val="16"/>
                <w:szCs w:val="16"/>
              </w:rPr>
              <w:t>394</w:t>
            </w:r>
          </w:p>
        </w:tc>
        <w:tc>
          <w:tcPr>
            <w:tcW w:w="0" w:type="auto"/>
            <w:shd w:val="clear" w:color="auto" w:fill="auto"/>
            <w:vAlign w:val="center"/>
          </w:tcPr>
          <w:p w14:paraId="27CF1376" w14:textId="35391C7A" w:rsidR="3341BD48" w:rsidRPr="00B85D62" w:rsidRDefault="3341BD48" w:rsidP="0066232B">
            <w:pPr>
              <w:jc w:val="center"/>
              <w:rPr>
                <w:rFonts w:eastAsia="Arial" w:cs="Arial"/>
                <w:sz w:val="16"/>
                <w:szCs w:val="16"/>
              </w:rPr>
            </w:pPr>
            <w:r w:rsidRPr="00B85D62">
              <w:rPr>
                <w:rFonts w:eastAsia="Arial" w:cs="Arial"/>
                <w:sz w:val="16"/>
                <w:szCs w:val="16"/>
              </w:rPr>
              <w:t>30.5%</w:t>
            </w:r>
          </w:p>
        </w:tc>
        <w:tc>
          <w:tcPr>
            <w:tcW w:w="0" w:type="auto"/>
            <w:shd w:val="clear" w:color="auto" w:fill="auto"/>
            <w:vAlign w:val="center"/>
          </w:tcPr>
          <w:p w14:paraId="1A4E2633" w14:textId="225910E1" w:rsidR="3341BD48" w:rsidRPr="00B85D62" w:rsidRDefault="3341BD48" w:rsidP="0066232B">
            <w:pPr>
              <w:jc w:val="center"/>
              <w:rPr>
                <w:rFonts w:eastAsia="Arial" w:cs="Arial"/>
                <w:sz w:val="16"/>
                <w:szCs w:val="16"/>
              </w:rPr>
            </w:pPr>
            <w:r w:rsidRPr="00B85D62">
              <w:rPr>
                <w:rFonts w:eastAsia="Arial" w:cs="Arial"/>
                <w:sz w:val="16"/>
                <w:szCs w:val="16"/>
              </w:rPr>
              <w:t>254</w:t>
            </w:r>
          </w:p>
        </w:tc>
        <w:tc>
          <w:tcPr>
            <w:tcW w:w="0" w:type="auto"/>
            <w:shd w:val="clear" w:color="auto" w:fill="auto"/>
            <w:vAlign w:val="center"/>
          </w:tcPr>
          <w:p w14:paraId="14F09419" w14:textId="27D239CA" w:rsidR="3341BD48" w:rsidRPr="00B85D62" w:rsidRDefault="3341BD48" w:rsidP="0066232B">
            <w:pPr>
              <w:jc w:val="center"/>
              <w:rPr>
                <w:rFonts w:eastAsia="Arial" w:cs="Arial"/>
                <w:sz w:val="16"/>
                <w:szCs w:val="16"/>
              </w:rPr>
            </w:pPr>
            <w:r w:rsidRPr="00B85D62">
              <w:rPr>
                <w:rFonts w:eastAsia="Arial" w:cs="Arial"/>
                <w:sz w:val="16"/>
                <w:szCs w:val="16"/>
              </w:rPr>
              <w:t>30.1%</w:t>
            </w:r>
          </w:p>
        </w:tc>
      </w:tr>
      <w:tr w:rsidR="3341BD48" w:rsidRPr="00B85D62" w14:paraId="791D8560" w14:textId="77777777" w:rsidTr="00B85D62">
        <w:trPr>
          <w:cantSplit/>
        </w:trPr>
        <w:tc>
          <w:tcPr>
            <w:tcW w:w="0" w:type="auto"/>
            <w:shd w:val="clear" w:color="auto" w:fill="auto"/>
            <w:vAlign w:val="center"/>
          </w:tcPr>
          <w:p w14:paraId="733608AC" w14:textId="0A42FEF3"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2</w:t>
            </w:r>
          </w:p>
        </w:tc>
        <w:tc>
          <w:tcPr>
            <w:tcW w:w="0" w:type="auto"/>
            <w:shd w:val="clear" w:color="auto" w:fill="auto"/>
            <w:vAlign w:val="center"/>
          </w:tcPr>
          <w:p w14:paraId="79A9933C" w14:textId="57690101" w:rsidR="3341BD48" w:rsidRPr="00B85D62" w:rsidRDefault="3341BD48" w:rsidP="0066232B">
            <w:pPr>
              <w:jc w:val="center"/>
              <w:rPr>
                <w:rFonts w:eastAsia="Arial" w:cs="Arial"/>
                <w:sz w:val="16"/>
                <w:szCs w:val="16"/>
              </w:rPr>
            </w:pPr>
            <w:r w:rsidRPr="00B85D62">
              <w:rPr>
                <w:rFonts w:eastAsia="Arial" w:cs="Arial"/>
                <w:sz w:val="16"/>
                <w:szCs w:val="16"/>
              </w:rPr>
              <w:t>687</w:t>
            </w:r>
          </w:p>
        </w:tc>
        <w:tc>
          <w:tcPr>
            <w:tcW w:w="0" w:type="auto"/>
            <w:shd w:val="clear" w:color="auto" w:fill="auto"/>
            <w:vAlign w:val="center"/>
          </w:tcPr>
          <w:p w14:paraId="1B40E4FF" w14:textId="06460107" w:rsidR="3341BD48" w:rsidRPr="00B85D62" w:rsidRDefault="3341BD48" w:rsidP="0066232B">
            <w:pPr>
              <w:jc w:val="center"/>
              <w:rPr>
                <w:rFonts w:eastAsia="Arial" w:cs="Arial"/>
                <w:sz w:val="16"/>
                <w:szCs w:val="16"/>
              </w:rPr>
            </w:pPr>
            <w:r w:rsidRPr="00B85D62">
              <w:rPr>
                <w:rFonts w:eastAsia="Arial" w:cs="Arial"/>
                <w:sz w:val="16"/>
                <w:szCs w:val="16"/>
              </w:rPr>
              <w:t>23.9%</w:t>
            </w:r>
          </w:p>
        </w:tc>
        <w:tc>
          <w:tcPr>
            <w:tcW w:w="0" w:type="auto"/>
            <w:shd w:val="clear" w:color="auto" w:fill="auto"/>
            <w:vAlign w:val="center"/>
          </w:tcPr>
          <w:p w14:paraId="13F3D5F9" w14:textId="74627689" w:rsidR="3341BD48" w:rsidRPr="00B85D62" w:rsidRDefault="3341BD48" w:rsidP="0066232B">
            <w:pPr>
              <w:jc w:val="center"/>
              <w:rPr>
                <w:rFonts w:eastAsia="Arial" w:cs="Arial"/>
                <w:sz w:val="16"/>
                <w:szCs w:val="16"/>
              </w:rPr>
            </w:pPr>
            <w:r w:rsidRPr="00B85D62">
              <w:rPr>
                <w:rFonts w:eastAsia="Arial" w:cs="Arial"/>
                <w:sz w:val="16"/>
                <w:szCs w:val="16"/>
              </w:rPr>
              <w:t>182</w:t>
            </w:r>
          </w:p>
        </w:tc>
        <w:tc>
          <w:tcPr>
            <w:tcW w:w="0" w:type="auto"/>
            <w:shd w:val="clear" w:color="auto" w:fill="auto"/>
            <w:vAlign w:val="center"/>
          </w:tcPr>
          <w:p w14:paraId="221A4140" w14:textId="03C5C32F" w:rsidR="3341BD48" w:rsidRPr="00B85D62" w:rsidRDefault="3341BD48" w:rsidP="0066232B">
            <w:pPr>
              <w:jc w:val="center"/>
              <w:rPr>
                <w:rFonts w:eastAsia="Arial" w:cs="Arial"/>
                <w:sz w:val="16"/>
                <w:szCs w:val="16"/>
              </w:rPr>
            </w:pPr>
            <w:r w:rsidRPr="00B85D62">
              <w:rPr>
                <w:rFonts w:eastAsia="Arial" w:cs="Arial"/>
                <w:sz w:val="16"/>
                <w:szCs w:val="16"/>
              </w:rPr>
              <w:t>24.5%</w:t>
            </w:r>
          </w:p>
        </w:tc>
        <w:tc>
          <w:tcPr>
            <w:tcW w:w="0" w:type="auto"/>
            <w:shd w:val="clear" w:color="auto" w:fill="auto"/>
            <w:vAlign w:val="center"/>
          </w:tcPr>
          <w:p w14:paraId="7058FD16" w14:textId="0183CBE7" w:rsidR="3341BD48" w:rsidRPr="00B85D62" w:rsidRDefault="3341BD48" w:rsidP="0066232B">
            <w:pPr>
              <w:jc w:val="center"/>
              <w:rPr>
                <w:rFonts w:eastAsia="Arial" w:cs="Arial"/>
                <w:sz w:val="16"/>
                <w:szCs w:val="16"/>
              </w:rPr>
            </w:pPr>
            <w:r w:rsidRPr="00B85D62">
              <w:rPr>
                <w:rFonts w:eastAsia="Arial" w:cs="Arial"/>
                <w:sz w:val="16"/>
                <w:szCs w:val="16"/>
              </w:rPr>
              <w:t>312</w:t>
            </w:r>
          </w:p>
        </w:tc>
        <w:tc>
          <w:tcPr>
            <w:tcW w:w="0" w:type="auto"/>
            <w:shd w:val="clear" w:color="auto" w:fill="auto"/>
            <w:vAlign w:val="center"/>
          </w:tcPr>
          <w:p w14:paraId="115C274E" w14:textId="0B5797FB" w:rsidR="3341BD48" w:rsidRPr="00B85D62" w:rsidRDefault="3341BD48" w:rsidP="0066232B">
            <w:pPr>
              <w:jc w:val="center"/>
              <w:rPr>
                <w:rFonts w:eastAsia="Arial" w:cs="Arial"/>
                <w:sz w:val="16"/>
                <w:szCs w:val="16"/>
              </w:rPr>
            </w:pPr>
            <w:r w:rsidRPr="00B85D62">
              <w:rPr>
                <w:rFonts w:eastAsia="Arial" w:cs="Arial"/>
                <w:sz w:val="16"/>
                <w:szCs w:val="16"/>
              </w:rPr>
              <w:t>24.2%</w:t>
            </w:r>
          </w:p>
        </w:tc>
        <w:tc>
          <w:tcPr>
            <w:tcW w:w="0" w:type="auto"/>
            <w:shd w:val="clear" w:color="auto" w:fill="auto"/>
            <w:vAlign w:val="center"/>
          </w:tcPr>
          <w:p w14:paraId="3C6DE442" w14:textId="3F8B81A7" w:rsidR="3341BD48" w:rsidRPr="00B85D62" w:rsidRDefault="3341BD48" w:rsidP="0066232B">
            <w:pPr>
              <w:jc w:val="center"/>
              <w:rPr>
                <w:rFonts w:eastAsia="Arial" w:cs="Arial"/>
                <w:sz w:val="16"/>
                <w:szCs w:val="16"/>
              </w:rPr>
            </w:pPr>
            <w:r w:rsidRPr="00B85D62">
              <w:rPr>
                <w:rFonts w:eastAsia="Arial" w:cs="Arial"/>
                <w:sz w:val="16"/>
                <w:szCs w:val="16"/>
              </w:rPr>
              <w:t>193</w:t>
            </w:r>
          </w:p>
        </w:tc>
        <w:tc>
          <w:tcPr>
            <w:tcW w:w="0" w:type="auto"/>
            <w:shd w:val="clear" w:color="auto" w:fill="auto"/>
            <w:vAlign w:val="center"/>
          </w:tcPr>
          <w:p w14:paraId="3EBAC23F" w14:textId="73AB8A7C" w:rsidR="3341BD48" w:rsidRPr="00B85D62" w:rsidRDefault="3341BD48" w:rsidP="0066232B">
            <w:pPr>
              <w:jc w:val="center"/>
              <w:rPr>
                <w:rFonts w:eastAsia="Arial" w:cs="Arial"/>
                <w:sz w:val="16"/>
                <w:szCs w:val="16"/>
              </w:rPr>
            </w:pPr>
            <w:r w:rsidRPr="00B85D62">
              <w:rPr>
                <w:rFonts w:eastAsia="Arial" w:cs="Arial"/>
                <w:sz w:val="16"/>
                <w:szCs w:val="16"/>
              </w:rPr>
              <w:t>22.9%</w:t>
            </w:r>
          </w:p>
        </w:tc>
      </w:tr>
      <w:tr w:rsidR="3341BD48" w:rsidRPr="00B85D62" w14:paraId="2A4B6B95" w14:textId="77777777" w:rsidTr="00B85D62">
        <w:trPr>
          <w:cantSplit/>
        </w:trPr>
        <w:tc>
          <w:tcPr>
            <w:tcW w:w="0" w:type="auto"/>
            <w:shd w:val="clear" w:color="auto" w:fill="auto"/>
            <w:vAlign w:val="center"/>
          </w:tcPr>
          <w:p w14:paraId="153EC38F" w14:textId="4F3794B6"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3</w:t>
            </w:r>
          </w:p>
        </w:tc>
        <w:tc>
          <w:tcPr>
            <w:tcW w:w="0" w:type="auto"/>
            <w:shd w:val="clear" w:color="auto" w:fill="auto"/>
            <w:vAlign w:val="center"/>
          </w:tcPr>
          <w:p w14:paraId="5E2401EF" w14:textId="12733DFE" w:rsidR="3341BD48" w:rsidRPr="00B85D62" w:rsidRDefault="3341BD48" w:rsidP="0066232B">
            <w:pPr>
              <w:jc w:val="center"/>
              <w:rPr>
                <w:rFonts w:eastAsia="Arial" w:cs="Arial"/>
                <w:sz w:val="16"/>
                <w:szCs w:val="16"/>
              </w:rPr>
            </w:pPr>
            <w:r w:rsidRPr="00B85D62">
              <w:rPr>
                <w:rFonts w:eastAsia="Arial" w:cs="Arial"/>
                <w:sz w:val="16"/>
                <w:szCs w:val="16"/>
              </w:rPr>
              <w:t>565</w:t>
            </w:r>
          </w:p>
        </w:tc>
        <w:tc>
          <w:tcPr>
            <w:tcW w:w="0" w:type="auto"/>
            <w:shd w:val="clear" w:color="auto" w:fill="auto"/>
            <w:vAlign w:val="center"/>
          </w:tcPr>
          <w:p w14:paraId="26F23C61" w14:textId="569213CE" w:rsidR="3341BD48" w:rsidRPr="00B85D62" w:rsidRDefault="3341BD48" w:rsidP="0066232B">
            <w:pPr>
              <w:jc w:val="center"/>
              <w:rPr>
                <w:rFonts w:eastAsia="Arial" w:cs="Arial"/>
                <w:sz w:val="16"/>
                <w:szCs w:val="16"/>
              </w:rPr>
            </w:pPr>
            <w:r w:rsidRPr="00B85D62">
              <w:rPr>
                <w:rFonts w:eastAsia="Arial" w:cs="Arial"/>
                <w:sz w:val="16"/>
                <w:szCs w:val="16"/>
              </w:rPr>
              <w:t>19.6%</w:t>
            </w:r>
          </w:p>
        </w:tc>
        <w:tc>
          <w:tcPr>
            <w:tcW w:w="0" w:type="auto"/>
            <w:shd w:val="clear" w:color="auto" w:fill="auto"/>
            <w:vAlign w:val="center"/>
          </w:tcPr>
          <w:p w14:paraId="58C165C7" w14:textId="223035AE" w:rsidR="3341BD48" w:rsidRPr="00B85D62" w:rsidRDefault="3341BD48" w:rsidP="0066232B">
            <w:pPr>
              <w:jc w:val="center"/>
              <w:rPr>
                <w:rFonts w:eastAsia="Arial" w:cs="Arial"/>
                <w:sz w:val="16"/>
                <w:szCs w:val="16"/>
              </w:rPr>
            </w:pPr>
            <w:r w:rsidRPr="00B85D62">
              <w:rPr>
                <w:rFonts w:eastAsia="Arial" w:cs="Arial"/>
                <w:sz w:val="16"/>
                <w:szCs w:val="16"/>
              </w:rPr>
              <w:t>138</w:t>
            </w:r>
          </w:p>
        </w:tc>
        <w:tc>
          <w:tcPr>
            <w:tcW w:w="0" w:type="auto"/>
            <w:shd w:val="clear" w:color="auto" w:fill="auto"/>
            <w:vAlign w:val="center"/>
          </w:tcPr>
          <w:p w14:paraId="435FCB1A" w14:textId="421243A0" w:rsidR="3341BD48" w:rsidRPr="00B85D62" w:rsidRDefault="3341BD48" w:rsidP="0066232B">
            <w:pPr>
              <w:jc w:val="center"/>
              <w:rPr>
                <w:rFonts w:eastAsia="Arial" w:cs="Arial"/>
                <w:sz w:val="16"/>
                <w:szCs w:val="16"/>
              </w:rPr>
            </w:pPr>
            <w:r w:rsidRPr="00B85D62">
              <w:rPr>
                <w:rFonts w:eastAsia="Arial" w:cs="Arial"/>
                <w:sz w:val="16"/>
                <w:szCs w:val="16"/>
              </w:rPr>
              <w:t>18.5%</w:t>
            </w:r>
          </w:p>
        </w:tc>
        <w:tc>
          <w:tcPr>
            <w:tcW w:w="0" w:type="auto"/>
            <w:shd w:val="clear" w:color="auto" w:fill="auto"/>
            <w:vAlign w:val="center"/>
          </w:tcPr>
          <w:p w14:paraId="3BBFEFB1" w14:textId="2AB30D93" w:rsidR="3341BD48" w:rsidRPr="00B85D62" w:rsidRDefault="3341BD48" w:rsidP="0066232B">
            <w:pPr>
              <w:jc w:val="center"/>
              <w:rPr>
                <w:rFonts w:eastAsia="Arial" w:cs="Arial"/>
                <w:sz w:val="16"/>
                <w:szCs w:val="16"/>
              </w:rPr>
            </w:pPr>
            <w:r w:rsidRPr="00B85D62">
              <w:rPr>
                <w:rFonts w:eastAsia="Arial" w:cs="Arial"/>
                <w:sz w:val="16"/>
                <w:szCs w:val="16"/>
              </w:rPr>
              <w:t>261</w:t>
            </w:r>
          </w:p>
        </w:tc>
        <w:tc>
          <w:tcPr>
            <w:tcW w:w="0" w:type="auto"/>
            <w:shd w:val="clear" w:color="auto" w:fill="auto"/>
            <w:vAlign w:val="center"/>
          </w:tcPr>
          <w:p w14:paraId="5C5667C3" w14:textId="7640FA4A" w:rsidR="3341BD48" w:rsidRPr="00B85D62" w:rsidRDefault="3341BD48" w:rsidP="0066232B">
            <w:pPr>
              <w:jc w:val="center"/>
              <w:rPr>
                <w:rFonts w:eastAsia="Arial" w:cs="Arial"/>
                <w:sz w:val="16"/>
                <w:szCs w:val="16"/>
              </w:rPr>
            </w:pPr>
            <w:r w:rsidRPr="00B85D62">
              <w:rPr>
                <w:rFonts w:eastAsia="Arial" w:cs="Arial"/>
                <w:sz w:val="16"/>
                <w:szCs w:val="16"/>
              </w:rPr>
              <w:t>20.2%</w:t>
            </w:r>
          </w:p>
        </w:tc>
        <w:tc>
          <w:tcPr>
            <w:tcW w:w="0" w:type="auto"/>
            <w:shd w:val="clear" w:color="auto" w:fill="auto"/>
            <w:vAlign w:val="center"/>
          </w:tcPr>
          <w:p w14:paraId="19333585" w14:textId="6E2678F9" w:rsidR="3341BD48" w:rsidRPr="00B85D62" w:rsidRDefault="3341BD48" w:rsidP="0066232B">
            <w:pPr>
              <w:jc w:val="center"/>
              <w:rPr>
                <w:rFonts w:eastAsia="Arial" w:cs="Arial"/>
                <w:sz w:val="16"/>
                <w:szCs w:val="16"/>
              </w:rPr>
            </w:pPr>
            <w:r w:rsidRPr="00B85D62">
              <w:rPr>
                <w:rFonts w:eastAsia="Arial" w:cs="Arial"/>
                <w:sz w:val="16"/>
                <w:szCs w:val="16"/>
              </w:rPr>
              <w:t>166</w:t>
            </w:r>
          </w:p>
        </w:tc>
        <w:tc>
          <w:tcPr>
            <w:tcW w:w="0" w:type="auto"/>
            <w:shd w:val="clear" w:color="auto" w:fill="auto"/>
            <w:vAlign w:val="center"/>
          </w:tcPr>
          <w:p w14:paraId="2D0F7D1B" w14:textId="36A99C53" w:rsidR="3341BD48" w:rsidRPr="00B85D62" w:rsidRDefault="3341BD48" w:rsidP="0066232B">
            <w:pPr>
              <w:jc w:val="center"/>
              <w:rPr>
                <w:rFonts w:eastAsia="Arial" w:cs="Arial"/>
                <w:sz w:val="16"/>
                <w:szCs w:val="16"/>
              </w:rPr>
            </w:pPr>
            <w:r w:rsidRPr="00B85D62">
              <w:rPr>
                <w:rFonts w:eastAsia="Arial" w:cs="Arial"/>
                <w:sz w:val="16"/>
                <w:szCs w:val="16"/>
              </w:rPr>
              <w:t>19.7%</w:t>
            </w:r>
          </w:p>
        </w:tc>
      </w:tr>
      <w:tr w:rsidR="3341BD48" w:rsidRPr="00B85D62" w14:paraId="242180EF" w14:textId="77777777" w:rsidTr="00B85D62">
        <w:trPr>
          <w:cantSplit/>
        </w:trPr>
        <w:tc>
          <w:tcPr>
            <w:tcW w:w="0" w:type="auto"/>
            <w:shd w:val="clear" w:color="auto" w:fill="auto"/>
            <w:vAlign w:val="center"/>
          </w:tcPr>
          <w:p w14:paraId="2AC98E2F" w14:textId="1645A8A9"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4</w:t>
            </w:r>
          </w:p>
        </w:tc>
        <w:tc>
          <w:tcPr>
            <w:tcW w:w="0" w:type="auto"/>
            <w:shd w:val="clear" w:color="auto" w:fill="auto"/>
            <w:vAlign w:val="center"/>
          </w:tcPr>
          <w:p w14:paraId="4C24BEAB" w14:textId="7DA6CF1D" w:rsidR="3341BD48" w:rsidRPr="00B85D62" w:rsidRDefault="3341BD48" w:rsidP="0066232B">
            <w:pPr>
              <w:jc w:val="center"/>
              <w:rPr>
                <w:rFonts w:eastAsia="Arial" w:cs="Arial"/>
                <w:sz w:val="16"/>
                <w:szCs w:val="16"/>
              </w:rPr>
            </w:pPr>
            <w:r w:rsidRPr="00B85D62">
              <w:rPr>
                <w:rFonts w:eastAsia="Arial" w:cs="Arial"/>
                <w:sz w:val="16"/>
                <w:szCs w:val="16"/>
              </w:rPr>
              <w:t>474</w:t>
            </w:r>
          </w:p>
        </w:tc>
        <w:tc>
          <w:tcPr>
            <w:tcW w:w="0" w:type="auto"/>
            <w:shd w:val="clear" w:color="auto" w:fill="auto"/>
            <w:vAlign w:val="center"/>
          </w:tcPr>
          <w:p w14:paraId="361C955B" w14:textId="66B584AB" w:rsidR="3341BD48" w:rsidRPr="00B85D62" w:rsidRDefault="3341BD48" w:rsidP="0066232B">
            <w:pPr>
              <w:jc w:val="center"/>
              <w:rPr>
                <w:rFonts w:eastAsia="Arial" w:cs="Arial"/>
                <w:sz w:val="16"/>
                <w:szCs w:val="16"/>
              </w:rPr>
            </w:pPr>
            <w:r w:rsidRPr="00B85D62">
              <w:rPr>
                <w:rFonts w:eastAsia="Arial" w:cs="Arial"/>
                <w:sz w:val="16"/>
                <w:szCs w:val="16"/>
              </w:rPr>
              <w:t>16.5%</w:t>
            </w:r>
          </w:p>
        </w:tc>
        <w:tc>
          <w:tcPr>
            <w:tcW w:w="0" w:type="auto"/>
            <w:shd w:val="clear" w:color="auto" w:fill="auto"/>
            <w:vAlign w:val="center"/>
          </w:tcPr>
          <w:p w14:paraId="705BA422" w14:textId="0F6927A0" w:rsidR="3341BD48" w:rsidRPr="00B85D62" w:rsidRDefault="3341BD48" w:rsidP="0066232B">
            <w:pPr>
              <w:jc w:val="center"/>
              <w:rPr>
                <w:rFonts w:eastAsia="Arial" w:cs="Arial"/>
                <w:sz w:val="16"/>
                <w:szCs w:val="16"/>
              </w:rPr>
            </w:pPr>
            <w:r w:rsidRPr="00B85D62">
              <w:rPr>
                <w:rFonts w:eastAsia="Arial" w:cs="Arial"/>
                <w:sz w:val="16"/>
                <w:szCs w:val="16"/>
              </w:rPr>
              <w:t>139</w:t>
            </w:r>
          </w:p>
        </w:tc>
        <w:tc>
          <w:tcPr>
            <w:tcW w:w="0" w:type="auto"/>
            <w:shd w:val="clear" w:color="auto" w:fill="auto"/>
            <w:vAlign w:val="center"/>
          </w:tcPr>
          <w:p w14:paraId="30D3C4B9" w14:textId="590CC436" w:rsidR="3341BD48" w:rsidRPr="00B85D62" w:rsidRDefault="3341BD48" w:rsidP="0066232B">
            <w:pPr>
              <w:jc w:val="center"/>
              <w:rPr>
                <w:rFonts w:eastAsia="Arial" w:cs="Arial"/>
                <w:sz w:val="16"/>
                <w:szCs w:val="16"/>
              </w:rPr>
            </w:pPr>
            <w:r w:rsidRPr="00B85D62">
              <w:rPr>
                <w:rFonts w:eastAsia="Arial" w:cs="Arial"/>
                <w:sz w:val="16"/>
                <w:szCs w:val="16"/>
              </w:rPr>
              <w:t>18.7%</w:t>
            </w:r>
          </w:p>
        </w:tc>
        <w:tc>
          <w:tcPr>
            <w:tcW w:w="0" w:type="auto"/>
            <w:shd w:val="clear" w:color="auto" w:fill="auto"/>
            <w:vAlign w:val="center"/>
          </w:tcPr>
          <w:p w14:paraId="289BF87E" w14:textId="6F3DC2C0" w:rsidR="3341BD48" w:rsidRPr="00B85D62" w:rsidRDefault="3341BD48" w:rsidP="0066232B">
            <w:pPr>
              <w:jc w:val="center"/>
              <w:rPr>
                <w:rFonts w:eastAsia="Arial" w:cs="Arial"/>
                <w:sz w:val="16"/>
                <w:szCs w:val="16"/>
              </w:rPr>
            </w:pPr>
            <w:r w:rsidRPr="00B85D62">
              <w:rPr>
                <w:rFonts w:eastAsia="Arial" w:cs="Arial"/>
                <w:sz w:val="16"/>
                <w:szCs w:val="16"/>
              </w:rPr>
              <w:t>195</w:t>
            </w:r>
          </w:p>
        </w:tc>
        <w:tc>
          <w:tcPr>
            <w:tcW w:w="0" w:type="auto"/>
            <w:shd w:val="clear" w:color="auto" w:fill="auto"/>
            <w:vAlign w:val="center"/>
          </w:tcPr>
          <w:p w14:paraId="1C1445F7" w14:textId="33D2734C" w:rsidR="3341BD48" w:rsidRPr="00B85D62" w:rsidRDefault="3341BD48" w:rsidP="0066232B">
            <w:pPr>
              <w:jc w:val="center"/>
              <w:rPr>
                <w:rFonts w:eastAsia="Arial" w:cs="Arial"/>
                <w:sz w:val="16"/>
                <w:szCs w:val="16"/>
              </w:rPr>
            </w:pPr>
            <w:r w:rsidRPr="00B85D62">
              <w:rPr>
                <w:rFonts w:eastAsia="Arial" w:cs="Arial"/>
                <w:sz w:val="16"/>
                <w:szCs w:val="16"/>
              </w:rPr>
              <w:t>15.1%</w:t>
            </w:r>
          </w:p>
        </w:tc>
        <w:tc>
          <w:tcPr>
            <w:tcW w:w="0" w:type="auto"/>
            <w:shd w:val="clear" w:color="auto" w:fill="auto"/>
            <w:vAlign w:val="center"/>
          </w:tcPr>
          <w:p w14:paraId="2979B627" w14:textId="4435B94B" w:rsidR="3341BD48" w:rsidRPr="00B85D62" w:rsidRDefault="3341BD48" w:rsidP="0066232B">
            <w:pPr>
              <w:jc w:val="center"/>
              <w:rPr>
                <w:rFonts w:eastAsia="Arial" w:cs="Arial"/>
                <w:sz w:val="16"/>
                <w:szCs w:val="16"/>
              </w:rPr>
            </w:pPr>
            <w:r w:rsidRPr="00B85D62">
              <w:rPr>
                <w:rFonts w:eastAsia="Arial" w:cs="Arial"/>
                <w:sz w:val="16"/>
                <w:szCs w:val="16"/>
              </w:rPr>
              <w:t>140</w:t>
            </w:r>
          </w:p>
        </w:tc>
        <w:tc>
          <w:tcPr>
            <w:tcW w:w="0" w:type="auto"/>
            <w:shd w:val="clear" w:color="auto" w:fill="auto"/>
            <w:vAlign w:val="center"/>
          </w:tcPr>
          <w:p w14:paraId="3CDDA3AC" w14:textId="116F3645" w:rsidR="3341BD48" w:rsidRPr="00B85D62" w:rsidRDefault="3341BD48" w:rsidP="0066232B">
            <w:pPr>
              <w:jc w:val="center"/>
              <w:rPr>
                <w:rFonts w:eastAsia="Arial" w:cs="Arial"/>
                <w:sz w:val="16"/>
                <w:szCs w:val="16"/>
              </w:rPr>
            </w:pPr>
            <w:r w:rsidRPr="00B85D62">
              <w:rPr>
                <w:rFonts w:eastAsia="Arial" w:cs="Arial"/>
                <w:sz w:val="16"/>
                <w:szCs w:val="16"/>
              </w:rPr>
              <w:t>16.6%</w:t>
            </w:r>
          </w:p>
        </w:tc>
      </w:tr>
      <w:tr w:rsidR="3341BD48" w:rsidRPr="00B85D62" w14:paraId="6A5DBEC8" w14:textId="77777777" w:rsidTr="00B85D62">
        <w:trPr>
          <w:cantSplit/>
        </w:trPr>
        <w:tc>
          <w:tcPr>
            <w:tcW w:w="0" w:type="auto"/>
            <w:shd w:val="clear" w:color="auto" w:fill="auto"/>
            <w:vAlign w:val="center"/>
          </w:tcPr>
          <w:p w14:paraId="221C8532" w14:textId="5DD7DB7A"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5 (most deprived)</w:t>
            </w:r>
          </w:p>
        </w:tc>
        <w:tc>
          <w:tcPr>
            <w:tcW w:w="0" w:type="auto"/>
            <w:shd w:val="clear" w:color="auto" w:fill="auto"/>
            <w:vAlign w:val="center"/>
          </w:tcPr>
          <w:p w14:paraId="7CEB5206" w14:textId="7505A00E" w:rsidR="3341BD48" w:rsidRPr="00B85D62" w:rsidRDefault="3341BD48" w:rsidP="0066232B">
            <w:pPr>
              <w:jc w:val="center"/>
              <w:rPr>
                <w:rFonts w:eastAsia="Arial" w:cs="Arial"/>
                <w:sz w:val="16"/>
                <w:szCs w:val="16"/>
              </w:rPr>
            </w:pPr>
            <w:r w:rsidRPr="00B85D62">
              <w:rPr>
                <w:rFonts w:eastAsia="Arial" w:cs="Arial"/>
                <w:sz w:val="16"/>
                <w:szCs w:val="16"/>
              </w:rPr>
              <w:t>298</w:t>
            </w:r>
          </w:p>
        </w:tc>
        <w:tc>
          <w:tcPr>
            <w:tcW w:w="0" w:type="auto"/>
            <w:shd w:val="clear" w:color="auto" w:fill="auto"/>
            <w:vAlign w:val="center"/>
          </w:tcPr>
          <w:p w14:paraId="08DDB055" w14:textId="3FED2DFB" w:rsidR="3341BD48" w:rsidRPr="00B85D62" w:rsidRDefault="3341BD48" w:rsidP="0066232B">
            <w:pPr>
              <w:jc w:val="center"/>
              <w:rPr>
                <w:rFonts w:eastAsia="Arial" w:cs="Arial"/>
                <w:sz w:val="16"/>
                <w:szCs w:val="16"/>
              </w:rPr>
            </w:pPr>
            <w:r w:rsidRPr="00B85D62">
              <w:rPr>
                <w:rFonts w:eastAsia="Arial" w:cs="Arial"/>
                <w:sz w:val="16"/>
                <w:szCs w:val="16"/>
              </w:rPr>
              <w:t>10.4%</w:t>
            </w:r>
          </w:p>
        </w:tc>
        <w:tc>
          <w:tcPr>
            <w:tcW w:w="0" w:type="auto"/>
            <w:shd w:val="clear" w:color="auto" w:fill="auto"/>
            <w:vAlign w:val="center"/>
          </w:tcPr>
          <w:p w14:paraId="7917B356" w14:textId="2172DED2" w:rsidR="3341BD48" w:rsidRPr="00B85D62" w:rsidRDefault="3341BD48" w:rsidP="0066232B">
            <w:pPr>
              <w:jc w:val="center"/>
              <w:rPr>
                <w:rFonts w:eastAsia="Arial" w:cs="Arial"/>
                <w:sz w:val="16"/>
                <w:szCs w:val="16"/>
              </w:rPr>
            </w:pPr>
            <w:r w:rsidRPr="00B85D62">
              <w:rPr>
                <w:rFonts w:eastAsia="Arial" w:cs="Arial"/>
                <w:sz w:val="16"/>
                <w:szCs w:val="16"/>
              </w:rPr>
              <w:t>79</w:t>
            </w:r>
          </w:p>
        </w:tc>
        <w:tc>
          <w:tcPr>
            <w:tcW w:w="0" w:type="auto"/>
            <w:shd w:val="clear" w:color="auto" w:fill="auto"/>
            <w:vAlign w:val="center"/>
          </w:tcPr>
          <w:p w14:paraId="1363E5CA" w14:textId="09AB09D6" w:rsidR="3341BD48" w:rsidRPr="00B85D62" w:rsidRDefault="3341BD48" w:rsidP="0066232B">
            <w:pPr>
              <w:jc w:val="center"/>
              <w:rPr>
                <w:rFonts w:eastAsia="Arial" w:cs="Arial"/>
                <w:sz w:val="16"/>
                <w:szCs w:val="16"/>
              </w:rPr>
            </w:pPr>
            <w:r w:rsidRPr="00B85D62">
              <w:rPr>
                <w:rFonts w:eastAsia="Arial" w:cs="Arial"/>
                <w:sz w:val="16"/>
                <w:szCs w:val="16"/>
              </w:rPr>
              <w:t>10.6%</w:t>
            </w:r>
          </w:p>
        </w:tc>
        <w:tc>
          <w:tcPr>
            <w:tcW w:w="0" w:type="auto"/>
            <w:shd w:val="clear" w:color="auto" w:fill="auto"/>
            <w:vAlign w:val="center"/>
          </w:tcPr>
          <w:p w14:paraId="0EB8A518" w14:textId="13621ED9" w:rsidR="3341BD48" w:rsidRPr="00B85D62" w:rsidRDefault="3341BD48" w:rsidP="0066232B">
            <w:pPr>
              <w:jc w:val="center"/>
              <w:rPr>
                <w:rFonts w:eastAsia="Arial" w:cs="Arial"/>
                <w:sz w:val="16"/>
                <w:szCs w:val="16"/>
              </w:rPr>
            </w:pPr>
            <w:r w:rsidRPr="00B85D62">
              <w:rPr>
                <w:rFonts w:eastAsia="Arial" w:cs="Arial"/>
                <w:sz w:val="16"/>
                <w:szCs w:val="16"/>
              </w:rPr>
              <w:t>128</w:t>
            </w:r>
          </w:p>
        </w:tc>
        <w:tc>
          <w:tcPr>
            <w:tcW w:w="0" w:type="auto"/>
            <w:shd w:val="clear" w:color="auto" w:fill="auto"/>
            <w:vAlign w:val="center"/>
          </w:tcPr>
          <w:p w14:paraId="58D485B3" w14:textId="645A1056" w:rsidR="3341BD48" w:rsidRPr="00B85D62" w:rsidRDefault="3341BD48" w:rsidP="0066232B">
            <w:pPr>
              <w:jc w:val="center"/>
              <w:rPr>
                <w:rFonts w:eastAsia="Arial" w:cs="Arial"/>
                <w:sz w:val="16"/>
                <w:szCs w:val="16"/>
              </w:rPr>
            </w:pPr>
            <w:r w:rsidRPr="00B85D62">
              <w:rPr>
                <w:rFonts w:eastAsia="Arial" w:cs="Arial"/>
                <w:sz w:val="16"/>
                <w:szCs w:val="16"/>
              </w:rPr>
              <w:t>9.9%</w:t>
            </w:r>
          </w:p>
        </w:tc>
        <w:tc>
          <w:tcPr>
            <w:tcW w:w="0" w:type="auto"/>
            <w:shd w:val="clear" w:color="auto" w:fill="auto"/>
            <w:vAlign w:val="center"/>
          </w:tcPr>
          <w:p w14:paraId="293F6A78" w14:textId="7B9CEE5B" w:rsidR="3341BD48" w:rsidRPr="00B85D62" w:rsidRDefault="3341BD48" w:rsidP="0066232B">
            <w:pPr>
              <w:jc w:val="center"/>
              <w:rPr>
                <w:rFonts w:eastAsia="Arial" w:cs="Arial"/>
                <w:sz w:val="16"/>
                <w:szCs w:val="16"/>
              </w:rPr>
            </w:pPr>
            <w:r w:rsidRPr="00B85D62">
              <w:rPr>
                <w:rFonts w:eastAsia="Arial" w:cs="Arial"/>
                <w:sz w:val="16"/>
                <w:szCs w:val="16"/>
              </w:rPr>
              <w:t>91</w:t>
            </w:r>
          </w:p>
        </w:tc>
        <w:tc>
          <w:tcPr>
            <w:tcW w:w="0" w:type="auto"/>
            <w:shd w:val="clear" w:color="auto" w:fill="auto"/>
            <w:vAlign w:val="center"/>
          </w:tcPr>
          <w:p w14:paraId="2FFB1A80" w14:textId="36E62A1E" w:rsidR="3341BD48" w:rsidRPr="00B85D62" w:rsidRDefault="3341BD48" w:rsidP="0066232B">
            <w:pPr>
              <w:jc w:val="center"/>
              <w:rPr>
                <w:rFonts w:eastAsia="Arial" w:cs="Arial"/>
                <w:sz w:val="16"/>
                <w:szCs w:val="16"/>
              </w:rPr>
            </w:pPr>
            <w:r w:rsidRPr="00B85D62">
              <w:rPr>
                <w:rFonts w:eastAsia="Arial" w:cs="Arial"/>
                <w:sz w:val="16"/>
                <w:szCs w:val="16"/>
              </w:rPr>
              <w:t>10.8%</w:t>
            </w:r>
          </w:p>
        </w:tc>
      </w:tr>
      <w:tr w:rsidR="3341BD48" w:rsidRPr="00B85D62" w14:paraId="7A735B68" w14:textId="77777777" w:rsidTr="00B85D62">
        <w:trPr>
          <w:cantSplit/>
        </w:trPr>
        <w:tc>
          <w:tcPr>
            <w:tcW w:w="0" w:type="auto"/>
            <w:shd w:val="clear" w:color="auto" w:fill="auto"/>
            <w:vAlign w:val="center"/>
          </w:tcPr>
          <w:p w14:paraId="72D7E8B6" w14:textId="0647702C" w:rsidR="3341BD48" w:rsidRPr="00B85D62" w:rsidRDefault="00B85D62" w:rsidP="0066232B">
            <w:pPr>
              <w:rPr>
                <w:rFonts w:eastAsia="Arial" w:cs="Arial"/>
                <w:sz w:val="16"/>
                <w:szCs w:val="16"/>
              </w:rPr>
            </w:pPr>
            <w:r w:rsidRPr="00B85D62">
              <w:rPr>
                <w:rFonts w:eastAsia="Arial" w:cs="Arial"/>
                <w:sz w:val="16"/>
                <w:szCs w:val="16"/>
              </w:rPr>
              <w:t xml:space="preserve"> </w:t>
            </w:r>
            <w:r w:rsidR="3341BD48" w:rsidRPr="00B85D62">
              <w:rPr>
                <w:rFonts w:eastAsia="Arial" w:cs="Arial"/>
                <w:sz w:val="16"/>
                <w:szCs w:val="16"/>
              </w:rPr>
              <w:t>Missing</w:t>
            </w:r>
          </w:p>
        </w:tc>
        <w:tc>
          <w:tcPr>
            <w:tcW w:w="0" w:type="auto"/>
            <w:shd w:val="clear" w:color="auto" w:fill="auto"/>
            <w:vAlign w:val="center"/>
          </w:tcPr>
          <w:p w14:paraId="7CE611A5" w14:textId="04040663" w:rsidR="3341BD48" w:rsidRPr="00B85D62" w:rsidRDefault="3341BD48" w:rsidP="0066232B">
            <w:pPr>
              <w:jc w:val="center"/>
              <w:rPr>
                <w:rFonts w:eastAsia="Arial" w:cs="Arial"/>
                <w:sz w:val="16"/>
                <w:szCs w:val="16"/>
              </w:rPr>
            </w:pPr>
            <w:r w:rsidRPr="00B85D62">
              <w:rPr>
                <w:rFonts w:eastAsia="Arial" w:cs="Arial"/>
                <w:sz w:val="16"/>
                <w:szCs w:val="16"/>
              </w:rPr>
              <w:t>9</w:t>
            </w:r>
          </w:p>
        </w:tc>
        <w:tc>
          <w:tcPr>
            <w:tcW w:w="0" w:type="auto"/>
            <w:shd w:val="clear" w:color="auto" w:fill="auto"/>
            <w:vAlign w:val="center"/>
          </w:tcPr>
          <w:p w14:paraId="38450B55" w14:textId="25A28795" w:rsidR="3341BD48" w:rsidRPr="00B85D62" w:rsidRDefault="3341BD48" w:rsidP="0066232B">
            <w:pPr>
              <w:jc w:val="center"/>
              <w:rPr>
                <w:rFonts w:eastAsia="Arial" w:cs="Arial"/>
                <w:sz w:val="16"/>
                <w:szCs w:val="16"/>
              </w:rPr>
            </w:pPr>
            <w:r w:rsidRPr="00B85D62">
              <w:rPr>
                <w:rFonts w:eastAsia="Arial" w:cs="Arial"/>
                <w:sz w:val="16"/>
                <w:szCs w:val="16"/>
              </w:rPr>
              <w:t>0.3%</w:t>
            </w:r>
          </w:p>
        </w:tc>
        <w:tc>
          <w:tcPr>
            <w:tcW w:w="0" w:type="auto"/>
            <w:shd w:val="clear" w:color="auto" w:fill="auto"/>
            <w:vAlign w:val="center"/>
          </w:tcPr>
          <w:p w14:paraId="36DAE9EA" w14:textId="6D7877BD" w:rsidR="3341BD48" w:rsidRPr="00B85D62" w:rsidRDefault="3341BD48" w:rsidP="0066232B">
            <w:pPr>
              <w:jc w:val="center"/>
              <w:rPr>
                <w:rFonts w:eastAsia="Arial" w:cs="Arial"/>
                <w:sz w:val="16"/>
                <w:szCs w:val="16"/>
              </w:rPr>
            </w:pPr>
            <w:r w:rsidRPr="00B85D62">
              <w:rPr>
                <w:rFonts w:eastAsia="Arial" w:cs="Arial"/>
                <w:sz w:val="16"/>
                <w:szCs w:val="16"/>
              </w:rPr>
              <w:t>0</w:t>
            </w:r>
          </w:p>
        </w:tc>
        <w:tc>
          <w:tcPr>
            <w:tcW w:w="0" w:type="auto"/>
            <w:shd w:val="clear" w:color="auto" w:fill="auto"/>
            <w:vAlign w:val="center"/>
          </w:tcPr>
          <w:p w14:paraId="61BD82AB" w14:textId="6B8B9D29" w:rsidR="3341BD48" w:rsidRPr="00B85D62" w:rsidRDefault="3341BD48" w:rsidP="0066232B">
            <w:pPr>
              <w:jc w:val="center"/>
              <w:rPr>
                <w:rFonts w:eastAsia="Arial" w:cs="Arial"/>
                <w:sz w:val="16"/>
                <w:szCs w:val="16"/>
              </w:rPr>
            </w:pPr>
            <w:r w:rsidRPr="00B85D62">
              <w:rPr>
                <w:rFonts w:eastAsia="Arial" w:cs="Arial"/>
                <w:sz w:val="16"/>
                <w:szCs w:val="16"/>
              </w:rPr>
              <w:t>0.0%</w:t>
            </w:r>
          </w:p>
        </w:tc>
        <w:tc>
          <w:tcPr>
            <w:tcW w:w="0" w:type="auto"/>
            <w:shd w:val="clear" w:color="auto" w:fill="auto"/>
            <w:vAlign w:val="center"/>
          </w:tcPr>
          <w:p w14:paraId="789BD023" w14:textId="23E9542B" w:rsidR="3341BD48" w:rsidRPr="00B85D62" w:rsidRDefault="3341BD48" w:rsidP="0066232B">
            <w:pPr>
              <w:jc w:val="center"/>
              <w:rPr>
                <w:rFonts w:eastAsia="Arial" w:cs="Arial"/>
                <w:sz w:val="16"/>
                <w:szCs w:val="16"/>
              </w:rPr>
            </w:pPr>
            <w:r w:rsidRPr="00B85D62">
              <w:rPr>
                <w:rFonts w:eastAsia="Arial" w:cs="Arial"/>
                <w:sz w:val="16"/>
                <w:szCs w:val="16"/>
              </w:rPr>
              <w:t>6</w:t>
            </w:r>
          </w:p>
        </w:tc>
        <w:tc>
          <w:tcPr>
            <w:tcW w:w="0" w:type="auto"/>
            <w:shd w:val="clear" w:color="auto" w:fill="auto"/>
            <w:vAlign w:val="center"/>
          </w:tcPr>
          <w:p w14:paraId="04A1ECC9" w14:textId="16C405C9" w:rsidR="3341BD48" w:rsidRPr="00B85D62" w:rsidRDefault="3341BD48" w:rsidP="0066232B">
            <w:pPr>
              <w:jc w:val="center"/>
              <w:rPr>
                <w:rFonts w:eastAsia="Arial" w:cs="Arial"/>
                <w:sz w:val="16"/>
                <w:szCs w:val="16"/>
              </w:rPr>
            </w:pPr>
            <w:r w:rsidRPr="00B85D62">
              <w:rPr>
                <w:rFonts w:eastAsia="Arial" w:cs="Arial"/>
                <w:sz w:val="16"/>
                <w:szCs w:val="16"/>
              </w:rPr>
              <w:t>0.5%</w:t>
            </w:r>
          </w:p>
        </w:tc>
        <w:tc>
          <w:tcPr>
            <w:tcW w:w="0" w:type="auto"/>
            <w:shd w:val="clear" w:color="auto" w:fill="auto"/>
            <w:vAlign w:val="center"/>
          </w:tcPr>
          <w:p w14:paraId="227DCB79" w14:textId="21A64CE8" w:rsidR="3341BD48" w:rsidRPr="00B85D62" w:rsidRDefault="3341BD48" w:rsidP="0066232B">
            <w:pPr>
              <w:jc w:val="center"/>
              <w:rPr>
                <w:rFonts w:eastAsia="Arial" w:cs="Arial"/>
                <w:sz w:val="16"/>
                <w:szCs w:val="16"/>
              </w:rPr>
            </w:pPr>
            <w:r w:rsidRPr="00B85D62">
              <w:rPr>
                <w:rFonts w:eastAsia="Arial" w:cs="Arial"/>
                <w:sz w:val="16"/>
                <w:szCs w:val="16"/>
              </w:rPr>
              <w:t>3</w:t>
            </w:r>
          </w:p>
        </w:tc>
        <w:tc>
          <w:tcPr>
            <w:tcW w:w="0" w:type="auto"/>
            <w:shd w:val="clear" w:color="auto" w:fill="auto"/>
            <w:vAlign w:val="center"/>
          </w:tcPr>
          <w:p w14:paraId="1B0FFE2D" w14:textId="41A4D3FB" w:rsidR="3341BD48" w:rsidRPr="00B85D62" w:rsidRDefault="3341BD48" w:rsidP="0066232B">
            <w:pPr>
              <w:jc w:val="center"/>
              <w:rPr>
                <w:rFonts w:eastAsia="Arial" w:cs="Arial"/>
                <w:sz w:val="16"/>
                <w:szCs w:val="16"/>
              </w:rPr>
            </w:pPr>
            <w:r w:rsidRPr="00B85D62">
              <w:rPr>
                <w:rFonts w:eastAsia="Arial" w:cs="Arial"/>
                <w:sz w:val="16"/>
                <w:szCs w:val="16"/>
              </w:rPr>
              <w:t>0.4%</w:t>
            </w:r>
          </w:p>
        </w:tc>
      </w:tr>
      <w:tr w:rsidR="3341BD48" w:rsidRPr="00B85D62" w14:paraId="33335C46" w14:textId="77777777" w:rsidTr="00B85D62">
        <w:trPr>
          <w:cantSplit/>
        </w:trPr>
        <w:tc>
          <w:tcPr>
            <w:tcW w:w="0" w:type="auto"/>
            <w:shd w:val="clear" w:color="auto" w:fill="auto"/>
            <w:vAlign w:val="center"/>
          </w:tcPr>
          <w:p w14:paraId="769660B7" w14:textId="263C97B6" w:rsidR="3341BD48" w:rsidRPr="00B85D62" w:rsidRDefault="3341BD48" w:rsidP="0066232B">
            <w:pPr>
              <w:rPr>
                <w:rFonts w:eastAsia="Arial" w:cs="Arial"/>
                <w:sz w:val="16"/>
                <w:szCs w:val="16"/>
              </w:rPr>
            </w:pPr>
            <w:r w:rsidRPr="00B85D62">
              <w:rPr>
                <w:rFonts w:eastAsia="Arial" w:cs="Arial"/>
                <w:sz w:val="16"/>
                <w:szCs w:val="16"/>
              </w:rPr>
              <w:t>Body mass index</w:t>
            </w:r>
          </w:p>
        </w:tc>
        <w:tc>
          <w:tcPr>
            <w:tcW w:w="0" w:type="auto"/>
            <w:shd w:val="clear" w:color="auto" w:fill="auto"/>
            <w:vAlign w:val="center"/>
          </w:tcPr>
          <w:p w14:paraId="7AB27B98" w14:textId="4F482835" w:rsidR="3341BD48" w:rsidRPr="00B85D62" w:rsidRDefault="3341BD48" w:rsidP="0066232B">
            <w:pPr>
              <w:jc w:val="center"/>
              <w:rPr>
                <w:rFonts w:eastAsia="Arial" w:cs="Arial"/>
                <w:sz w:val="16"/>
                <w:szCs w:val="16"/>
              </w:rPr>
            </w:pPr>
            <w:r w:rsidRPr="00B85D62">
              <w:rPr>
                <w:rFonts w:eastAsia="Arial" w:cs="Arial"/>
                <w:sz w:val="16"/>
                <w:szCs w:val="16"/>
              </w:rPr>
              <w:t>27.2</w:t>
            </w:r>
          </w:p>
        </w:tc>
        <w:tc>
          <w:tcPr>
            <w:tcW w:w="0" w:type="auto"/>
            <w:shd w:val="clear" w:color="auto" w:fill="auto"/>
            <w:vAlign w:val="center"/>
          </w:tcPr>
          <w:p w14:paraId="79C7BE87" w14:textId="5D7EA47E" w:rsidR="3341BD48" w:rsidRPr="00B85D62" w:rsidRDefault="3341BD48" w:rsidP="0066232B">
            <w:pPr>
              <w:jc w:val="center"/>
              <w:rPr>
                <w:rFonts w:eastAsia="Arial" w:cs="Arial"/>
                <w:sz w:val="16"/>
                <w:szCs w:val="16"/>
              </w:rPr>
            </w:pPr>
            <w:r w:rsidRPr="00B85D62">
              <w:rPr>
                <w:rFonts w:eastAsia="Arial" w:cs="Arial"/>
                <w:sz w:val="16"/>
                <w:szCs w:val="16"/>
              </w:rPr>
              <w:t>5.0</w:t>
            </w:r>
          </w:p>
        </w:tc>
        <w:tc>
          <w:tcPr>
            <w:tcW w:w="0" w:type="auto"/>
            <w:shd w:val="clear" w:color="auto" w:fill="auto"/>
            <w:vAlign w:val="center"/>
          </w:tcPr>
          <w:p w14:paraId="644E11ED" w14:textId="209ECBBF" w:rsidR="3341BD48" w:rsidRPr="00B85D62" w:rsidRDefault="3341BD48" w:rsidP="0066232B">
            <w:pPr>
              <w:jc w:val="center"/>
              <w:rPr>
                <w:rFonts w:eastAsia="Arial" w:cs="Arial"/>
                <w:sz w:val="16"/>
                <w:szCs w:val="16"/>
              </w:rPr>
            </w:pPr>
            <w:r w:rsidRPr="00B85D62">
              <w:rPr>
                <w:rFonts w:eastAsia="Arial" w:cs="Arial"/>
                <w:sz w:val="16"/>
                <w:szCs w:val="16"/>
              </w:rPr>
              <w:t>26.4</w:t>
            </w:r>
          </w:p>
        </w:tc>
        <w:tc>
          <w:tcPr>
            <w:tcW w:w="0" w:type="auto"/>
            <w:shd w:val="clear" w:color="auto" w:fill="auto"/>
            <w:vAlign w:val="center"/>
          </w:tcPr>
          <w:p w14:paraId="3F80F7DE" w14:textId="17AEC83D" w:rsidR="3341BD48" w:rsidRPr="00B85D62" w:rsidRDefault="3341BD48" w:rsidP="0066232B">
            <w:pPr>
              <w:jc w:val="center"/>
              <w:rPr>
                <w:rFonts w:eastAsia="Arial" w:cs="Arial"/>
                <w:sz w:val="16"/>
                <w:szCs w:val="16"/>
              </w:rPr>
            </w:pPr>
            <w:r w:rsidRPr="00B85D62">
              <w:rPr>
                <w:rFonts w:eastAsia="Arial" w:cs="Arial"/>
                <w:sz w:val="16"/>
                <w:szCs w:val="16"/>
              </w:rPr>
              <w:t>5.1</w:t>
            </w:r>
          </w:p>
        </w:tc>
        <w:tc>
          <w:tcPr>
            <w:tcW w:w="0" w:type="auto"/>
            <w:shd w:val="clear" w:color="auto" w:fill="auto"/>
            <w:vAlign w:val="center"/>
          </w:tcPr>
          <w:p w14:paraId="7C23CD6D" w14:textId="07A5F22D" w:rsidR="3341BD48" w:rsidRPr="00B85D62" w:rsidRDefault="3341BD48" w:rsidP="0066232B">
            <w:pPr>
              <w:jc w:val="center"/>
              <w:rPr>
                <w:rFonts w:eastAsia="Arial" w:cs="Arial"/>
                <w:sz w:val="16"/>
                <w:szCs w:val="16"/>
              </w:rPr>
            </w:pPr>
            <w:r w:rsidRPr="00B85D62">
              <w:rPr>
                <w:rFonts w:eastAsia="Arial" w:cs="Arial"/>
                <w:sz w:val="16"/>
                <w:szCs w:val="16"/>
              </w:rPr>
              <w:t>27.4</w:t>
            </w:r>
          </w:p>
        </w:tc>
        <w:tc>
          <w:tcPr>
            <w:tcW w:w="0" w:type="auto"/>
            <w:shd w:val="clear" w:color="auto" w:fill="auto"/>
            <w:vAlign w:val="center"/>
          </w:tcPr>
          <w:p w14:paraId="23B2554F" w14:textId="0414C62E" w:rsidR="3341BD48" w:rsidRPr="00B85D62" w:rsidRDefault="3341BD48" w:rsidP="0066232B">
            <w:pPr>
              <w:jc w:val="center"/>
              <w:rPr>
                <w:rFonts w:eastAsia="Arial" w:cs="Arial"/>
                <w:sz w:val="16"/>
                <w:szCs w:val="16"/>
              </w:rPr>
            </w:pPr>
            <w:r w:rsidRPr="00B85D62">
              <w:rPr>
                <w:rFonts w:eastAsia="Arial" w:cs="Arial"/>
                <w:sz w:val="16"/>
                <w:szCs w:val="16"/>
              </w:rPr>
              <w:t>4.8</w:t>
            </w:r>
          </w:p>
        </w:tc>
        <w:tc>
          <w:tcPr>
            <w:tcW w:w="0" w:type="auto"/>
            <w:shd w:val="clear" w:color="auto" w:fill="auto"/>
            <w:vAlign w:val="center"/>
          </w:tcPr>
          <w:p w14:paraId="6DF1F90F" w14:textId="3CA78464" w:rsidR="3341BD48" w:rsidRPr="00B85D62" w:rsidRDefault="3341BD48" w:rsidP="0066232B">
            <w:pPr>
              <w:jc w:val="center"/>
              <w:rPr>
                <w:rFonts w:eastAsia="Arial" w:cs="Arial"/>
                <w:sz w:val="16"/>
                <w:szCs w:val="16"/>
              </w:rPr>
            </w:pPr>
            <w:r w:rsidRPr="00B85D62">
              <w:rPr>
                <w:rFonts w:eastAsia="Arial" w:cs="Arial"/>
                <w:sz w:val="16"/>
                <w:szCs w:val="16"/>
              </w:rPr>
              <w:t>27.5</w:t>
            </w:r>
          </w:p>
        </w:tc>
        <w:tc>
          <w:tcPr>
            <w:tcW w:w="0" w:type="auto"/>
            <w:shd w:val="clear" w:color="auto" w:fill="auto"/>
            <w:vAlign w:val="center"/>
          </w:tcPr>
          <w:p w14:paraId="6FE4A9B1" w14:textId="7EEB5E37" w:rsidR="3341BD48" w:rsidRPr="00B85D62" w:rsidRDefault="3341BD48" w:rsidP="0066232B">
            <w:pPr>
              <w:jc w:val="center"/>
              <w:rPr>
                <w:rFonts w:eastAsia="Arial" w:cs="Arial"/>
                <w:sz w:val="16"/>
                <w:szCs w:val="16"/>
              </w:rPr>
            </w:pPr>
            <w:r w:rsidRPr="00B85D62">
              <w:rPr>
                <w:rFonts w:eastAsia="Arial" w:cs="Arial"/>
                <w:sz w:val="16"/>
                <w:szCs w:val="16"/>
              </w:rPr>
              <w:t>5.1</w:t>
            </w:r>
          </w:p>
        </w:tc>
      </w:tr>
      <w:tr w:rsidR="3341BD48" w:rsidRPr="00B85D62" w14:paraId="5193DB32" w14:textId="77777777" w:rsidTr="00B85D62">
        <w:trPr>
          <w:cantSplit/>
        </w:trPr>
        <w:tc>
          <w:tcPr>
            <w:tcW w:w="0" w:type="auto"/>
            <w:shd w:val="clear" w:color="auto" w:fill="auto"/>
            <w:vAlign w:val="center"/>
          </w:tcPr>
          <w:p w14:paraId="59FF41C5" w14:textId="791771A5" w:rsidR="3341BD48" w:rsidRPr="00B85D62" w:rsidRDefault="3341BD48" w:rsidP="0066232B">
            <w:pPr>
              <w:rPr>
                <w:rFonts w:eastAsia="Arial" w:cs="Arial"/>
                <w:sz w:val="16"/>
                <w:szCs w:val="16"/>
              </w:rPr>
            </w:pPr>
            <w:r w:rsidRPr="00B85D62">
              <w:rPr>
                <w:rFonts w:eastAsia="Arial" w:cs="Arial"/>
                <w:sz w:val="16"/>
                <w:szCs w:val="16"/>
              </w:rPr>
              <w:t>Smoking</w:t>
            </w:r>
          </w:p>
        </w:tc>
        <w:tc>
          <w:tcPr>
            <w:tcW w:w="0" w:type="auto"/>
            <w:shd w:val="clear" w:color="auto" w:fill="auto"/>
            <w:vAlign w:val="center"/>
          </w:tcPr>
          <w:p w14:paraId="72CA22BE" w14:textId="6367C2D2" w:rsidR="3341BD48" w:rsidRPr="00B85D62" w:rsidRDefault="3341BD48" w:rsidP="0066232B">
            <w:pPr>
              <w:jc w:val="center"/>
              <w:rPr>
                <w:rFonts w:eastAsia="Arial" w:cs="Arial"/>
                <w:sz w:val="16"/>
                <w:szCs w:val="16"/>
              </w:rPr>
            </w:pPr>
          </w:p>
        </w:tc>
        <w:tc>
          <w:tcPr>
            <w:tcW w:w="0" w:type="auto"/>
            <w:shd w:val="clear" w:color="auto" w:fill="auto"/>
            <w:vAlign w:val="center"/>
          </w:tcPr>
          <w:p w14:paraId="508CD281" w14:textId="2C494D71" w:rsidR="3341BD48" w:rsidRPr="00B85D62" w:rsidRDefault="3341BD48" w:rsidP="0066232B">
            <w:pPr>
              <w:jc w:val="center"/>
              <w:rPr>
                <w:rFonts w:eastAsia="Arial" w:cs="Arial"/>
                <w:sz w:val="16"/>
                <w:szCs w:val="16"/>
              </w:rPr>
            </w:pPr>
          </w:p>
        </w:tc>
        <w:tc>
          <w:tcPr>
            <w:tcW w:w="0" w:type="auto"/>
            <w:shd w:val="clear" w:color="auto" w:fill="auto"/>
            <w:vAlign w:val="center"/>
          </w:tcPr>
          <w:p w14:paraId="79F7DEFA" w14:textId="1063186C" w:rsidR="3341BD48" w:rsidRPr="00B85D62" w:rsidRDefault="3341BD48" w:rsidP="0066232B">
            <w:pPr>
              <w:jc w:val="center"/>
              <w:rPr>
                <w:rFonts w:eastAsia="Arial" w:cs="Arial"/>
                <w:sz w:val="16"/>
                <w:szCs w:val="16"/>
              </w:rPr>
            </w:pPr>
          </w:p>
        </w:tc>
        <w:tc>
          <w:tcPr>
            <w:tcW w:w="0" w:type="auto"/>
            <w:shd w:val="clear" w:color="auto" w:fill="auto"/>
            <w:vAlign w:val="center"/>
          </w:tcPr>
          <w:p w14:paraId="3B59E951" w14:textId="2A5059AF" w:rsidR="3341BD48" w:rsidRPr="00B85D62" w:rsidRDefault="3341BD48" w:rsidP="0066232B">
            <w:pPr>
              <w:jc w:val="center"/>
              <w:rPr>
                <w:rFonts w:eastAsia="Arial" w:cs="Arial"/>
                <w:sz w:val="16"/>
                <w:szCs w:val="16"/>
              </w:rPr>
            </w:pPr>
          </w:p>
        </w:tc>
        <w:tc>
          <w:tcPr>
            <w:tcW w:w="0" w:type="auto"/>
            <w:shd w:val="clear" w:color="auto" w:fill="auto"/>
            <w:vAlign w:val="center"/>
          </w:tcPr>
          <w:p w14:paraId="147A2896" w14:textId="736AEC66" w:rsidR="3341BD48" w:rsidRPr="00B85D62" w:rsidRDefault="3341BD48" w:rsidP="0066232B">
            <w:pPr>
              <w:jc w:val="center"/>
              <w:rPr>
                <w:rFonts w:eastAsia="Arial" w:cs="Arial"/>
                <w:sz w:val="16"/>
                <w:szCs w:val="16"/>
              </w:rPr>
            </w:pPr>
          </w:p>
        </w:tc>
        <w:tc>
          <w:tcPr>
            <w:tcW w:w="0" w:type="auto"/>
            <w:shd w:val="clear" w:color="auto" w:fill="auto"/>
            <w:vAlign w:val="center"/>
          </w:tcPr>
          <w:p w14:paraId="2847B5AC" w14:textId="3F2B9458" w:rsidR="3341BD48" w:rsidRPr="00B85D62" w:rsidRDefault="3341BD48" w:rsidP="0066232B">
            <w:pPr>
              <w:jc w:val="center"/>
              <w:rPr>
                <w:rFonts w:eastAsia="Arial" w:cs="Arial"/>
                <w:sz w:val="16"/>
                <w:szCs w:val="16"/>
              </w:rPr>
            </w:pPr>
          </w:p>
        </w:tc>
        <w:tc>
          <w:tcPr>
            <w:tcW w:w="0" w:type="auto"/>
            <w:shd w:val="clear" w:color="auto" w:fill="auto"/>
            <w:vAlign w:val="center"/>
          </w:tcPr>
          <w:p w14:paraId="0E6093FF" w14:textId="23A327A0" w:rsidR="3341BD48" w:rsidRPr="00B85D62" w:rsidRDefault="3341BD48" w:rsidP="0066232B">
            <w:pPr>
              <w:jc w:val="center"/>
              <w:rPr>
                <w:rFonts w:eastAsia="Arial" w:cs="Arial"/>
                <w:sz w:val="16"/>
                <w:szCs w:val="16"/>
              </w:rPr>
            </w:pPr>
          </w:p>
        </w:tc>
        <w:tc>
          <w:tcPr>
            <w:tcW w:w="0" w:type="auto"/>
            <w:shd w:val="clear" w:color="auto" w:fill="auto"/>
            <w:vAlign w:val="center"/>
          </w:tcPr>
          <w:p w14:paraId="324A912A" w14:textId="79C17863" w:rsidR="3341BD48" w:rsidRPr="00B85D62" w:rsidRDefault="3341BD48" w:rsidP="0066232B">
            <w:pPr>
              <w:jc w:val="center"/>
              <w:rPr>
                <w:rFonts w:eastAsia="Arial" w:cs="Arial"/>
                <w:sz w:val="16"/>
                <w:szCs w:val="16"/>
              </w:rPr>
            </w:pPr>
          </w:p>
        </w:tc>
      </w:tr>
      <w:tr w:rsidR="3341BD48" w:rsidRPr="00B85D62" w14:paraId="127BE8E2" w14:textId="77777777" w:rsidTr="00B85D62">
        <w:trPr>
          <w:cantSplit/>
        </w:trPr>
        <w:tc>
          <w:tcPr>
            <w:tcW w:w="0" w:type="auto"/>
            <w:shd w:val="clear" w:color="auto" w:fill="auto"/>
            <w:vAlign w:val="bottom"/>
          </w:tcPr>
          <w:p w14:paraId="3D768FB9" w14:textId="0951B7D2" w:rsidR="3341BD48" w:rsidRPr="00B85D62" w:rsidRDefault="00B85D62" w:rsidP="0066232B">
            <w:pPr>
              <w:rPr>
                <w:rFonts w:eastAsia="Arial" w:cs="Arial"/>
                <w:color w:val="000000" w:themeColor="text1"/>
                <w:sz w:val="16"/>
                <w:szCs w:val="16"/>
              </w:rPr>
            </w:pPr>
            <w:r w:rsidRPr="00B85D62">
              <w:rPr>
                <w:rFonts w:eastAsia="Arial" w:cs="Arial"/>
                <w:color w:val="000000" w:themeColor="text1"/>
                <w:sz w:val="16"/>
                <w:szCs w:val="16"/>
              </w:rPr>
              <w:t xml:space="preserve"> </w:t>
            </w:r>
            <w:r w:rsidR="3341BD48" w:rsidRPr="00B85D62">
              <w:rPr>
                <w:rFonts w:eastAsia="Arial" w:cs="Arial"/>
                <w:color w:val="000000" w:themeColor="text1"/>
                <w:sz w:val="16"/>
                <w:szCs w:val="16"/>
              </w:rPr>
              <w:t>Current</w:t>
            </w:r>
          </w:p>
        </w:tc>
        <w:tc>
          <w:tcPr>
            <w:tcW w:w="0" w:type="auto"/>
            <w:shd w:val="clear" w:color="auto" w:fill="auto"/>
            <w:vAlign w:val="center"/>
          </w:tcPr>
          <w:p w14:paraId="272551FC" w14:textId="179373A2" w:rsidR="3341BD48" w:rsidRPr="00B85D62" w:rsidRDefault="3341BD48" w:rsidP="0066232B">
            <w:pPr>
              <w:jc w:val="center"/>
              <w:rPr>
                <w:rFonts w:eastAsia="Arial" w:cs="Arial"/>
                <w:sz w:val="16"/>
                <w:szCs w:val="16"/>
              </w:rPr>
            </w:pPr>
            <w:r w:rsidRPr="00B85D62">
              <w:rPr>
                <w:rFonts w:eastAsia="Arial" w:cs="Arial"/>
                <w:sz w:val="16"/>
                <w:szCs w:val="16"/>
              </w:rPr>
              <w:t>616</w:t>
            </w:r>
          </w:p>
        </w:tc>
        <w:tc>
          <w:tcPr>
            <w:tcW w:w="0" w:type="auto"/>
            <w:shd w:val="clear" w:color="auto" w:fill="auto"/>
            <w:vAlign w:val="center"/>
          </w:tcPr>
          <w:p w14:paraId="622821D1" w14:textId="40EB4051" w:rsidR="3341BD48" w:rsidRPr="00B85D62" w:rsidRDefault="3341BD48" w:rsidP="0066232B">
            <w:pPr>
              <w:jc w:val="center"/>
              <w:rPr>
                <w:rFonts w:eastAsia="Arial" w:cs="Arial"/>
                <w:sz w:val="16"/>
                <w:szCs w:val="16"/>
              </w:rPr>
            </w:pPr>
            <w:r w:rsidRPr="00B85D62">
              <w:rPr>
                <w:rFonts w:eastAsia="Arial" w:cs="Arial"/>
                <w:sz w:val="16"/>
                <w:szCs w:val="16"/>
              </w:rPr>
              <w:t>21.4%</w:t>
            </w:r>
          </w:p>
        </w:tc>
        <w:tc>
          <w:tcPr>
            <w:tcW w:w="0" w:type="auto"/>
            <w:shd w:val="clear" w:color="auto" w:fill="auto"/>
            <w:vAlign w:val="center"/>
          </w:tcPr>
          <w:p w14:paraId="5A6EFED6" w14:textId="3A6896B8" w:rsidR="3341BD48" w:rsidRPr="00B85D62" w:rsidRDefault="3341BD48" w:rsidP="0066232B">
            <w:pPr>
              <w:jc w:val="center"/>
              <w:rPr>
                <w:rFonts w:eastAsia="Arial" w:cs="Arial"/>
                <w:sz w:val="16"/>
                <w:szCs w:val="16"/>
              </w:rPr>
            </w:pPr>
            <w:r w:rsidRPr="00B85D62">
              <w:rPr>
                <w:rFonts w:eastAsia="Arial" w:cs="Arial"/>
                <w:sz w:val="16"/>
                <w:szCs w:val="16"/>
              </w:rPr>
              <w:t>143</w:t>
            </w:r>
          </w:p>
        </w:tc>
        <w:tc>
          <w:tcPr>
            <w:tcW w:w="0" w:type="auto"/>
            <w:shd w:val="clear" w:color="auto" w:fill="auto"/>
            <w:vAlign w:val="center"/>
          </w:tcPr>
          <w:p w14:paraId="0D266E6A" w14:textId="4976DA17" w:rsidR="3341BD48" w:rsidRPr="00B85D62" w:rsidRDefault="3341BD48" w:rsidP="0066232B">
            <w:pPr>
              <w:jc w:val="center"/>
              <w:rPr>
                <w:rFonts w:eastAsia="Arial" w:cs="Arial"/>
                <w:sz w:val="16"/>
                <w:szCs w:val="16"/>
              </w:rPr>
            </w:pPr>
            <w:r w:rsidRPr="00B85D62">
              <w:rPr>
                <w:rFonts w:eastAsia="Arial" w:cs="Arial"/>
                <w:sz w:val="16"/>
                <w:szCs w:val="16"/>
              </w:rPr>
              <w:t>19.2%</w:t>
            </w:r>
          </w:p>
        </w:tc>
        <w:tc>
          <w:tcPr>
            <w:tcW w:w="0" w:type="auto"/>
            <w:shd w:val="clear" w:color="auto" w:fill="auto"/>
            <w:vAlign w:val="center"/>
          </w:tcPr>
          <w:p w14:paraId="29F94437" w14:textId="5461B990" w:rsidR="3341BD48" w:rsidRPr="00B85D62" w:rsidRDefault="3341BD48" w:rsidP="0066232B">
            <w:pPr>
              <w:jc w:val="center"/>
              <w:rPr>
                <w:rFonts w:eastAsia="Arial" w:cs="Arial"/>
                <w:sz w:val="16"/>
                <w:szCs w:val="16"/>
              </w:rPr>
            </w:pPr>
            <w:r w:rsidRPr="00B85D62">
              <w:rPr>
                <w:rFonts w:eastAsia="Arial" w:cs="Arial"/>
                <w:sz w:val="16"/>
                <w:szCs w:val="16"/>
              </w:rPr>
              <w:t>283</w:t>
            </w:r>
          </w:p>
        </w:tc>
        <w:tc>
          <w:tcPr>
            <w:tcW w:w="0" w:type="auto"/>
            <w:shd w:val="clear" w:color="auto" w:fill="auto"/>
            <w:vAlign w:val="center"/>
          </w:tcPr>
          <w:p w14:paraId="4EDCCB1F" w14:textId="11F90608" w:rsidR="3341BD48" w:rsidRPr="00B85D62" w:rsidRDefault="3341BD48" w:rsidP="0066232B">
            <w:pPr>
              <w:jc w:val="center"/>
              <w:rPr>
                <w:rFonts w:eastAsia="Arial" w:cs="Arial"/>
                <w:sz w:val="16"/>
                <w:szCs w:val="16"/>
              </w:rPr>
            </w:pPr>
            <w:r w:rsidRPr="00B85D62">
              <w:rPr>
                <w:rFonts w:eastAsia="Arial" w:cs="Arial"/>
                <w:sz w:val="16"/>
                <w:szCs w:val="16"/>
              </w:rPr>
              <w:t>21.9%</w:t>
            </w:r>
          </w:p>
        </w:tc>
        <w:tc>
          <w:tcPr>
            <w:tcW w:w="0" w:type="auto"/>
            <w:shd w:val="clear" w:color="auto" w:fill="auto"/>
            <w:vAlign w:val="center"/>
          </w:tcPr>
          <w:p w14:paraId="111380DC" w14:textId="5E9D0B19" w:rsidR="3341BD48" w:rsidRPr="00B85D62" w:rsidRDefault="3341BD48" w:rsidP="0066232B">
            <w:pPr>
              <w:jc w:val="center"/>
              <w:rPr>
                <w:rFonts w:eastAsia="Arial" w:cs="Arial"/>
                <w:sz w:val="16"/>
                <w:szCs w:val="16"/>
              </w:rPr>
            </w:pPr>
            <w:r w:rsidRPr="00B85D62">
              <w:rPr>
                <w:rFonts w:eastAsia="Arial" w:cs="Arial"/>
                <w:sz w:val="16"/>
                <w:szCs w:val="16"/>
              </w:rPr>
              <w:t>190</w:t>
            </w:r>
          </w:p>
        </w:tc>
        <w:tc>
          <w:tcPr>
            <w:tcW w:w="0" w:type="auto"/>
            <w:shd w:val="clear" w:color="auto" w:fill="auto"/>
            <w:vAlign w:val="center"/>
          </w:tcPr>
          <w:p w14:paraId="62DD94DC" w14:textId="55E53B69" w:rsidR="3341BD48" w:rsidRPr="00B85D62" w:rsidRDefault="3341BD48" w:rsidP="0066232B">
            <w:pPr>
              <w:jc w:val="center"/>
              <w:rPr>
                <w:rFonts w:eastAsia="Arial" w:cs="Arial"/>
                <w:sz w:val="16"/>
                <w:szCs w:val="16"/>
              </w:rPr>
            </w:pPr>
            <w:r w:rsidRPr="00B85D62">
              <w:rPr>
                <w:rFonts w:eastAsia="Arial" w:cs="Arial"/>
                <w:sz w:val="16"/>
                <w:szCs w:val="16"/>
              </w:rPr>
              <w:t>22.5%</w:t>
            </w:r>
          </w:p>
        </w:tc>
      </w:tr>
      <w:tr w:rsidR="3341BD48" w:rsidRPr="00B85D62" w14:paraId="7DC1817C" w14:textId="77777777" w:rsidTr="00B85D62">
        <w:trPr>
          <w:cantSplit/>
        </w:trPr>
        <w:tc>
          <w:tcPr>
            <w:tcW w:w="0" w:type="auto"/>
            <w:shd w:val="clear" w:color="auto" w:fill="auto"/>
            <w:vAlign w:val="bottom"/>
          </w:tcPr>
          <w:p w14:paraId="2CAF7E4F" w14:textId="361807AC" w:rsidR="3341BD48" w:rsidRPr="00B85D62" w:rsidRDefault="00B85D62" w:rsidP="0066232B">
            <w:pPr>
              <w:rPr>
                <w:rFonts w:eastAsia="Arial" w:cs="Arial"/>
                <w:color w:val="000000" w:themeColor="text1"/>
                <w:sz w:val="16"/>
                <w:szCs w:val="16"/>
              </w:rPr>
            </w:pPr>
            <w:r w:rsidRPr="00B85D62">
              <w:rPr>
                <w:rFonts w:eastAsia="Arial" w:cs="Arial"/>
                <w:color w:val="000000" w:themeColor="text1"/>
                <w:sz w:val="16"/>
                <w:szCs w:val="16"/>
              </w:rPr>
              <w:t xml:space="preserve"> </w:t>
            </w:r>
            <w:r w:rsidR="3341BD48" w:rsidRPr="00B85D62">
              <w:rPr>
                <w:rFonts w:eastAsia="Arial" w:cs="Arial"/>
                <w:color w:val="000000" w:themeColor="text1"/>
                <w:sz w:val="16"/>
                <w:szCs w:val="16"/>
              </w:rPr>
              <w:t>Ex-smoker</w:t>
            </w:r>
          </w:p>
        </w:tc>
        <w:tc>
          <w:tcPr>
            <w:tcW w:w="0" w:type="auto"/>
            <w:shd w:val="clear" w:color="auto" w:fill="auto"/>
            <w:vAlign w:val="center"/>
          </w:tcPr>
          <w:p w14:paraId="1E209E87" w14:textId="1F016C4E" w:rsidR="3341BD48" w:rsidRPr="00B85D62" w:rsidRDefault="3341BD48" w:rsidP="0066232B">
            <w:pPr>
              <w:jc w:val="center"/>
              <w:rPr>
                <w:rFonts w:eastAsia="Arial" w:cs="Arial"/>
                <w:sz w:val="16"/>
                <w:szCs w:val="16"/>
              </w:rPr>
            </w:pPr>
            <w:r w:rsidRPr="00B85D62">
              <w:rPr>
                <w:rFonts w:eastAsia="Arial" w:cs="Arial"/>
                <w:sz w:val="16"/>
                <w:szCs w:val="16"/>
              </w:rPr>
              <w:t>702</w:t>
            </w:r>
          </w:p>
        </w:tc>
        <w:tc>
          <w:tcPr>
            <w:tcW w:w="0" w:type="auto"/>
            <w:shd w:val="clear" w:color="auto" w:fill="auto"/>
            <w:vAlign w:val="center"/>
          </w:tcPr>
          <w:p w14:paraId="15003638" w14:textId="5F3C1160" w:rsidR="3341BD48" w:rsidRPr="00B85D62" w:rsidRDefault="3341BD48" w:rsidP="0066232B">
            <w:pPr>
              <w:jc w:val="center"/>
              <w:rPr>
                <w:rFonts w:eastAsia="Arial" w:cs="Arial"/>
                <w:sz w:val="16"/>
                <w:szCs w:val="16"/>
              </w:rPr>
            </w:pPr>
            <w:r w:rsidRPr="00B85D62">
              <w:rPr>
                <w:rFonts w:eastAsia="Arial" w:cs="Arial"/>
                <w:sz w:val="16"/>
                <w:szCs w:val="16"/>
              </w:rPr>
              <w:t>24.4%</w:t>
            </w:r>
          </w:p>
        </w:tc>
        <w:tc>
          <w:tcPr>
            <w:tcW w:w="0" w:type="auto"/>
            <w:shd w:val="clear" w:color="auto" w:fill="auto"/>
            <w:vAlign w:val="center"/>
          </w:tcPr>
          <w:p w14:paraId="0FE94ED4" w14:textId="2EA87D39" w:rsidR="3341BD48" w:rsidRPr="00B85D62" w:rsidRDefault="3341BD48" w:rsidP="0066232B">
            <w:pPr>
              <w:jc w:val="center"/>
              <w:rPr>
                <w:rFonts w:eastAsia="Arial" w:cs="Arial"/>
                <w:sz w:val="16"/>
                <w:szCs w:val="16"/>
              </w:rPr>
            </w:pPr>
            <w:r w:rsidRPr="00B85D62">
              <w:rPr>
                <w:rFonts w:eastAsia="Arial" w:cs="Arial"/>
                <w:sz w:val="16"/>
                <w:szCs w:val="16"/>
              </w:rPr>
              <w:t>164</w:t>
            </w:r>
          </w:p>
        </w:tc>
        <w:tc>
          <w:tcPr>
            <w:tcW w:w="0" w:type="auto"/>
            <w:shd w:val="clear" w:color="auto" w:fill="auto"/>
            <w:vAlign w:val="center"/>
          </w:tcPr>
          <w:p w14:paraId="6C709453" w14:textId="213AC8C8" w:rsidR="3341BD48" w:rsidRPr="00B85D62" w:rsidRDefault="3341BD48" w:rsidP="0066232B">
            <w:pPr>
              <w:jc w:val="center"/>
              <w:rPr>
                <w:rFonts w:eastAsia="Arial" w:cs="Arial"/>
                <w:sz w:val="16"/>
                <w:szCs w:val="16"/>
              </w:rPr>
            </w:pPr>
            <w:r w:rsidRPr="00B85D62">
              <w:rPr>
                <w:rFonts w:eastAsia="Arial" w:cs="Arial"/>
                <w:sz w:val="16"/>
                <w:szCs w:val="16"/>
              </w:rPr>
              <w:t>22.0%</w:t>
            </w:r>
          </w:p>
        </w:tc>
        <w:tc>
          <w:tcPr>
            <w:tcW w:w="0" w:type="auto"/>
            <w:shd w:val="clear" w:color="auto" w:fill="auto"/>
            <w:vAlign w:val="center"/>
          </w:tcPr>
          <w:p w14:paraId="1E8EA669" w14:textId="4A7BF937" w:rsidR="3341BD48" w:rsidRPr="00B85D62" w:rsidRDefault="3341BD48" w:rsidP="0066232B">
            <w:pPr>
              <w:jc w:val="center"/>
              <w:rPr>
                <w:rFonts w:eastAsia="Arial" w:cs="Arial"/>
                <w:sz w:val="16"/>
                <w:szCs w:val="16"/>
              </w:rPr>
            </w:pPr>
            <w:r w:rsidRPr="00B85D62">
              <w:rPr>
                <w:rFonts w:eastAsia="Arial" w:cs="Arial"/>
                <w:sz w:val="16"/>
                <w:szCs w:val="16"/>
              </w:rPr>
              <w:t>314</w:t>
            </w:r>
          </w:p>
        </w:tc>
        <w:tc>
          <w:tcPr>
            <w:tcW w:w="0" w:type="auto"/>
            <w:shd w:val="clear" w:color="auto" w:fill="auto"/>
            <w:vAlign w:val="center"/>
          </w:tcPr>
          <w:p w14:paraId="6F6FE8EF" w14:textId="66394AB1" w:rsidR="3341BD48" w:rsidRPr="00B85D62" w:rsidRDefault="3341BD48" w:rsidP="0066232B">
            <w:pPr>
              <w:jc w:val="center"/>
              <w:rPr>
                <w:rFonts w:eastAsia="Arial" w:cs="Arial"/>
                <w:sz w:val="16"/>
                <w:szCs w:val="16"/>
              </w:rPr>
            </w:pPr>
            <w:r w:rsidRPr="00B85D62">
              <w:rPr>
                <w:rFonts w:eastAsia="Arial" w:cs="Arial"/>
                <w:sz w:val="16"/>
                <w:szCs w:val="16"/>
              </w:rPr>
              <w:t>24.3%</w:t>
            </w:r>
          </w:p>
        </w:tc>
        <w:tc>
          <w:tcPr>
            <w:tcW w:w="0" w:type="auto"/>
            <w:shd w:val="clear" w:color="auto" w:fill="auto"/>
            <w:vAlign w:val="center"/>
          </w:tcPr>
          <w:p w14:paraId="3BB73ED8" w14:textId="46E0C9D3" w:rsidR="3341BD48" w:rsidRPr="00B85D62" w:rsidRDefault="3341BD48" w:rsidP="0066232B">
            <w:pPr>
              <w:jc w:val="center"/>
              <w:rPr>
                <w:rFonts w:eastAsia="Arial" w:cs="Arial"/>
                <w:sz w:val="16"/>
                <w:szCs w:val="16"/>
              </w:rPr>
            </w:pPr>
            <w:r w:rsidRPr="00B85D62">
              <w:rPr>
                <w:rFonts w:eastAsia="Arial" w:cs="Arial"/>
                <w:sz w:val="16"/>
                <w:szCs w:val="16"/>
              </w:rPr>
              <w:t>224</w:t>
            </w:r>
          </w:p>
        </w:tc>
        <w:tc>
          <w:tcPr>
            <w:tcW w:w="0" w:type="auto"/>
            <w:shd w:val="clear" w:color="auto" w:fill="auto"/>
            <w:vAlign w:val="center"/>
          </w:tcPr>
          <w:p w14:paraId="3D087432" w14:textId="2295553F" w:rsidR="3341BD48" w:rsidRPr="00B85D62" w:rsidRDefault="3341BD48" w:rsidP="0066232B">
            <w:pPr>
              <w:jc w:val="center"/>
              <w:rPr>
                <w:rFonts w:eastAsia="Arial" w:cs="Arial"/>
                <w:sz w:val="16"/>
                <w:szCs w:val="16"/>
              </w:rPr>
            </w:pPr>
            <w:r w:rsidRPr="00B85D62">
              <w:rPr>
                <w:rFonts w:eastAsia="Arial" w:cs="Arial"/>
                <w:sz w:val="16"/>
                <w:szCs w:val="16"/>
              </w:rPr>
              <w:t>26.5%</w:t>
            </w:r>
          </w:p>
        </w:tc>
      </w:tr>
      <w:tr w:rsidR="3341BD48" w:rsidRPr="00B85D62" w14:paraId="6798B410" w14:textId="77777777" w:rsidTr="00B85D62">
        <w:trPr>
          <w:cantSplit/>
        </w:trPr>
        <w:tc>
          <w:tcPr>
            <w:tcW w:w="0" w:type="auto"/>
            <w:shd w:val="clear" w:color="auto" w:fill="auto"/>
            <w:vAlign w:val="bottom"/>
          </w:tcPr>
          <w:p w14:paraId="4C681A91" w14:textId="1ED94FA4" w:rsidR="3341BD48" w:rsidRPr="00B85D62" w:rsidRDefault="00B85D62" w:rsidP="0066232B">
            <w:pPr>
              <w:rPr>
                <w:rFonts w:eastAsia="Arial" w:cs="Arial"/>
                <w:color w:val="000000" w:themeColor="text1"/>
                <w:sz w:val="16"/>
                <w:szCs w:val="16"/>
              </w:rPr>
            </w:pPr>
            <w:r w:rsidRPr="00B85D62">
              <w:rPr>
                <w:rFonts w:eastAsia="Arial" w:cs="Arial"/>
                <w:color w:val="000000" w:themeColor="text1"/>
                <w:sz w:val="16"/>
                <w:szCs w:val="16"/>
              </w:rPr>
              <w:t xml:space="preserve"> </w:t>
            </w:r>
            <w:r w:rsidR="3341BD48" w:rsidRPr="00B85D62">
              <w:rPr>
                <w:rFonts w:eastAsia="Arial" w:cs="Arial"/>
                <w:color w:val="000000" w:themeColor="text1"/>
                <w:sz w:val="16"/>
                <w:szCs w:val="16"/>
              </w:rPr>
              <w:t>Never</w:t>
            </w:r>
          </w:p>
        </w:tc>
        <w:tc>
          <w:tcPr>
            <w:tcW w:w="0" w:type="auto"/>
            <w:shd w:val="clear" w:color="auto" w:fill="auto"/>
            <w:vAlign w:val="center"/>
          </w:tcPr>
          <w:p w14:paraId="09DC46D6" w14:textId="2D1C9C89" w:rsidR="3341BD48" w:rsidRPr="00B85D62" w:rsidRDefault="3341BD48" w:rsidP="0066232B">
            <w:pPr>
              <w:jc w:val="center"/>
              <w:rPr>
                <w:rFonts w:eastAsia="Arial" w:cs="Arial"/>
                <w:sz w:val="16"/>
                <w:szCs w:val="16"/>
              </w:rPr>
            </w:pPr>
            <w:r w:rsidRPr="00B85D62">
              <w:rPr>
                <w:rFonts w:eastAsia="Arial" w:cs="Arial"/>
                <w:sz w:val="16"/>
                <w:szCs w:val="16"/>
              </w:rPr>
              <w:t>1349</w:t>
            </w:r>
          </w:p>
        </w:tc>
        <w:tc>
          <w:tcPr>
            <w:tcW w:w="0" w:type="auto"/>
            <w:shd w:val="clear" w:color="auto" w:fill="auto"/>
            <w:vAlign w:val="center"/>
          </w:tcPr>
          <w:p w14:paraId="122E6C43" w14:textId="0B8C0D23" w:rsidR="3341BD48" w:rsidRPr="00B85D62" w:rsidRDefault="3341BD48" w:rsidP="0066232B">
            <w:pPr>
              <w:jc w:val="center"/>
              <w:rPr>
                <w:rFonts w:eastAsia="Arial" w:cs="Arial"/>
                <w:sz w:val="16"/>
                <w:szCs w:val="16"/>
              </w:rPr>
            </w:pPr>
            <w:r w:rsidRPr="00B85D62">
              <w:rPr>
                <w:rFonts w:eastAsia="Arial" w:cs="Arial"/>
                <w:sz w:val="16"/>
                <w:szCs w:val="16"/>
              </w:rPr>
              <w:t>46.9%</w:t>
            </w:r>
          </w:p>
        </w:tc>
        <w:tc>
          <w:tcPr>
            <w:tcW w:w="0" w:type="auto"/>
            <w:shd w:val="clear" w:color="auto" w:fill="auto"/>
            <w:vAlign w:val="center"/>
          </w:tcPr>
          <w:p w14:paraId="344FEC56" w14:textId="5179C74A" w:rsidR="3341BD48" w:rsidRPr="00B85D62" w:rsidRDefault="3341BD48" w:rsidP="0066232B">
            <w:pPr>
              <w:jc w:val="center"/>
              <w:rPr>
                <w:rFonts w:eastAsia="Arial" w:cs="Arial"/>
                <w:sz w:val="16"/>
                <w:szCs w:val="16"/>
              </w:rPr>
            </w:pPr>
            <w:r w:rsidRPr="00B85D62">
              <w:rPr>
                <w:rFonts w:eastAsia="Arial" w:cs="Arial"/>
                <w:sz w:val="16"/>
                <w:szCs w:val="16"/>
              </w:rPr>
              <w:t>374</w:t>
            </w:r>
          </w:p>
        </w:tc>
        <w:tc>
          <w:tcPr>
            <w:tcW w:w="0" w:type="auto"/>
            <w:shd w:val="clear" w:color="auto" w:fill="auto"/>
            <w:vAlign w:val="center"/>
          </w:tcPr>
          <w:p w14:paraId="292F815E" w14:textId="06FF4981" w:rsidR="3341BD48" w:rsidRPr="00B85D62" w:rsidRDefault="3341BD48" w:rsidP="0066232B">
            <w:pPr>
              <w:jc w:val="center"/>
              <w:rPr>
                <w:rFonts w:eastAsia="Arial" w:cs="Arial"/>
                <w:sz w:val="16"/>
                <w:szCs w:val="16"/>
              </w:rPr>
            </w:pPr>
            <w:r w:rsidRPr="00B85D62">
              <w:rPr>
                <w:rFonts w:eastAsia="Arial" w:cs="Arial"/>
                <w:sz w:val="16"/>
                <w:szCs w:val="16"/>
              </w:rPr>
              <w:t>50.3%</w:t>
            </w:r>
          </w:p>
        </w:tc>
        <w:tc>
          <w:tcPr>
            <w:tcW w:w="0" w:type="auto"/>
            <w:shd w:val="clear" w:color="auto" w:fill="auto"/>
            <w:vAlign w:val="center"/>
          </w:tcPr>
          <w:p w14:paraId="3D41BB1F" w14:textId="4C2A5CBB" w:rsidR="3341BD48" w:rsidRPr="00B85D62" w:rsidRDefault="3341BD48" w:rsidP="0066232B">
            <w:pPr>
              <w:jc w:val="center"/>
              <w:rPr>
                <w:rFonts w:eastAsia="Arial" w:cs="Arial"/>
                <w:sz w:val="16"/>
                <w:szCs w:val="16"/>
              </w:rPr>
            </w:pPr>
            <w:r w:rsidRPr="00B85D62">
              <w:rPr>
                <w:rFonts w:eastAsia="Arial" w:cs="Arial"/>
                <w:sz w:val="16"/>
                <w:szCs w:val="16"/>
              </w:rPr>
              <w:t>592</w:t>
            </w:r>
          </w:p>
        </w:tc>
        <w:tc>
          <w:tcPr>
            <w:tcW w:w="0" w:type="auto"/>
            <w:shd w:val="clear" w:color="auto" w:fill="auto"/>
            <w:vAlign w:val="center"/>
          </w:tcPr>
          <w:p w14:paraId="10A5A251" w14:textId="102C1D56" w:rsidR="3341BD48" w:rsidRPr="00B85D62" w:rsidRDefault="3341BD48" w:rsidP="0066232B">
            <w:pPr>
              <w:jc w:val="center"/>
              <w:rPr>
                <w:rFonts w:eastAsia="Arial" w:cs="Arial"/>
                <w:sz w:val="16"/>
                <w:szCs w:val="16"/>
              </w:rPr>
            </w:pPr>
            <w:r w:rsidRPr="00B85D62">
              <w:rPr>
                <w:rFonts w:eastAsia="Arial" w:cs="Arial"/>
                <w:sz w:val="16"/>
                <w:szCs w:val="16"/>
              </w:rPr>
              <w:t>45.6%</w:t>
            </w:r>
          </w:p>
        </w:tc>
        <w:tc>
          <w:tcPr>
            <w:tcW w:w="0" w:type="auto"/>
            <w:shd w:val="clear" w:color="auto" w:fill="auto"/>
            <w:vAlign w:val="center"/>
          </w:tcPr>
          <w:p w14:paraId="19DA64BB" w14:textId="0785C51D" w:rsidR="3341BD48" w:rsidRPr="00B85D62" w:rsidRDefault="3341BD48" w:rsidP="0066232B">
            <w:pPr>
              <w:jc w:val="center"/>
              <w:rPr>
                <w:rFonts w:eastAsia="Arial" w:cs="Arial"/>
                <w:sz w:val="16"/>
                <w:szCs w:val="16"/>
              </w:rPr>
            </w:pPr>
            <w:r w:rsidRPr="00B85D62">
              <w:rPr>
                <w:rFonts w:eastAsia="Arial" w:cs="Arial"/>
                <w:sz w:val="16"/>
                <w:szCs w:val="16"/>
              </w:rPr>
              <w:t>383</w:t>
            </w:r>
          </w:p>
        </w:tc>
        <w:tc>
          <w:tcPr>
            <w:tcW w:w="0" w:type="auto"/>
            <w:shd w:val="clear" w:color="auto" w:fill="auto"/>
            <w:vAlign w:val="center"/>
          </w:tcPr>
          <w:p w14:paraId="099308DD" w14:textId="0E6F7692" w:rsidR="3341BD48" w:rsidRPr="00B85D62" w:rsidRDefault="3341BD48" w:rsidP="0066232B">
            <w:pPr>
              <w:jc w:val="center"/>
              <w:rPr>
                <w:rFonts w:eastAsia="Arial" w:cs="Arial"/>
                <w:sz w:val="16"/>
                <w:szCs w:val="16"/>
              </w:rPr>
            </w:pPr>
            <w:r w:rsidRPr="00B85D62">
              <w:rPr>
                <w:rFonts w:eastAsia="Arial" w:cs="Arial"/>
                <w:sz w:val="16"/>
                <w:szCs w:val="16"/>
              </w:rPr>
              <w:t>45.4%</w:t>
            </w:r>
          </w:p>
        </w:tc>
      </w:tr>
      <w:tr w:rsidR="3341BD48" w:rsidRPr="00B85D62" w14:paraId="53E02193" w14:textId="77777777" w:rsidTr="00B85D62">
        <w:trPr>
          <w:cantSplit/>
        </w:trPr>
        <w:tc>
          <w:tcPr>
            <w:tcW w:w="0" w:type="auto"/>
            <w:shd w:val="clear" w:color="auto" w:fill="auto"/>
            <w:vAlign w:val="bottom"/>
          </w:tcPr>
          <w:p w14:paraId="34D8AEAF" w14:textId="1E1D82D2" w:rsidR="3341BD48" w:rsidRPr="00B85D62" w:rsidRDefault="00B85D62" w:rsidP="0066232B">
            <w:pPr>
              <w:rPr>
                <w:rFonts w:eastAsia="Arial" w:cs="Arial"/>
                <w:color w:val="000000" w:themeColor="text1"/>
                <w:sz w:val="16"/>
                <w:szCs w:val="16"/>
              </w:rPr>
            </w:pPr>
            <w:r w:rsidRPr="00B85D62">
              <w:rPr>
                <w:rFonts w:eastAsia="Arial" w:cs="Arial"/>
                <w:color w:val="000000" w:themeColor="text1"/>
                <w:sz w:val="16"/>
                <w:szCs w:val="16"/>
              </w:rPr>
              <w:t xml:space="preserve"> </w:t>
            </w:r>
            <w:r w:rsidR="3341BD48" w:rsidRPr="00B85D62">
              <w:rPr>
                <w:rFonts w:eastAsia="Arial" w:cs="Arial"/>
                <w:color w:val="000000" w:themeColor="text1"/>
                <w:sz w:val="16"/>
                <w:szCs w:val="16"/>
              </w:rPr>
              <w:t>Unknown</w:t>
            </w:r>
          </w:p>
        </w:tc>
        <w:tc>
          <w:tcPr>
            <w:tcW w:w="0" w:type="auto"/>
            <w:shd w:val="clear" w:color="auto" w:fill="auto"/>
            <w:vAlign w:val="center"/>
          </w:tcPr>
          <w:p w14:paraId="5BEF8EB9" w14:textId="7441452B" w:rsidR="3341BD48" w:rsidRPr="00B85D62" w:rsidRDefault="3341BD48" w:rsidP="0066232B">
            <w:pPr>
              <w:jc w:val="center"/>
              <w:rPr>
                <w:rFonts w:eastAsia="Arial" w:cs="Arial"/>
                <w:sz w:val="16"/>
                <w:szCs w:val="16"/>
              </w:rPr>
            </w:pPr>
            <w:r w:rsidRPr="00B85D62">
              <w:rPr>
                <w:rFonts w:eastAsia="Arial" w:cs="Arial"/>
                <w:sz w:val="16"/>
                <w:szCs w:val="16"/>
              </w:rPr>
              <w:t>22</w:t>
            </w:r>
          </w:p>
        </w:tc>
        <w:tc>
          <w:tcPr>
            <w:tcW w:w="0" w:type="auto"/>
            <w:shd w:val="clear" w:color="auto" w:fill="auto"/>
            <w:vAlign w:val="center"/>
          </w:tcPr>
          <w:p w14:paraId="41911BDE" w14:textId="1915DBB9" w:rsidR="3341BD48" w:rsidRPr="00B85D62" w:rsidRDefault="3341BD48" w:rsidP="0066232B">
            <w:pPr>
              <w:jc w:val="center"/>
              <w:rPr>
                <w:rFonts w:eastAsia="Arial" w:cs="Arial"/>
                <w:sz w:val="16"/>
                <w:szCs w:val="16"/>
              </w:rPr>
            </w:pPr>
            <w:r w:rsidRPr="00B85D62">
              <w:rPr>
                <w:rFonts w:eastAsia="Arial" w:cs="Arial"/>
                <w:sz w:val="16"/>
                <w:szCs w:val="16"/>
              </w:rPr>
              <w:t>0.8%</w:t>
            </w:r>
          </w:p>
        </w:tc>
        <w:tc>
          <w:tcPr>
            <w:tcW w:w="0" w:type="auto"/>
            <w:shd w:val="clear" w:color="auto" w:fill="auto"/>
            <w:vAlign w:val="center"/>
          </w:tcPr>
          <w:p w14:paraId="1BAFE60A" w14:textId="0FC9556D" w:rsidR="3341BD48" w:rsidRPr="00B85D62" w:rsidRDefault="3341BD48" w:rsidP="0066232B">
            <w:pPr>
              <w:jc w:val="center"/>
              <w:rPr>
                <w:rFonts w:eastAsia="Arial" w:cs="Arial"/>
                <w:sz w:val="16"/>
                <w:szCs w:val="16"/>
              </w:rPr>
            </w:pPr>
            <w:r w:rsidRPr="00B85D62">
              <w:rPr>
                <w:rFonts w:eastAsia="Arial" w:cs="Arial"/>
                <w:sz w:val="16"/>
                <w:szCs w:val="16"/>
              </w:rPr>
              <w:t>9</w:t>
            </w:r>
          </w:p>
        </w:tc>
        <w:tc>
          <w:tcPr>
            <w:tcW w:w="0" w:type="auto"/>
            <w:shd w:val="clear" w:color="auto" w:fill="auto"/>
            <w:vAlign w:val="center"/>
          </w:tcPr>
          <w:p w14:paraId="599B8A17" w14:textId="6C8C694B" w:rsidR="3341BD48" w:rsidRPr="00B85D62" w:rsidRDefault="3341BD48" w:rsidP="0066232B">
            <w:pPr>
              <w:jc w:val="center"/>
              <w:rPr>
                <w:rFonts w:eastAsia="Arial" w:cs="Arial"/>
                <w:sz w:val="16"/>
                <w:szCs w:val="16"/>
              </w:rPr>
            </w:pPr>
            <w:r w:rsidRPr="00B85D62">
              <w:rPr>
                <w:rFonts w:eastAsia="Arial" w:cs="Arial"/>
                <w:sz w:val="16"/>
                <w:szCs w:val="16"/>
              </w:rPr>
              <w:t>1.2%</w:t>
            </w:r>
          </w:p>
        </w:tc>
        <w:tc>
          <w:tcPr>
            <w:tcW w:w="0" w:type="auto"/>
            <w:shd w:val="clear" w:color="auto" w:fill="auto"/>
            <w:vAlign w:val="center"/>
          </w:tcPr>
          <w:p w14:paraId="6D5DD52F" w14:textId="14D4BC28" w:rsidR="3341BD48" w:rsidRPr="00B85D62" w:rsidRDefault="3341BD48" w:rsidP="0066232B">
            <w:pPr>
              <w:jc w:val="center"/>
              <w:rPr>
                <w:rFonts w:eastAsia="Arial" w:cs="Arial"/>
                <w:sz w:val="16"/>
                <w:szCs w:val="16"/>
              </w:rPr>
            </w:pPr>
            <w:r w:rsidRPr="00B85D62">
              <w:rPr>
                <w:rFonts w:eastAsia="Arial" w:cs="Arial"/>
                <w:sz w:val="16"/>
                <w:szCs w:val="16"/>
              </w:rPr>
              <w:t>6</w:t>
            </w:r>
          </w:p>
        </w:tc>
        <w:tc>
          <w:tcPr>
            <w:tcW w:w="0" w:type="auto"/>
            <w:shd w:val="clear" w:color="auto" w:fill="auto"/>
            <w:vAlign w:val="center"/>
          </w:tcPr>
          <w:p w14:paraId="08DCE0B8" w14:textId="643ACBB3" w:rsidR="3341BD48" w:rsidRPr="00B85D62" w:rsidRDefault="3341BD48" w:rsidP="0066232B">
            <w:pPr>
              <w:jc w:val="center"/>
              <w:rPr>
                <w:rFonts w:eastAsia="Arial" w:cs="Arial"/>
                <w:sz w:val="16"/>
                <w:szCs w:val="16"/>
              </w:rPr>
            </w:pPr>
            <w:r w:rsidRPr="00B85D62">
              <w:rPr>
                <w:rFonts w:eastAsia="Arial" w:cs="Arial"/>
                <w:sz w:val="16"/>
                <w:szCs w:val="16"/>
              </w:rPr>
              <w:t>0.5%</w:t>
            </w:r>
          </w:p>
        </w:tc>
        <w:tc>
          <w:tcPr>
            <w:tcW w:w="0" w:type="auto"/>
            <w:shd w:val="clear" w:color="auto" w:fill="auto"/>
            <w:vAlign w:val="center"/>
          </w:tcPr>
          <w:p w14:paraId="2F70BDE4" w14:textId="2FCC8CD9" w:rsidR="3341BD48" w:rsidRPr="00B85D62" w:rsidRDefault="3341BD48" w:rsidP="0066232B">
            <w:pPr>
              <w:jc w:val="center"/>
              <w:rPr>
                <w:rFonts w:eastAsia="Arial" w:cs="Arial"/>
                <w:sz w:val="16"/>
                <w:szCs w:val="16"/>
              </w:rPr>
            </w:pPr>
            <w:r w:rsidRPr="00B85D62">
              <w:rPr>
                <w:rFonts w:eastAsia="Arial" w:cs="Arial"/>
                <w:sz w:val="16"/>
                <w:szCs w:val="16"/>
              </w:rPr>
              <w:t>7</w:t>
            </w:r>
          </w:p>
        </w:tc>
        <w:tc>
          <w:tcPr>
            <w:tcW w:w="0" w:type="auto"/>
            <w:shd w:val="clear" w:color="auto" w:fill="auto"/>
            <w:vAlign w:val="center"/>
          </w:tcPr>
          <w:p w14:paraId="1D334836" w14:textId="327A5711" w:rsidR="3341BD48" w:rsidRPr="00B85D62" w:rsidRDefault="3341BD48" w:rsidP="0066232B">
            <w:pPr>
              <w:jc w:val="center"/>
              <w:rPr>
                <w:rFonts w:eastAsia="Arial" w:cs="Arial"/>
                <w:sz w:val="16"/>
                <w:szCs w:val="16"/>
              </w:rPr>
            </w:pPr>
            <w:r w:rsidRPr="00B85D62">
              <w:rPr>
                <w:rFonts w:eastAsia="Arial" w:cs="Arial"/>
                <w:sz w:val="16"/>
                <w:szCs w:val="16"/>
              </w:rPr>
              <w:t>0.8%</w:t>
            </w:r>
          </w:p>
        </w:tc>
      </w:tr>
      <w:tr w:rsidR="3341BD48" w:rsidRPr="00B85D62" w14:paraId="4B7C12FE" w14:textId="77777777" w:rsidTr="00B85D62">
        <w:trPr>
          <w:cantSplit/>
        </w:trPr>
        <w:tc>
          <w:tcPr>
            <w:tcW w:w="0" w:type="auto"/>
            <w:shd w:val="clear" w:color="auto" w:fill="auto"/>
            <w:vAlign w:val="bottom"/>
          </w:tcPr>
          <w:p w14:paraId="1A3330DC" w14:textId="79B368B6" w:rsidR="3341BD48" w:rsidRPr="00B85D62" w:rsidRDefault="00B85D62" w:rsidP="0066232B">
            <w:pPr>
              <w:rPr>
                <w:rFonts w:eastAsia="Arial" w:cs="Arial"/>
                <w:color w:val="000000" w:themeColor="text1"/>
                <w:sz w:val="16"/>
                <w:szCs w:val="16"/>
              </w:rPr>
            </w:pPr>
            <w:r w:rsidRPr="00B85D62">
              <w:rPr>
                <w:rFonts w:eastAsia="Arial" w:cs="Arial"/>
                <w:color w:val="000000" w:themeColor="text1"/>
                <w:sz w:val="16"/>
                <w:szCs w:val="16"/>
              </w:rPr>
              <w:t xml:space="preserve"> </w:t>
            </w:r>
            <w:r w:rsidR="3341BD48" w:rsidRPr="00B85D62">
              <w:rPr>
                <w:rFonts w:eastAsia="Arial" w:cs="Arial"/>
                <w:color w:val="000000" w:themeColor="text1"/>
                <w:sz w:val="16"/>
                <w:szCs w:val="16"/>
              </w:rPr>
              <w:t>Missing</w:t>
            </w:r>
          </w:p>
        </w:tc>
        <w:tc>
          <w:tcPr>
            <w:tcW w:w="0" w:type="auto"/>
            <w:shd w:val="clear" w:color="auto" w:fill="auto"/>
            <w:vAlign w:val="center"/>
          </w:tcPr>
          <w:p w14:paraId="485C8078" w14:textId="569620B8" w:rsidR="3341BD48" w:rsidRPr="00B85D62" w:rsidRDefault="3341BD48" w:rsidP="0066232B">
            <w:pPr>
              <w:jc w:val="center"/>
              <w:rPr>
                <w:rFonts w:eastAsia="Arial" w:cs="Arial"/>
                <w:sz w:val="16"/>
                <w:szCs w:val="16"/>
              </w:rPr>
            </w:pPr>
            <w:r w:rsidRPr="00B85D62">
              <w:rPr>
                <w:rFonts w:eastAsia="Arial" w:cs="Arial"/>
                <w:sz w:val="16"/>
                <w:szCs w:val="16"/>
              </w:rPr>
              <w:t>198</w:t>
            </w:r>
          </w:p>
        </w:tc>
        <w:tc>
          <w:tcPr>
            <w:tcW w:w="0" w:type="auto"/>
            <w:shd w:val="clear" w:color="auto" w:fill="auto"/>
            <w:vAlign w:val="center"/>
          </w:tcPr>
          <w:p w14:paraId="499C3251" w14:textId="21552BD0" w:rsidR="3341BD48" w:rsidRPr="00B85D62" w:rsidRDefault="3341BD48" w:rsidP="0066232B">
            <w:pPr>
              <w:jc w:val="center"/>
              <w:rPr>
                <w:rFonts w:eastAsia="Arial" w:cs="Arial"/>
                <w:sz w:val="16"/>
                <w:szCs w:val="16"/>
              </w:rPr>
            </w:pPr>
            <w:r w:rsidRPr="00B85D62">
              <w:rPr>
                <w:rFonts w:eastAsia="Arial" w:cs="Arial"/>
                <w:sz w:val="16"/>
                <w:szCs w:val="16"/>
              </w:rPr>
              <w:t>6.9%</w:t>
            </w:r>
          </w:p>
        </w:tc>
        <w:tc>
          <w:tcPr>
            <w:tcW w:w="0" w:type="auto"/>
            <w:shd w:val="clear" w:color="auto" w:fill="auto"/>
            <w:vAlign w:val="center"/>
          </w:tcPr>
          <w:p w14:paraId="73307EE5" w14:textId="0589E413" w:rsidR="3341BD48" w:rsidRPr="00B85D62" w:rsidRDefault="3341BD48" w:rsidP="0066232B">
            <w:pPr>
              <w:jc w:val="center"/>
              <w:rPr>
                <w:rFonts w:eastAsia="Arial" w:cs="Arial"/>
                <w:sz w:val="16"/>
                <w:szCs w:val="16"/>
              </w:rPr>
            </w:pPr>
            <w:r w:rsidRPr="00B85D62">
              <w:rPr>
                <w:rFonts w:eastAsia="Arial" w:cs="Arial"/>
                <w:sz w:val="16"/>
                <w:szCs w:val="16"/>
              </w:rPr>
              <w:t>54</w:t>
            </w:r>
          </w:p>
        </w:tc>
        <w:tc>
          <w:tcPr>
            <w:tcW w:w="0" w:type="auto"/>
            <w:shd w:val="clear" w:color="auto" w:fill="auto"/>
            <w:vAlign w:val="center"/>
          </w:tcPr>
          <w:p w14:paraId="39DC896E" w14:textId="4854CA41" w:rsidR="3341BD48" w:rsidRPr="00B85D62" w:rsidRDefault="3341BD48" w:rsidP="0066232B">
            <w:pPr>
              <w:jc w:val="center"/>
              <w:rPr>
                <w:rFonts w:eastAsia="Arial" w:cs="Arial"/>
                <w:sz w:val="16"/>
                <w:szCs w:val="16"/>
              </w:rPr>
            </w:pPr>
            <w:r w:rsidRPr="00B85D62">
              <w:rPr>
                <w:rFonts w:eastAsia="Arial" w:cs="Arial"/>
                <w:sz w:val="16"/>
                <w:szCs w:val="16"/>
              </w:rPr>
              <w:t>7.3%</w:t>
            </w:r>
          </w:p>
        </w:tc>
        <w:tc>
          <w:tcPr>
            <w:tcW w:w="0" w:type="auto"/>
            <w:shd w:val="clear" w:color="auto" w:fill="auto"/>
            <w:vAlign w:val="center"/>
          </w:tcPr>
          <w:p w14:paraId="17D062E6" w14:textId="078E1C29" w:rsidR="3341BD48" w:rsidRPr="00B85D62" w:rsidRDefault="3341BD48" w:rsidP="0066232B">
            <w:pPr>
              <w:jc w:val="center"/>
              <w:rPr>
                <w:rFonts w:eastAsia="Arial" w:cs="Arial"/>
                <w:sz w:val="16"/>
                <w:szCs w:val="16"/>
              </w:rPr>
            </w:pPr>
            <w:r w:rsidRPr="00B85D62">
              <w:rPr>
                <w:rFonts w:eastAsia="Arial" w:cs="Arial"/>
                <w:sz w:val="16"/>
                <w:szCs w:val="16"/>
              </w:rPr>
              <w:t>101</w:t>
            </w:r>
          </w:p>
        </w:tc>
        <w:tc>
          <w:tcPr>
            <w:tcW w:w="0" w:type="auto"/>
            <w:shd w:val="clear" w:color="auto" w:fill="auto"/>
            <w:vAlign w:val="center"/>
          </w:tcPr>
          <w:p w14:paraId="14C90EA1" w14:textId="1318EF02" w:rsidR="3341BD48" w:rsidRPr="00B85D62" w:rsidRDefault="3341BD48" w:rsidP="0066232B">
            <w:pPr>
              <w:jc w:val="center"/>
              <w:rPr>
                <w:rFonts w:eastAsia="Arial" w:cs="Arial"/>
                <w:sz w:val="16"/>
                <w:szCs w:val="16"/>
              </w:rPr>
            </w:pPr>
            <w:r w:rsidRPr="00B85D62">
              <w:rPr>
                <w:rFonts w:eastAsia="Arial" w:cs="Arial"/>
                <w:sz w:val="16"/>
                <w:szCs w:val="16"/>
              </w:rPr>
              <w:t>7.8%</w:t>
            </w:r>
          </w:p>
        </w:tc>
        <w:tc>
          <w:tcPr>
            <w:tcW w:w="0" w:type="auto"/>
            <w:shd w:val="clear" w:color="auto" w:fill="auto"/>
            <w:vAlign w:val="center"/>
          </w:tcPr>
          <w:p w14:paraId="3117793F" w14:textId="50A28010" w:rsidR="3341BD48" w:rsidRPr="00B85D62" w:rsidRDefault="3341BD48" w:rsidP="0066232B">
            <w:pPr>
              <w:jc w:val="center"/>
              <w:rPr>
                <w:rFonts w:eastAsia="Arial" w:cs="Arial"/>
                <w:sz w:val="16"/>
                <w:szCs w:val="16"/>
              </w:rPr>
            </w:pPr>
            <w:r w:rsidRPr="00B85D62">
              <w:rPr>
                <w:rFonts w:eastAsia="Arial" w:cs="Arial"/>
                <w:sz w:val="16"/>
                <w:szCs w:val="16"/>
              </w:rPr>
              <w:t>43</w:t>
            </w:r>
          </w:p>
        </w:tc>
        <w:tc>
          <w:tcPr>
            <w:tcW w:w="0" w:type="auto"/>
            <w:shd w:val="clear" w:color="auto" w:fill="auto"/>
            <w:vAlign w:val="center"/>
          </w:tcPr>
          <w:p w14:paraId="6A37DA0E" w14:textId="3B42AE85" w:rsidR="3341BD48" w:rsidRPr="00B85D62" w:rsidRDefault="3341BD48" w:rsidP="0066232B">
            <w:pPr>
              <w:jc w:val="center"/>
              <w:rPr>
                <w:rFonts w:eastAsia="Arial" w:cs="Arial"/>
                <w:sz w:val="16"/>
                <w:szCs w:val="16"/>
              </w:rPr>
            </w:pPr>
            <w:r w:rsidRPr="00B85D62">
              <w:rPr>
                <w:rFonts w:eastAsia="Arial" w:cs="Arial"/>
                <w:sz w:val="16"/>
                <w:szCs w:val="16"/>
              </w:rPr>
              <w:t>5.1%</w:t>
            </w:r>
          </w:p>
        </w:tc>
      </w:tr>
      <w:tr w:rsidR="3341BD48" w:rsidRPr="00B85D62" w14:paraId="571C359F" w14:textId="77777777" w:rsidTr="00B85D62">
        <w:trPr>
          <w:cantSplit/>
        </w:trPr>
        <w:tc>
          <w:tcPr>
            <w:tcW w:w="0" w:type="auto"/>
            <w:shd w:val="clear" w:color="auto" w:fill="auto"/>
            <w:vAlign w:val="center"/>
          </w:tcPr>
          <w:p w14:paraId="1B3C3CC0" w14:textId="22729A01" w:rsidR="3341BD48" w:rsidRPr="00B85D62" w:rsidRDefault="3341BD48" w:rsidP="0066232B">
            <w:pPr>
              <w:rPr>
                <w:rFonts w:eastAsia="Arial" w:cs="Arial"/>
                <w:sz w:val="16"/>
                <w:szCs w:val="16"/>
              </w:rPr>
            </w:pPr>
            <w:r w:rsidRPr="00B85D62">
              <w:rPr>
                <w:rFonts w:eastAsia="Arial" w:cs="Arial"/>
                <w:sz w:val="16"/>
                <w:szCs w:val="16"/>
              </w:rPr>
              <w:t>Diabetes type 1 &amp; 2</w:t>
            </w:r>
          </w:p>
        </w:tc>
        <w:tc>
          <w:tcPr>
            <w:tcW w:w="0" w:type="auto"/>
            <w:shd w:val="clear" w:color="auto" w:fill="auto"/>
            <w:vAlign w:val="center"/>
          </w:tcPr>
          <w:p w14:paraId="5537C3F7" w14:textId="32B9BF95" w:rsidR="3341BD48" w:rsidRPr="00B85D62" w:rsidRDefault="3341BD48" w:rsidP="0066232B">
            <w:pPr>
              <w:jc w:val="center"/>
              <w:rPr>
                <w:rFonts w:eastAsia="Arial" w:cs="Arial"/>
                <w:sz w:val="16"/>
                <w:szCs w:val="16"/>
              </w:rPr>
            </w:pPr>
            <w:r w:rsidRPr="00B85D62">
              <w:rPr>
                <w:rFonts w:eastAsia="Arial" w:cs="Arial"/>
                <w:sz w:val="16"/>
                <w:szCs w:val="16"/>
              </w:rPr>
              <w:t>46</w:t>
            </w:r>
          </w:p>
        </w:tc>
        <w:tc>
          <w:tcPr>
            <w:tcW w:w="0" w:type="auto"/>
            <w:shd w:val="clear" w:color="auto" w:fill="auto"/>
            <w:vAlign w:val="center"/>
          </w:tcPr>
          <w:p w14:paraId="65D27DE4" w14:textId="4509115F" w:rsidR="3341BD48" w:rsidRPr="00B85D62" w:rsidRDefault="3341BD48" w:rsidP="0066232B">
            <w:pPr>
              <w:jc w:val="center"/>
              <w:rPr>
                <w:rFonts w:eastAsia="Arial" w:cs="Arial"/>
                <w:sz w:val="16"/>
                <w:szCs w:val="16"/>
              </w:rPr>
            </w:pPr>
            <w:r w:rsidRPr="00B85D62">
              <w:rPr>
                <w:rFonts w:eastAsia="Arial" w:cs="Arial"/>
                <w:sz w:val="16"/>
                <w:szCs w:val="16"/>
              </w:rPr>
              <w:t>1.6%</w:t>
            </w:r>
          </w:p>
        </w:tc>
        <w:tc>
          <w:tcPr>
            <w:tcW w:w="0" w:type="auto"/>
            <w:shd w:val="clear" w:color="auto" w:fill="auto"/>
            <w:vAlign w:val="center"/>
          </w:tcPr>
          <w:p w14:paraId="21F2B6DF" w14:textId="52CFEA91" w:rsidR="3341BD48" w:rsidRPr="00B85D62" w:rsidRDefault="3341BD48" w:rsidP="0066232B">
            <w:pPr>
              <w:jc w:val="center"/>
              <w:rPr>
                <w:rFonts w:eastAsia="Arial" w:cs="Arial"/>
                <w:sz w:val="16"/>
                <w:szCs w:val="16"/>
              </w:rPr>
            </w:pPr>
            <w:r w:rsidRPr="00B85D62">
              <w:rPr>
                <w:rFonts w:eastAsia="Arial" w:cs="Arial"/>
                <w:sz w:val="16"/>
                <w:szCs w:val="16"/>
              </w:rPr>
              <w:t>1</w:t>
            </w:r>
          </w:p>
        </w:tc>
        <w:tc>
          <w:tcPr>
            <w:tcW w:w="0" w:type="auto"/>
            <w:shd w:val="clear" w:color="auto" w:fill="auto"/>
            <w:vAlign w:val="center"/>
          </w:tcPr>
          <w:p w14:paraId="17B09980" w14:textId="235C38AC" w:rsidR="3341BD48" w:rsidRPr="00B85D62" w:rsidRDefault="3341BD48" w:rsidP="0066232B">
            <w:pPr>
              <w:jc w:val="center"/>
              <w:rPr>
                <w:rFonts w:eastAsia="Arial" w:cs="Arial"/>
                <w:sz w:val="16"/>
                <w:szCs w:val="16"/>
              </w:rPr>
            </w:pPr>
            <w:r w:rsidRPr="00B85D62">
              <w:rPr>
                <w:rFonts w:eastAsia="Arial" w:cs="Arial"/>
                <w:sz w:val="16"/>
                <w:szCs w:val="16"/>
              </w:rPr>
              <w:t>0.1%</w:t>
            </w:r>
          </w:p>
        </w:tc>
        <w:tc>
          <w:tcPr>
            <w:tcW w:w="0" w:type="auto"/>
            <w:shd w:val="clear" w:color="auto" w:fill="auto"/>
            <w:vAlign w:val="center"/>
          </w:tcPr>
          <w:p w14:paraId="78EB136D" w14:textId="6F2B952B" w:rsidR="3341BD48" w:rsidRPr="00B85D62" w:rsidRDefault="3341BD48" w:rsidP="0066232B">
            <w:pPr>
              <w:jc w:val="center"/>
              <w:rPr>
                <w:rFonts w:eastAsia="Arial" w:cs="Arial"/>
                <w:sz w:val="16"/>
                <w:szCs w:val="16"/>
              </w:rPr>
            </w:pPr>
            <w:r w:rsidRPr="00B85D62">
              <w:rPr>
                <w:rFonts w:eastAsia="Arial" w:cs="Arial"/>
                <w:sz w:val="16"/>
                <w:szCs w:val="16"/>
              </w:rPr>
              <w:t>18</w:t>
            </w:r>
          </w:p>
        </w:tc>
        <w:tc>
          <w:tcPr>
            <w:tcW w:w="0" w:type="auto"/>
            <w:shd w:val="clear" w:color="auto" w:fill="auto"/>
            <w:vAlign w:val="center"/>
          </w:tcPr>
          <w:p w14:paraId="2515B419" w14:textId="0B97AA67" w:rsidR="3341BD48" w:rsidRPr="00B85D62" w:rsidRDefault="3341BD48" w:rsidP="0066232B">
            <w:pPr>
              <w:jc w:val="center"/>
              <w:rPr>
                <w:rFonts w:eastAsia="Arial" w:cs="Arial"/>
                <w:sz w:val="16"/>
                <w:szCs w:val="16"/>
              </w:rPr>
            </w:pPr>
            <w:r w:rsidRPr="00B85D62">
              <w:rPr>
                <w:rFonts w:eastAsia="Arial" w:cs="Arial"/>
                <w:sz w:val="16"/>
                <w:szCs w:val="16"/>
              </w:rPr>
              <w:t>1.4%</w:t>
            </w:r>
          </w:p>
        </w:tc>
        <w:tc>
          <w:tcPr>
            <w:tcW w:w="0" w:type="auto"/>
            <w:shd w:val="clear" w:color="auto" w:fill="auto"/>
            <w:vAlign w:val="center"/>
          </w:tcPr>
          <w:p w14:paraId="6B906E2A" w14:textId="1945B08A" w:rsidR="3341BD48" w:rsidRPr="00B85D62" w:rsidRDefault="3341BD48" w:rsidP="0066232B">
            <w:pPr>
              <w:jc w:val="center"/>
              <w:rPr>
                <w:rFonts w:eastAsia="Arial" w:cs="Arial"/>
                <w:sz w:val="16"/>
                <w:szCs w:val="16"/>
              </w:rPr>
            </w:pPr>
            <w:r w:rsidRPr="00B85D62">
              <w:rPr>
                <w:rFonts w:eastAsia="Arial" w:cs="Arial"/>
                <w:sz w:val="16"/>
                <w:szCs w:val="16"/>
              </w:rPr>
              <w:t>27</w:t>
            </w:r>
          </w:p>
        </w:tc>
        <w:tc>
          <w:tcPr>
            <w:tcW w:w="0" w:type="auto"/>
            <w:shd w:val="clear" w:color="auto" w:fill="auto"/>
            <w:vAlign w:val="center"/>
          </w:tcPr>
          <w:p w14:paraId="029C910A" w14:textId="5296F96E" w:rsidR="3341BD48" w:rsidRPr="00B85D62" w:rsidRDefault="3341BD48" w:rsidP="0066232B">
            <w:pPr>
              <w:jc w:val="center"/>
              <w:rPr>
                <w:rFonts w:eastAsia="Arial" w:cs="Arial"/>
                <w:sz w:val="16"/>
                <w:szCs w:val="16"/>
              </w:rPr>
            </w:pPr>
            <w:r w:rsidRPr="00B85D62">
              <w:rPr>
                <w:rFonts w:eastAsia="Arial" w:cs="Arial"/>
                <w:sz w:val="16"/>
                <w:szCs w:val="16"/>
              </w:rPr>
              <w:t>3.2%</w:t>
            </w:r>
          </w:p>
        </w:tc>
      </w:tr>
      <w:tr w:rsidR="3341BD48" w:rsidRPr="00B85D62" w14:paraId="0130293B" w14:textId="77777777" w:rsidTr="00B85D62">
        <w:trPr>
          <w:cantSplit/>
        </w:trPr>
        <w:tc>
          <w:tcPr>
            <w:tcW w:w="0" w:type="auto"/>
            <w:shd w:val="clear" w:color="auto" w:fill="auto"/>
            <w:vAlign w:val="center"/>
          </w:tcPr>
          <w:p w14:paraId="1233E0F6" w14:textId="649614B5" w:rsidR="3341BD48" w:rsidRPr="00B85D62" w:rsidRDefault="3341BD48" w:rsidP="0066232B">
            <w:pPr>
              <w:rPr>
                <w:rFonts w:eastAsia="Arial" w:cs="Arial"/>
                <w:sz w:val="16"/>
                <w:szCs w:val="16"/>
              </w:rPr>
            </w:pPr>
            <w:r w:rsidRPr="00B85D62">
              <w:rPr>
                <w:rFonts w:eastAsia="Arial" w:cs="Arial"/>
                <w:sz w:val="16"/>
                <w:szCs w:val="16"/>
              </w:rPr>
              <w:t>Hypertension</w:t>
            </w:r>
          </w:p>
        </w:tc>
        <w:tc>
          <w:tcPr>
            <w:tcW w:w="0" w:type="auto"/>
            <w:shd w:val="clear" w:color="auto" w:fill="auto"/>
            <w:vAlign w:val="center"/>
          </w:tcPr>
          <w:p w14:paraId="11BA307E" w14:textId="40990CF3" w:rsidR="3341BD48" w:rsidRPr="00B85D62" w:rsidRDefault="3341BD48" w:rsidP="0066232B">
            <w:pPr>
              <w:jc w:val="center"/>
              <w:rPr>
                <w:rFonts w:eastAsia="Arial" w:cs="Arial"/>
                <w:sz w:val="16"/>
                <w:szCs w:val="16"/>
              </w:rPr>
            </w:pPr>
            <w:r w:rsidRPr="00B85D62">
              <w:rPr>
                <w:rFonts w:eastAsia="Arial" w:cs="Arial"/>
                <w:sz w:val="16"/>
                <w:szCs w:val="16"/>
              </w:rPr>
              <w:t>340</w:t>
            </w:r>
          </w:p>
        </w:tc>
        <w:tc>
          <w:tcPr>
            <w:tcW w:w="0" w:type="auto"/>
            <w:shd w:val="clear" w:color="auto" w:fill="auto"/>
            <w:vAlign w:val="center"/>
          </w:tcPr>
          <w:p w14:paraId="7068E2E7" w14:textId="3C21B57C" w:rsidR="3341BD48" w:rsidRPr="00B85D62" w:rsidRDefault="3341BD48" w:rsidP="0066232B">
            <w:pPr>
              <w:jc w:val="center"/>
              <w:rPr>
                <w:rFonts w:eastAsia="Arial" w:cs="Arial"/>
                <w:sz w:val="16"/>
                <w:szCs w:val="16"/>
              </w:rPr>
            </w:pPr>
            <w:r w:rsidRPr="00B85D62">
              <w:rPr>
                <w:rFonts w:eastAsia="Arial" w:cs="Arial"/>
                <w:sz w:val="16"/>
                <w:szCs w:val="16"/>
              </w:rPr>
              <w:t>11.8%</w:t>
            </w:r>
          </w:p>
        </w:tc>
        <w:tc>
          <w:tcPr>
            <w:tcW w:w="0" w:type="auto"/>
            <w:shd w:val="clear" w:color="auto" w:fill="auto"/>
            <w:vAlign w:val="center"/>
          </w:tcPr>
          <w:p w14:paraId="1636F55B" w14:textId="663A223A" w:rsidR="3341BD48" w:rsidRPr="00B85D62" w:rsidRDefault="3341BD48" w:rsidP="0066232B">
            <w:pPr>
              <w:jc w:val="center"/>
              <w:rPr>
                <w:rFonts w:eastAsia="Arial" w:cs="Arial"/>
                <w:sz w:val="16"/>
                <w:szCs w:val="16"/>
              </w:rPr>
            </w:pPr>
            <w:r w:rsidRPr="00B85D62">
              <w:rPr>
                <w:rFonts w:eastAsia="Arial" w:cs="Arial"/>
                <w:sz w:val="16"/>
                <w:szCs w:val="16"/>
              </w:rPr>
              <w:t>40</w:t>
            </w:r>
          </w:p>
        </w:tc>
        <w:tc>
          <w:tcPr>
            <w:tcW w:w="0" w:type="auto"/>
            <w:shd w:val="clear" w:color="auto" w:fill="auto"/>
            <w:vAlign w:val="center"/>
          </w:tcPr>
          <w:p w14:paraId="0E85F80A" w14:textId="12DDA3CC" w:rsidR="3341BD48" w:rsidRPr="00B85D62" w:rsidRDefault="3341BD48" w:rsidP="0066232B">
            <w:pPr>
              <w:jc w:val="center"/>
              <w:rPr>
                <w:rFonts w:eastAsia="Arial" w:cs="Arial"/>
                <w:sz w:val="16"/>
                <w:szCs w:val="16"/>
              </w:rPr>
            </w:pPr>
            <w:r w:rsidRPr="00B85D62">
              <w:rPr>
                <w:rFonts w:eastAsia="Arial" w:cs="Arial"/>
                <w:sz w:val="16"/>
                <w:szCs w:val="16"/>
              </w:rPr>
              <w:t>5.4%</w:t>
            </w:r>
          </w:p>
        </w:tc>
        <w:tc>
          <w:tcPr>
            <w:tcW w:w="0" w:type="auto"/>
            <w:shd w:val="clear" w:color="auto" w:fill="auto"/>
            <w:vAlign w:val="center"/>
          </w:tcPr>
          <w:p w14:paraId="69B8767E" w14:textId="7FBE6C17" w:rsidR="3341BD48" w:rsidRPr="00B85D62" w:rsidRDefault="3341BD48" w:rsidP="0066232B">
            <w:pPr>
              <w:jc w:val="center"/>
              <w:rPr>
                <w:rFonts w:eastAsia="Arial" w:cs="Arial"/>
                <w:sz w:val="16"/>
                <w:szCs w:val="16"/>
              </w:rPr>
            </w:pPr>
            <w:r w:rsidRPr="00B85D62">
              <w:rPr>
                <w:rFonts w:eastAsia="Arial" w:cs="Arial"/>
                <w:sz w:val="16"/>
                <w:szCs w:val="16"/>
              </w:rPr>
              <w:t>151</w:t>
            </w:r>
          </w:p>
        </w:tc>
        <w:tc>
          <w:tcPr>
            <w:tcW w:w="0" w:type="auto"/>
            <w:shd w:val="clear" w:color="auto" w:fill="auto"/>
            <w:vAlign w:val="center"/>
          </w:tcPr>
          <w:p w14:paraId="45F6B31C" w14:textId="166BEEBD" w:rsidR="3341BD48" w:rsidRPr="00B85D62" w:rsidRDefault="3341BD48" w:rsidP="0066232B">
            <w:pPr>
              <w:jc w:val="center"/>
              <w:rPr>
                <w:rFonts w:eastAsia="Arial" w:cs="Arial"/>
                <w:sz w:val="16"/>
                <w:szCs w:val="16"/>
              </w:rPr>
            </w:pPr>
            <w:r w:rsidRPr="00B85D62">
              <w:rPr>
                <w:rFonts w:eastAsia="Arial" w:cs="Arial"/>
                <w:sz w:val="16"/>
                <w:szCs w:val="16"/>
              </w:rPr>
              <w:t>11.7%</w:t>
            </w:r>
          </w:p>
        </w:tc>
        <w:tc>
          <w:tcPr>
            <w:tcW w:w="0" w:type="auto"/>
            <w:shd w:val="clear" w:color="auto" w:fill="auto"/>
            <w:vAlign w:val="center"/>
          </w:tcPr>
          <w:p w14:paraId="37C45C4E" w14:textId="68488681" w:rsidR="3341BD48" w:rsidRPr="00B85D62" w:rsidRDefault="3341BD48" w:rsidP="0066232B">
            <w:pPr>
              <w:jc w:val="center"/>
              <w:rPr>
                <w:rFonts w:eastAsia="Arial" w:cs="Arial"/>
                <w:sz w:val="16"/>
                <w:szCs w:val="16"/>
              </w:rPr>
            </w:pPr>
            <w:r w:rsidRPr="00B85D62">
              <w:rPr>
                <w:rFonts w:eastAsia="Arial" w:cs="Arial"/>
                <w:sz w:val="16"/>
                <w:szCs w:val="16"/>
              </w:rPr>
              <w:t>149</w:t>
            </w:r>
          </w:p>
        </w:tc>
        <w:tc>
          <w:tcPr>
            <w:tcW w:w="0" w:type="auto"/>
            <w:shd w:val="clear" w:color="auto" w:fill="auto"/>
            <w:vAlign w:val="center"/>
          </w:tcPr>
          <w:p w14:paraId="0FAA2C6C" w14:textId="6DB36953" w:rsidR="3341BD48" w:rsidRPr="00B85D62" w:rsidRDefault="3341BD48" w:rsidP="0066232B">
            <w:pPr>
              <w:jc w:val="center"/>
              <w:rPr>
                <w:rFonts w:eastAsia="Arial" w:cs="Arial"/>
                <w:sz w:val="16"/>
                <w:szCs w:val="16"/>
              </w:rPr>
            </w:pPr>
            <w:r w:rsidRPr="00B85D62">
              <w:rPr>
                <w:rFonts w:eastAsia="Arial" w:cs="Arial"/>
                <w:sz w:val="16"/>
                <w:szCs w:val="16"/>
              </w:rPr>
              <w:t>17.7%</w:t>
            </w:r>
          </w:p>
        </w:tc>
      </w:tr>
      <w:tr w:rsidR="3341BD48" w:rsidRPr="00B85D62" w14:paraId="0AE594BA" w14:textId="77777777" w:rsidTr="00B85D62">
        <w:trPr>
          <w:cantSplit/>
        </w:trPr>
        <w:tc>
          <w:tcPr>
            <w:tcW w:w="0" w:type="auto"/>
            <w:shd w:val="clear" w:color="auto" w:fill="auto"/>
            <w:vAlign w:val="center"/>
          </w:tcPr>
          <w:p w14:paraId="673A0E1D" w14:textId="5417D504" w:rsidR="3341BD48" w:rsidRPr="00B85D62" w:rsidRDefault="3341BD48" w:rsidP="0066232B">
            <w:pPr>
              <w:rPr>
                <w:rFonts w:eastAsia="Arial" w:cs="Arial"/>
                <w:sz w:val="16"/>
                <w:szCs w:val="16"/>
              </w:rPr>
            </w:pPr>
            <w:r w:rsidRPr="00B85D62">
              <w:rPr>
                <w:rFonts w:eastAsia="Arial" w:cs="Arial"/>
                <w:sz w:val="16"/>
                <w:szCs w:val="16"/>
              </w:rPr>
              <w:t>Systolic blood pressure</w:t>
            </w:r>
          </w:p>
        </w:tc>
        <w:tc>
          <w:tcPr>
            <w:tcW w:w="0" w:type="auto"/>
            <w:shd w:val="clear" w:color="auto" w:fill="auto"/>
            <w:vAlign w:val="center"/>
          </w:tcPr>
          <w:p w14:paraId="6C7DF38D" w14:textId="1F4A6C8C" w:rsidR="3341BD48" w:rsidRPr="00B85D62" w:rsidRDefault="3341BD48" w:rsidP="0066232B">
            <w:pPr>
              <w:jc w:val="center"/>
              <w:rPr>
                <w:rFonts w:eastAsia="Arial" w:cs="Arial"/>
                <w:sz w:val="16"/>
                <w:szCs w:val="16"/>
              </w:rPr>
            </w:pPr>
            <w:r w:rsidRPr="00B85D62">
              <w:rPr>
                <w:rFonts w:eastAsia="Arial" w:cs="Arial"/>
                <w:sz w:val="16"/>
                <w:szCs w:val="16"/>
              </w:rPr>
              <w:t>130.8</w:t>
            </w:r>
          </w:p>
        </w:tc>
        <w:tc>
          <w:tcPr>
            <w:tcW w:w="0" w:type="auto"/>
            <w:shd w:val="clear" w:color="auto" w:fill="auto"/>
            <w:vAlign w:val="center"/>
          </w:tcPr>
          <w:p w14:paraId="138A66A0" w14:textId="3ED50F40" w:rsidR="3341BD48" w:rsidRPr="00B85D62" w:rsidRDefault="3341BD48" w:rsidP="0066232B">
            <w:pPr>
              <w:jc w:val="center"/>
              <w:rPr>
                <w:rFonts w:eastAsia="Arial" w:cs="Arial"/>
                <w:sz w:val="16"/>
                <w:szCs w:val="16"/>
              </w:rPr>
            </w:pPr>
            <w:r w:rsidRPr="00B85D62">
              <w:rPr>
                <w:rFonts w:eastAsia="Arial" w:cs="Arial"/>
                <w:sz w:val="16"/>
                <w:szCs w:val="16"/>
              </w:rPr>
              <w:t>17.0</w:t>
            </w:r>
          </w:p>
        </w:tc>
        <w:tc>
          <w:tcPr>
            <w:tcW w:w="0" w:type="auto"/>
            <w:shd w:val="clear" w:color="auto" w:fill="auto"/>
            <w:vAlign w:val="center"/>
          </w:tcPr>
          <w:p w14:paraId="65DFB468" w14:textId="54465771" w:rsidR="3341BD48" w:rsidRPr="00B85D62" w:rsidRDefault="3341BD48" w:rsidP="0066232B">
            <w:pPr>
              <w:jc w:val="center"/>
              <w:rPr>
                <w:rFonts w:eastAsia="Arial" w:cs="Arial"/>
                <w:sz w:val="16"/>
                <w:szCs w:val="16"/>
              </w:rPr>
            </w:pPr>
            <w:r w:rsidRPr="00B85D62">
              <w:rPr>
                <w:rFonts w:eastAsia="Arial" w:cs="Arial"/>
                <w:sz w:val="16"/>
                <w:szCs w:val="16"/>
              </w:rPr>
              <w:t>127.8</w:t>
            </w:r>
          </w:p>
        </w:tc>
        <w:tc>
          <w:tcPr>
            <w:tcW w:w="0" w:type="auto"/>
            <w:shd w:val="clear" w:color="auto" w:fill="auto"/>
            <w:vAlign w:val="center"/>
          </w:tcPr>
          <w:p w14:paraId="3604D2EB" w14:textId="4681A724" w:rsidR="3341BD48" w:rsidRPr="00B85D62" w:rsidRDefault="3341BD48" w:rsidP="0066232B">
            <w:pPr>
              <w:jc w:val="center"/>
              <w:rPr>
                <w:rFonts w:eastAsia="Arial" w:cs="Arial"/>
                <w:sz w:val="16"/>
                <w:szCs w:val="16"/>
              </w:rPr>
            </w:pPr>
            <w:r w:rsidRPr="00B85D62">
              <w:rPr>
                <w:rFonts w:eastAsia="Arial" w:cs="Arial"/>
                <w:sz w:val="16"/>
                <w:szCs w:val="16"/>
              </w:rPr>
              <w:t>17.5</w:t>
            </w:r>
          </w:p>
        </w:tc>
        <w:tc>
          <w:tcPr>
            <w:tcW w:w="0" w:type="auto"/>
            <w:shd w:val="clear" w:color="auto" w:fill="auto"/>
            <w:vAlign w:val="center"/>
          </w:tcPr>
          <w:p w14:paraId="5046FD49" w14:textId="0785FAEB" w:rsidR="3341BD48" w:rsidRPr="00B85D62" w:rsidRDefault="3341BD48" w:rsidP="0066232B">
            <w:pPr>
              <w:jc w:val="center"/>
              <w:rPr>
                <w:rFonts w:eastAsia="Arial" w:cs="Arial"/>
                <w:sz w:val="16"/>
                <w:szCs w:val="16"/>
              </w:rPr>
            </w:pPr>
            <w:r w:rsidRPr="00B85D62">
              <w:rPr>
                <w:rFonts w:eastAsia="Arial" w:cs="Arial"/>
                <w:sz w:val="16"/>
                <w:szCs w:val="16"/>
              </w:rPr>
              <w:t>132.0</w:t>
            </w:r>
          </w:p>
        </w:tc>
        <w:tc>
          <w:tcPr>
            <w:tcW w:w="0" w:type="auto"/>
            <w:shd w:val="clear" w:color="auto" w:fill="auto"/>
            <w:vAlign w:val="center"/>
          </w:tcPr>
          <w:p w14:paraId="404B4215" w14:textId="383F50B0" w:rsidR="3341BD48" w:rsidRPr="00B85D62" w:rsidRDefault="3341BD48" w:rsidP="0066232B">
            <w:pPr>
              <w:jc w:val="center"/>
              <w:rPr>
                <w:rFonts w:eastAsia="Arial" w:cs="Arial"/>
                <w:sz w:val="16"/>
                <w:szCs w:val="16"/>
              </w:rPr>
            </w:pPr>
            <w:r w:rsidRPr="00B85D62">
              <w:rPr>
                <w:rFonts w:eastAsia="Arial" w:cs="Arial"/>
                <w:sz w:val="16"/>
                <w:szCs w:val="16"/>
              </w:rPr>
              <w:t>17.1</w:t>
            </w:r>
          </w:p>
        </w:tc>
        <w:tc>
          <w:tcPr>
            <w:tcW w:w="0" w:type="auto"/>
            <w:shd w:val="clear" w:color="auto" w:fill="auto"/>
            <w:vAlign w:val="center"/>
          </w:tcPr>
          <w:p w14:paraId="17F14E62" w14:textId="71607BA0" w:rsidR="3341BD48" w:rsidRPr="00B85D62" w:rsidRDefault="3341BD48" w:rsidP="0066232B">
            <w:pPr>
              <w:jc w:val="center"/>
              <w:rPr>
                <w:rFonts w:eastAsia="Arial" w:cs="Arial"/>
                <w:sz w:val="16"/>
                <w:szCs w:val="16"/>
              </w:rPr>
            </w:pPr>
            <w:r w:rsidRPr="00B85D62">
              <w:rPr>
                <w:rFonts w:eastAsia="Arial" w:cs="Arial"/>
                <w:sz w:val="16"/>
                <w:szCs w:val="16"/>
              </w:rPr>
              <w:t>131.6</w:t>
            </w:r>
          </w:p>
        </w:tc>
        <w:tc>
          <w:tcPr>
            <w:tcW w:w="0" w:type="auto"/>
            <w:shd w:val="clear" w:color="auto" w:fill="auto"/>
            <w:vAlign w:val="center"/>
          </w:tcPr>
          <w:p w14:paraId="06914154" w14:textId="4C7EF342" w:rsidR="3341BD48" w:rsidRPr="00B85D62" w:rsidRDefault="3341BD48" w:rsidP="0066232B">
            <w:pPr>
              <w:jc w:val="center"/>
              <w:rPr>
                <w:rFonts w:eastAsia="Arial" w:cs="Arial"/>
                <w:sz w:val="16"/>
                <w:szCs w:val="16"/>
              </w:rPr>
            </w:pPr>
            <w:r w:rsidRPr="00B85D62">
              <w:rPr>
                <w:rFonts w:eastAsia="Arial" w:cs="Arial"/>
                <w:sz w:val="16"/>
                <w:szCs w:val="16"/>
              </w:rPr>
              <w:t>16.0</w:t>
            </w:r>
          </w:p>
        </w:tc>
      </w:tr>
      <w:tr w:rsidR="3341BD48" w:rsidRPr="00B85D62" w14:paraId="252A535E" w14:textId="77777777" w:rsidTr="00B85D62">
        <w:trPr>
          <w:cantSplit/>
        </w:trPr>
        <w:tc>
          <w:tcPr>
            <w:tcW w:w="0" w:type="auto"/>
            <w:shd w:val="clear" w:color="auto" w:fill="auto"/>
            <w:vAlign w:val="center"/>
          </w:tcPr>
          <w:p w14:paraId="39FC5346" w14:textId="5C6FA357" w:rsidR="3341BD48" w:rsidRPr="00B85D62" w:rsidRDefault="3341BD48" w:rsidP="0066232B">
            <w:pPr>
              <w:rPr>
                <w:rFonts w:eastAsia="Arial" w:cs="Arial"/>
                <w:sz w:val="16"/>
                <w:szCs w:val="16"/>
              </w:rPr>
            </w:pPr>
            <w:r w:rsidRPr="00B85D62">
              <w:rPr>
                <w:rFonts w:eastAsia="Arial" w:cs="Arial"/>
                <w:sz w:val="16"/>
                <w:szCs w:val="16"/>
              </w:rPr>
              <w:t>Other comorbidities*</w:t>
            </w:r>
          </w:p>
        </w:tc>
        <w:tc>
          <w:tcPr>
            <w:tcW w:w="0" w:type="auto"/>
            <w:shd w:val="clear" w:color="auto" w:fill="auto"/>
            <w:vAlign w:val="center"/>
          </w:tcPr>
          <w:p w14:paraId="14388306" w14:textId="2BA2AA31" w:rsidR="3341BD48" w:rsidRPr="00B85D62" w:rsidRDefault="3341BD48" w:rsidP="0066232B">
            <w:pPr>
              <w:jc w:val="center"/>
              <w:rPr>
                <w:rFonts w:eastAsia="Arial" w:cs="Arial"/>
                <w:sz w:val="16"/>
                <w:szCs w:val="16"/>
              </w:rPr>
            </w:pPr>
            <w:r w:rsidRPr="00B85D62">
              <w:rPr>
                <w:rFonts w:eastAsia="Arial" w:cs="Arial"/>
                <w:sz w:val="16"/>
                <w:szCs w:val="16"/>
              </w:rPr>
              <w:t>98</w:t>
            </w:r>
          </w:p>
        </w:tc>
        <w:tc>
          <w:tcPr>
            <w:tcW w:w="0" w:type="auto"/>
            <w:shd w:val="clear" w:color="auto" w:fill="auto"/>
            <w:vAlign w:val="center"/>
          </w:tcPr>
          <w:p w14:paraId="07C443C0" w14:textId="54184E82" w:rsidR="3341BD48" w:rsidRPr="00B85D62" w:rsidRDefault="3341BD48" w:rsidP="0066232B">
            <w:pPr>
              <w:jc w:val="center"/>
              <w:rPr>
                <w:rFonts w:eastAsia="Arial" w:cs="Arial"/>
                <w:sz w:val="16"/>
                <w:szCs w:val="16"/>
              </w:rPr>
            </w:pPr>
            <w:r w:rsidRPr="00B85D62">
              <w:rPr>
                <w:rFonts w:eastAsia="Arial" w:cs="Arial"/>
                <w:sz w:val="16"/>
                <w:szCs w:val="16"/>
              </w:rPr>
              <w:t>3.4%</w:t>
            </w:r>
          </w:p>
        </w:tc>
        <w:tc>
          <w:tcPr>
            <w:tcW w:w="0" w:type="auto"/>
            <w:shd w:val="clear" w:color="auto" w:fill="auto"/>
            <w:vAlign w:val="center"/>
          </w:tcPr>
          <w:p w14:paraId="760E70CE" w14:textId="291EA749" w:rsidR="3341BD48" w:rsidRPr="00B85D62" w:rsidRDefault="3341BD48" w:rsidP="0066232B">
            <w:pPr>
              <w:jc w:val="center"/>
              <w:rPr>
                <w:rFonts w:eastAsia="Arial" w:cs="Arial"/>
                <w:sz w:val="16"/>
                <w:szCs w:val="16"/>
              </w:rPr>
            </w:pPr>
            <w:r w:rsidRPr="00B85D62">
              <w:rPr>
                <w:rFonts w:eastAsia="Arial" w:cs="Arial"/>
                <w:sz w:val="16"/>
                <w:szCs w:val="16"/>
              </w:rPr>
              <w:t>13</w:t>
            </w:r>
          </w:p>
        </w:tc>
        <w:tc>
          <w:tcPr>
            <w:tcW w:w="0" w:type="auto"/>
            <w:shd w:val="clear" w:color="auto" w:fill="auto"/>
            <w:vAlign w:val="center"/>
          </w:tcPr>
          <w:p w14:paraId="59485334" w14:textId="59758F42" w:rsidR="3341BD48" w:rsidRPr="00B85D62" w:rsidRDefault="3341BD48" w:rsidP="0066232B">
            <w:pPr>
              <w:jc w:val="center"/>
              <w:rPr>
                <w:rFonts w:eastAsia="Arial" w:cs="Arial"/>
                <w:sz w:val="16"/>
                <w:szCs w:val="16"/>
              </w:rPr>
            </w:pPr>
            <w:r w:rsidRPr="00B85D62">
              <w:rPr>
                <w:rFonts w:eastAsia="Arial" w:cs="Arial"/>
                <w:sz w:val="16"/>
                <w:szCs w:val="16"/>
              </w:rPr>
              <w:t>1.7%</w:t>
            </w:r>
          </w:p>
        </w:tc>
        <w:tc>
          <w:tcPr>
            <w:tcW w:w="0" w:type="auto"/>
            <w:shd w:val="clear" w:color="auto" w:fill="auto"/>
            <w:vAlign w:val="center"/>
          </w:tcPr>
          <w:p w14:paraId="2825DA41" w14:textId="0D05E9F7" w:rsidR="3341BD48" w:rsidRPr="00B85D62" w:rsidRDefault="3341BD48" w:rsidP="0066232B">
            <w:pPr>
              <w:jc w:val="center"/>
              <w:rPr>
                <w:rFonts w:eastAsia="Arial" w:cs="Arial"/>
                <w:sz w:val="16"/>
                <w:szCs w:val="16"/>
              </w:rPr>
            </w:pPr>
            <w:r w:rsidRPr="00B85D62">
              <w:rPr>
                <w:rFonts w:eastAsia="Arial" w:cs="Arial"/>
                <w:sz w:val="16"/>
                <w:szCs w:val="16"/>
              </w:rPr>
              <w:t>41</w:t>
            </w:r>
          </w:p>
        </w:tc>
        <w:tc>
          <w:tcPr>
            <w:tcW w:w="0" w:type="auto"/>
            <w:shd w:val="clear" w:color="auto" w:fill="auto"/>
            <w:vAlign w:val="center"/>
          </w:tcPr>
          <w:p w14:paraId="2A65F5B6" w14:textId="2B3F46C2" w:rsidR="3341BD48" w:rsidRPr="00B85D62" w:rsidRDefault="3341BD48" w:rsidP="0066232B">
            <w:pPr>
              <w:jc w:val="center"/>
              <w:rPr>
                <w:rFonts w:eastAsia="Arial" w:cs="Arial"/>
                <w:sz w:val="16"/>
                <w:szCs w:val="16"/>
              </w:rPr>
            </w:pPr>
            <w:r w:rsidRPr="00B85D62">
              <w:rPr>
                <w:rFonts w:eastAsia="Arial" w:cs="Arial"/>
                <w:sz w:val="16"/>
                <w:szCs w:val="16"/>
              </w:rPr>
              <w:t>3.2%</w:t>
            </w:r>
          </w:p>
        </w:tc>
        <w:tc>
          <w:tcPr>
            <w:tcW w:w="0" w:type="auto"/>
            <w:shd w:val="clear" w:color="auto" w:fill="auto"/>
            <w:vAlign w:val="center"/>
          </w:tcPr>
          <w:p w14:paraId="46FD5FB4" w14:textId="79B6FFC8" w:rsidR="3341BD48" w:rsidRPr="00B85D62" w:rsidRDefault="3341BD48" w:rsidP="0066232B">
            <w:pPr>
              <w:jc w:val="center"/>
              <w:rPr>
                <w:rFonts w:eastAsia="Arial" w:cs="Arial"/>
                <w:sz w:val="16"/>
                <w:szCs w:val="16"/>
              </w:rPr>
            </w:pPr>
            <w:r w:rsidRPr="00B85D62">
              <w:rPr>
                <w:rFonts w:eastAsia="Arial" w:cs="Arial"/>
                <w:sz w:val="16"/>
                <w:szCs w:val="16"/>
              </w:rPr>
              <w:t>44</w:t>
            </w:r>
          </w:p>
        </w:tc>
        <w:tc>
          <w:tcPr>
            <w:tcW w:w="0" w:type="auto"/>
            <w:shd w:val="clear" w:color="auto" w:fill="auto"/>
            <w:vAlign w:val="center"/>
          </w:tcPr>
          <w:p w14:paraId="16A22ADA" w14:textId="29648A9A" w:rsidR="3341BD48" w:rsidRPr="00B85D62" w:rsidRDefault="3341BD48" w:rsidP="0066232B">
            <w:pPr>
              <w:jc w:val="center"/>
              <w:rPr>
                <w:rFonts w:eastAsia="Arial" w:cs="Arial"/>
                <w:sz w:val="16"/>
                <w:szCs w:val="16"/>
              </w:rPr>
            </w:pPr>
            <w:r w:rsidRPr="00B85D62">
              <w:rPr>
                <w:rFonts w:eastAsia="Arial" w:cs="Arial"/>
                <w:sz w:val="16"/>
                <w:szCs w:val="16"/>
              </w:rPr>
              <w:t>5.2%</w:t>
            </w:r>
          </w:p>
        </w:tc>
      </w:tr>
      <w:tr w:rsidR="3341BD48" w:rsidRPr="00B85D62" w14:paraId="58D1B0EE" w14:textId="77777777" w:rsidTr="00B85D62">
        <w:trPr>
          <w:cantSplit/>
        </w:trPr>
        <w:tc>
          <w:tcPr>
            <w:tcW w:w="0" w:type="auto"/>
            <w:shd w:val="clear" w:color="auto" w:fill="auto"/>
            <w:vAlign w:val="center"/>
          </w:tcPr>
          <w:p w14:paraId="72D4994D" w14:textId="42BA3C22" w:rsidR="3341BD48" w:rsidRPr="00B85D62" w:rsidRDefault="3341BD48" w:rsidP="0066232B">
            <w:pPr>
              <w:rPr>
                <w:rFonts w:eastAsia="Arial" w:cs="Arial"/>
                <w:sz w:val="16"/>
                <w:szCs w:val="16"/>
              </w:rPr>
            </w:pPr>
            <w:r w:rsidRPr="00B85D62">
              <w:rPr>
                <w:rFonts w:eastAsia="Arial" w:cs="Arial"/>
                <w:sz w:val="16"/>
                <w:szCs w:val="16"/>
              </w:rPr>
              <w:t>Atrial Fibrillation</w:t>
            </w:r>
          </w:p>
        </w:tc>
        <w:tc>
          <w:tcPr>
            <w:tcW w:w="0" w:type="auto"/>
            <w:shd w:val="clear" w:color="auto" w:fill="auto"/>
            <w:vAlign w:val="center"/>
          </w:tcPr>
          <w:p w14:paraId="50B8215B" w14:textId="4F63A3E3" w:rsidR="3341BD48" w:rsidRPr="00B85D62" w:rsidRDefault="3341BD48" w:rsidP="0066232B">
            <w:pPr>
              <w:jc w:val="center"/>
              <w:rPr>
                <w:rFonts w:eastAsia="Arial" w:cs="Arial"/>
                <w:sz w:val="16"/>
                <w:szCs w:val="16"/>
              </w:rPr>
            </w:pPr>
            <w:r w:rsidRPr="00B85D62">
              <w:rPr>
                <w:rFonts w:eastAsia="Arial" w:cs="Arial"/>
                <w:sz w:val="16"/>
                <w:szCs w:val="16"/>
              </w:rPr>
              <w:t>14</w:t>
            </w:r>
          </w:p>
        </w:tc>
        <w:tc>
          <w:tcPr>
            <w:tcW w:w="0" w:type="auto"/>
            <w:shd w:val="clear" w:color="auto" w:fill="auto"/>
            <w:vAlign w:val="center"/>
          </w:tcPr>
          <w:p w14:paraId="270F8F44" w14:textId="590725FE" w:rsidR="3341BD48" w:rsidRPr="00B85D62" w:rsidRDefault="3341BD48" w:rsidP="0066232B">
            <w:pPr>
              <w:jc w:val="center"/>
              <w:rPr>
                <w:rFonts w:eastAsia="Arial" w:cs="Arial"/>
                <w:sz w:val="16"/>
                <w:szCs w:val="16"/>
              </w:rPr>
            </w:pPr>
            <w:r w:rsidRPr="00B85D62">
              <w:rPr>
                <w:rFonts w:eastAsia="Arial" w:cs="Arial"/>
                <w:sz w:val="16"/>
                <w:szCs w:val="16"/>
              </w:rPr>
              <w:t>0.5%</w:t>
            </w:r>
          </w:p>
        </w:tc>
        <w:tc>
          <w:tcPr>
            <w:tcW w:w="0" w:type="auto"/>
            <w:shd w:val="clear" w:color="auto" w:fill="auto"/>
            <w:vAlign w:val="center"/>
          </w:tcPr>
          <w:p w14:paraId="2DB814AD" w14:textId="400C0904" w:rsidR="3341BD48" w:rsidRPr="00B85D62" w:rsidRDefault="3341BD48" w:rsidP="0066232B">
            <w:pPr>
              <w:jc w:val="center"/>
              <w:rPr>
                <w:rFonts w:eastAsia="Arial" w:cs="Arial"/>
                <w:sz w:val="16"/>
                <w:szCs w:val="16"/>
              </w:rPr>
            </w:pPr>
            <w:r w:rsidRPr="00B85D62">
              <w:rPr>
                <w:rFonts w:eastAsia="Arial" w:cs="Arial"/>
                <w:sz w:val="16"/>
                <w:szCs w:val="16"/>
              </w:rPr>
              <w:t>1</w:t>
            </w:r>
          </w:p>
        </w:tc>
        <w:tc>
          <w:tcPr>
            <w:tcW w:w="0" w:type="auto"/>
            <w:shd w:val="clear" w:color="auto" w:fill="auto"/>
            <w:vAlign w:val="center"/>
          </w:tcPr>
          <w:p w14:paraId="3AF407D8" w14:textId="28DA5FCE" w:rsidR="3341BD48" w:rsidRPr="00B85D62" w:rsidRDefault="3341BD48" w:rsidP="0066232B">
            <w:pPr>
              <w:jc w:val="center"/>
              <w:rPr>
                <w:rFonts w:eastAsia="Arial" w:cs="Arial"/>
                <w:sz w:val="16"/>
                <w:szCs w:val="16"/>
              </w:rPr>
            </w:pPr>
            <w:r w:rsidRPr="00B85D62">
              <w:rPr>
                <w:rFonts w:eastAsia="Arial" w:cs="Arial"/>
                <w:sz w:val="16"/>
                <w:szCs w:val="16"/>
              </w:rPr>
              <w:t>0.1%</w:t>
            </w:r>
          </w:p>
        </w:tc>
        <w:tc>
          <w:tcPr>
            <w:tcW w:w="0" w:type="auto"/>
            <w:shd w:val="clear" w:color="auto" w:fill="auto"/>
            <w:vAlign w:val="center"/>
          </w:tcPr>
          <w:p w14:paraId="6B06A2DC" w14:textId="2FE7E846" w:rsidR="3341BD48" w:rsidRPr="00B85D62" w:rsidRDefault="3341BD48" w:rsidP="0066232B">
            <w:pPr>
              <w:jc w:val="center"/>
              <w:rPr>
                <w:rFonts w:eastAsia="Arial" w:cs="Arial"/>
                <w:sz w:val="16"/>
                <w:szCs w:val="16"/>
              </w:rPr>
            </w:pPr>
            <w:r w:rsidRPr="00B85D62">
              <w:rPr>
                <w:rFonts w:eastAsia="Arial" w:cs="Arial"/>
                <w:sz w:val="16"/>
                <w:szCs w:val="16"/>
              </w:rPr>
              <w:t>7</w:t>
            </w:r>
          </w:p>
        </w:tc>
        <w:tc>
          <w:tcPr>
            <w:tcW w:w="0" w:type="auto"/>
            <w:shd w:val="clear" w:color="auto" w:fill="auto"/>
            <w:vAlign w:val="center"/>
          </w:tcPr>
          <w:p w14:paraId="5AD35CA4" w14:textId="4217C4C4" w:rsidR="3341BD48" w:rsidRPr="00B85D62" w:rsidRDefault="3341BD48" w:rsidP="0066232B">
            <w:pPr>
              <w:jc w:val="center"/>
              <w:rPr>
                <w:rFonts w:eastAsia="Arial" w:cs="Arial"/>
                <w:sz w:val="16"/>
                <w:szCs w:val="16"/>
              </w:rPr>
            </w:pPr>
            <w:r w:rsidRPr="00B85D62">
              <w:rPr>
                <w:rFonts w:eastAsia="Arial" w:cs="Arial"/>
                <w:sz w:val="16"/>
                <w:szCs w:val="16"/>
              </w:rPr>
              <w:t>0.5%</w:t>
            </w:r>
          </w:p>
        </w:tc>
        <w:tc>
          <w:tcPr>
            <w:tcW w:w="0" w:type="auto"/>
            <w:shd w:val="clear" w:color="auto" w:fill="auto"/>
            <w:vAlign w:val="center"/>
          </w:tcPr>
          <w:p w14:paraId="6B33C81D" w14:textId="6C844E1B" w:rsidR="3341BD48" w:rsidRPr="00B85D62" w:rsidRDefault="3341BD48" w:rsidP="0066232B">
            <w:pPr>
              <w:jc w:val="center"/>
              <w:rPr>
                <w:rFonts w:eastAsia="Arial" w:cs="Arial"/>
                <w:sz w:val="16"/>
                <w:szCs w:val="16"/>
              </w:rPr>
            </w:pPr>
            <w:r w:rsidRPr="00B85D62">
              <w:rPr>
                <w:rFonts w:eastAsia="Arial" w:cs="Arial"/>
                <w:sz w:val="16"/>
                <w:szCs w:val="16"/>
              </w:rPr>
              <w:t>6</w:t>
            </w:r>
          </w:p>
        </w:tc>
        <w:tc>
          <w:tcPr>
            <w:tcW w:w="0" w:type="auto"/>
            <w:shd w:val="clear" w:color="auto" w:fill="auto"/>
            <w:vAlign w:val="center"/>
          </w:tcPr>
          <w:p w14:paraId="4B6958B8" w14:textId="1E35505D" w:rsidR="3341BD48" w:rsidRPr="00B85D62" w:rsidRDefault="3341BD48" w:rsidP="0066232B">
            <w:pPr>
              <w:jc w:val="center"/>
              <w:rPr>
                <w:rFonts w:eastAsia="Arial" w:cs="Arial"/>
                <w:sz w:val="16"/>
                <w:szCs w:val="16"/>
              </w:rPr>
            </w:pPr>
            <w:r w:rsidRPr="00B85D62">
              <w:rPr>
                <w:rFonts w:eastAsia="Arial" w:cs="Arial"/>
                <w:sz w:val="16"/>
                <w:szCs w:val="16"/>
              </w:rPr>
              <w:t>0.7%</w:t>
            </w:r>
          </w:p>
        </w:tc>
      </w:tr>
      <w:tr w:rsidR="3341BD48" w:rsidRPr="00B85D62" w14:paraId="35039692" w14:textId="77777777" w:rsidTr="00B85D62">
        <w:trPr>
          <w:cantSplit/>
        </w:trPr>
        <w:tc>
          <w:tcPr>
            <w:tcW w:w="0" w:type="auto"/>
            <w:shd w:val="clear" w:color="auto" w:fill="auto"/>
            <w:vAlign w:val="center"/>
          </w:tcPr>
          <w:p w14:paraId="46B115A2" w14:textId="5131575A" w:rsidR="3341BD48" w:rsidRPr="00B85D62" w:rsidRDefault="3341BD48" w:rsidP="0066232B">
            <w:pPr>
              <w:rPr>
                <w:rFonts w:eastAsia="Arial" w:cs="Arial"/>
                <w:sz w:val="16"/>
                <w:szCs w:val="16"/>
              </w:rPr>
            </w:pPr>
            <w:r w:rsidRPr="00B85D62">
              <w:rPr>
                <w:rFonts w:eastAsia="Arial" w:cs="Arial"/>
                <w:sz w:val="16"/>
                <w:szCs w:val="16"/>
              </w:rPr>
              <w:t>History of CVD</w:t>
            </w:r>
          </w:p>
        </w:tc>
        <w:tc>
          <w:tcPr>
            <w:tcW w:w="0" w:type="auto"/>
            <w:shd w:val="clear" w:color="auto" w:fill="auto"/>
            <w:vAlign w:val="center"/>
          </w:tcPr>
          <w:p w14:paraId="755AA4E7" w14:textId="13A6FDC4" w:rsidR="3341BD48" w:rsidRPr="00B85D62" w:rsidRDefault="3341BD48" w:rsidP="0066232B">
            <w:pPr>
              <w:jc w:val="center"/>
              <w:rPr>
                <w:rFonts w:eastAsia="Arial" w:cs="Arial"/>
                <w:sz w:val="16"/>
                <w:szCs w:val="16"/>
              </w:rPr>
            </w:pPr>
            <w:r w:rsidRPr="00B85D62">
              <w:rPr>
                <w:rFonts w:eastAsia="Arial" w:cs="Arial"/>
                <w:sz w:val="16"/>
                <w:szCs w:val="16"/>
              </w:rPr>
              <w:t>102</w:t>
            </w:r>
          </w:p>
        </w:tc>
        <w:tc>
          <w:tcPr>
            <w:tcW w:w="0" w:type="auto"/>
            <w:shd w:val="clear" w:color="auto" w:fill="auto"/>
            <w:vAlign w:val="center"/>
          </w:tcPr>
          <w:p w14:paraId="0A207FB0" w14:textId="7E24A94A" w:rsidR="3341BD48" w:rsidRPr="00B85D62" w:rsidRDefault="3341BD48" w:rsidP="0066232B">
            <w:pPr>
              <w:jc w:val="center"/>
              <w:rPr>
                <w:rFonts w:eastAsia="Arial" w:cs="Arial"/>
                <w:sz w:val="16"/>
                <w:szCs w:val="16"/>
              </w:rPr>
            </w:pPr>
            <w:r w:rsidRPr="00B85D62">
              <w:rPr>
                <w:rFonts w:eastAsia="Arial" w:cs="Arial"/>
                <w:sz w:val="16"/>
                <w:szCs w:val="16"/>
              </w:rPr>
              <w:t>3.5%</w:t>
            </w:r>
          </w:p>
        </w:tc>
        <w:tc>
          <w:tcPr>
            <w:tcW w:w="0" w:type="auto"/>
            <w:shd w:val="clear" w:color="auto" w:fill="auto"/>
            <w:vAlign w:val="center"/>
          </w:tcPr>
          <w:p w14:paraId="27D863C7" w14:textId="43DAC287" w:rsidR="3341BD48" w:rsidRPr="00B85D62" w:rsidRDefault="3341BD48" w:rsidP="0066232B">
            <w:pPr>
              <w:jc w:val="center"/>
              <w:rPr>
                <w:rFonts w:eastAsia="Arial" w:cs="Arial"/>
                <w:sz w:val="16"/>
                <w:szCs w:val="16"/>
              </w:rPr>
            </w:pPr>
            <w:r w:rsidRPr="00B85D62">
              <w:rPr>
                <w:rFonts w:eastAsia="Arial" w:cs="Arial"/>
                <w:sz w:val="16"/>
                <w:szCs w:val="16"/>
              </w:rPr>
              <w:t>8</w:t>
            </w:r>
          </w:p>
        </w:tc>
        <w:tc>
          <w:tcPr>
            <w:tcW w:w="0" w:type="auto"/>
            <w:shd w:val="clear" w:color="auto" w:fill="auto"/>
            <w:vAlign w:val="center"/>
          </w:tcPr>
          <w:p w14:paraId="0489A973" w14:textId="631DCEF9" w:rsidR="3341BD48" w:rsidRPr="00B85D62" w:rsidRDefault="3341BD48" w:rsidP="0066232B">
            <w:pPr>
              <w:jc w:val="center"/>
              <w:rPr>
                <w:rFonts w:eastAsia="Arial" w:cs="Arial"/>
                <w:sz w:val="16"/>
                <w:szCs w:val="16"/>
              </w:rPr>
            </w:pPr>
            <w:r w:rsidRPr="00B85D62">
              <w:rPr>
                <w:rFonts w:eastAsia="Arial" w:cs="Arial"/>
                <w:sz w:val="16"/>
                <w:szCs w:val="16"/>
              </w:rPr>
              <w:t>1.1%</w:t>
            </w:r>
          </w:p>
        </w:tc>
        <w:tc>
          <w:tcPr>
            <w:tcW w:w="0" w:type="auto"/>
            <w:shd w:val="clear" w:color="auto" w:fill="auto"/>
            <w:vAlign w:val="center"/>
          </w:tcPr>
          <w:p w14:paraId="11AA76A4" w14:textId="76264DB0" w:rsidR="3341BD48" w:rsidRPr="00B85D62" w:rsidRDefault="3341BD48" w:rsidP="0066232B">
            <w:pPr>
              <w:jc w:val="center"/>
              <w:rPr>
                <w:rFonts w:eastAsia="Arial" w:cs="Arial"/>
                <w:sz w:val="16"/>
                <w:szCs w:val="16"/>
              </w:rPr>
            </w:pPr>
            <w:r w:rsidRPr="00B85D62">
              <w:rPr>
                <w:rFonts w:eastAsia="Arial" w:cs="Arial"/>
                <w:sz w:val="16"/>
                <w:szCs w:val="16"/>
              </w:rPr>
              <w:t>23</w:t>
            </w:r>
          </w:p>
        </w:tc>
        <w:tc>
          <w:tcPr>
            <w:tcW w:w="0" w:type="auto"/>
            <w:shd w:val="clear" w:color="auto" w:fill="auto"/>
            <w:vAlign w:val="center"/>
          </w:tcPr>
          <w:p w14:paraId="5A0ED984" w14:textId="049B2018" w:rsidR="3341BD48" w:rsidRPr="00B85D62" w:rsidRDefault="3341BD48" w:rsidP="0066232B">
            <w:pPr>
              <w:jc w:val="center"/>
              <w:rPr>
                <w:rFonts w:eastAsia="Arial" w:cs="Arial"/>
                <w:sz w:val="16"/>
                <w:szCs w:val="16"/>
              </w:rPr>
            </w:pPr>
            <w:r w:rsidRPr="00B85D62">
              <w:rPr>
                <w:rFonts w:eastAsia="Arial" w:cs="Arial"/>
                <w:sz w:val="16"/>
                <w:szCs w:val="16"/>
              </w:rPr>
              <w:t>1.8%</w:t>
            </w:r>
          </w:p>
        </w:tc>
        <w:tc>
          <w:tcPr>
            <w:tcW w:w="0" w:type="auto"/>
            <w:shd w:val="clear" w:color="auto" w:fill="auto"/>
            <w:vAlign w:val="center"/>
          </w:tcPr>
          <w:p w14:paraId="4D64C7CD" w14:textId="5097BFD0" w:rsidR="3341BD48" w:rsidRPr="00B85D62" w:rsidRDefault="3341BD48" w:rsidP="0066232B">
            <w:pPr>
              <w:jc w:val="center"/>
              <w:rPr>
                <w:rFonts w:eastAsia="Arial" w:cs="Arial"/>
                <w:sz w:val="16"/>
                <w:szCs w:val="16"/>
              </w:rPr>
            </w:pPr>
            <w:r w:rsidRPr="00B85D62">
              <w:rPr>
                <w:rFonts w:eastAsia="Arial" w:cs="Arial"/>
                <w:sz w:val="16"/>
                <w:szCs w:val="16"/>
              </w:rPr>
              <w:t>71</w:t>
            </w:r>
          </w:p>
        </w:tc>
        <w:tc>
          <w:tcPr>
            <w:tcW w:w="0" w:type="auto"/>
            <w:shd w:val="clear" w:color="auto" w:fill="auto"/>
            <w:vAlign w:val="center"/>
          </w:tcPr>
          <w:p w14:paraId="49025A68" w14:textId="41A4AF1E" w:rsidR="3341BD48" w:rsidRPr="00B85D62" w:rsidRDefault="3341BD48" w:rsidP="0066232B">
            <w:pPr>
              <w:jc w:val="center"/>
              <w:rPr>
                <w:rFonts w:eastAsia="Arial" w:cs="Arial"/>
                <w:sz w:val="16"/>
                <w:szCs w:val="16"/>
              </w:rPr>
            </w:pPr>
            <w:r w:rsidRPr="00B85D62">
              <w:rPr>
                <w:rFonts w:eastAsia="Arial" w:cs="Arial"/>
                <w:sz w:val="16"/>
                <w:szCs w:val="16"/>
              </w:rPr>
              <w:t>8.4%</w:t>
            </w:r>
          </w:p>
        </w:tc>
      </w:tr>
      <w:tr w:rsidR="3341BD48" w:rsidRPr="00B85D62" w14:paraId="2F1D6F86" w14:textId="77777777" w:rsidTr="00B85D62">
        <w:trPr>
          <w:cantSplit/>
        </w:trPr>
        <w:tc>
          <w:tcPr>
            <w:tcW w:w="0" w:type="auto"/>
            <w:shd w:val="clear" w:color="auto" w:fill="auto"/>
            <w:vAlign w:val="center"/>
          </w:tcPr>
          <w:p w14:paraId="76715D95" w14:textId="0F0A0954" w:rsidR="3341BD48" w:rsidRPr="00B85D62" w:rsidRDefault="3341BD48" w:rsidP="0066232B">
            <w:pPr>
              <w:rPr>
                <w:rFonts w:eastAsia="Arial" w:cs="Arial"/>
                <w:sz w:val="16"/>
                <w:szCs w:val="16"/>
              </w:rPr>
            </w:pPr>
            <w:r w:rsidRPr="00B85D62">
              <w:rPr>
                <w:rFonts w:eastAsia="Arial" w:cs="Arial"/>
                <w:sz w:val="16"/>
                <w:szCs w:val="16"/>
              </w:rPr>
              <w:t>Family history of CHD</w:t>
            </w:r>
          </w:p>
        </w:tc>
        <w:tc>
          <w:tcPr>
            <w:tcW w:w="0" w:type="auto"/>
            <w:shd w:val="clear" w:color="auto" w:fill="auto"/>
            <w:vAlign w:val="center"/>
          </w:tcPr>
          <w:p w14:paraId="26C73FA0" w14:textId="6E5D937E" w:rsidR="3341BD48" w:rsidRPr="00B85D62" w:rsidRDefault="3341BD48" w:rsidP="0066232B">
            <w:pPr>
              <w:jc w:val="center"/>
              <w:rPr>
                <w:rFonts w:eastAsia="Arial" w:cs="Arial"/>
                <w:sz w:val="16"/>
                <w:szCs w:val="16"/>
              </w:rPr>
            </w:pPr>
            <w:r w:rsidRPr="00B85D62">
              <w:rPr>
                <w:rFonts w:eastAsia="Arial" w:cs="Arial"/>
                <w:sz w:val="16"/>
                <w:szCs w:val="16"/>
              </w:rPr>
              <w:t>410</w:t>
            </w:r>
          </w:p>
        </w:tc>
        <w:tc>
          <w:tcPr>
            <w:tcW w:w="0" w:type="auto"/>
            <w:shd w:val="clear" w:color="auto" w:fill="auto"/>
            <w:vAlign w:val="center"/>
          </w:tcPr>
          <w:p w14:paraId="04B8AE88" w14:textId="7D446461" w:rsidR="3341BD48" w:rsidRPr="00B85D62" w:rsidRDefault="3341BD48" w:rsidP="0066232B">
            <w:pPr>
              <w:jc w:val="center"/>
              <w:rPr>
                <w:rFonts w:eastAsia="Arial" w:cs="Arial"/>
                <w:sz w:val="16"/>
                <w:szCs w:val="16"/>
              </w:rPr>
            </w:pPr>
            <w:r w:rsidRPr="00B85D62">
              <w:rPr>
                <w:rFonts w:eastAsia="Arial" w:cs="Arial"/>
                <w:sz w:val="16"/>
                <w:szCs w:val="16"/>
              </w:rPr>
              <w:t>14.2%</w:t>
            </w:r>
          </w:p>
        </w:tc>
        <w:tc>
          <w:tcPr>
            <w:tcW w:w="0" w:type="auto"/>
            <w:shd w:val="clear" w:color="auto" w:fill="auto"/>
            <w:vAlign w:val="center"/>
          </w:tcPr>
          <w:p w14:paraId="600BA38D" w14:textId="53D0EC91" w:rsidR="3341BD48" w:rsidRPr="00B85D62" w:rsidRDefault="3341BD48" w:rsidP="0066232B">
            <w:pPr>
              <w:jc w:val="center"/>
              <w:rPr>
                <w:rFonts w:eastAsia="Arial" w:cs="Arial"/>
                <w:sz w:val="16"/>
                <w:szCs w:val="16"/>
              </w:rPr>
            </w:pPr>
            <w:r w:rsidRPr="00B85D62">
              <w:rPr>
                <w:rFonts w:eastAsia="Arial" w:cs="Arial"/>
                <w:sz w:val="16"/>
                <w:szCs w:val="16"/>
              </w:rPr>
              <w:t>74</w:t>
            </w:r>
          </w:p>
        </w:tc>
        <w:tc>
          <w:tcPr>
            <w:tcW w:w="0" w:type="auto"/>
            <w:shd w:val="clear" w:color="auto" w:fill="auto"/>
            <w:vAlign w:val="center"/>
          </w:tcPr>
          <w:p w14:paraId="51ECECAE" w14:textId="70E0B65A" w:rsidR="3341BD48" w:rsidRPr="00B85D62" w:rsidRDefault="3341BD48" w:rsidP="0066232B">
            <w:pPr>
              <w:jc w:val="center"/>
              <w:rPr>
                <w:rFonts w:eastAsia="Arial" w:cs="Arial"/>
                <w:sz w:val="16"/>
                <w:szCs w:val="16"/>
              </w:rPr>
            </w:pPr>
            <w:r w:rsidRPr="00B85D62">
              <w:rPr>
                <w:rFonts w:eastAsia="Arial" w:cs="Arial"/>
                <w:sz w:val="16"/>
                <w:szCs w:val="16"/>
              </w:rPr>
              <w:t>9.9%</w:t>
            </w:r>
          </w:p>
        </w:tc>
        <w:tc>
          <w:tcPr>
            <w:tcW w:w="0" w:type="auto"/>
            <w:shd w:val="clear" w:color="auto" w:fill="auto"/>
            <w:vAlign w:val="center"/>
          </w:tcPr>
          <w:p w14:paraId="3914EF3C" w14:textId="064E917B" w:rsidR="3341BD48" w:rsidRPr="00B85D62" w:rsidRDefault="3341BD48" w:rsidP="0066232B">
            <w:pPr>
              <w:jc w:val="center"/>
              <w:rPr>
                <w:rFonts w:eastAsia="Arial" w:cs="Arial"/>
                <w:sz w:val="16"/>
                <w:szCs w:val="16"/>
              </w:rPr>
            </w:pPr>
            <w:r w:rsidRPr="00B85D62">
              <w:rPr>
                <w:rFonts w:eastAsia="Arial" w:cs="Arial"/>
                <w:sz w:val="16"/>
                <w:szCs w:val="16"/>
              </w:rPr>
              <w:t>186</w:t>
            </w:r>
          </w:p>
        </w:tc>
        <w:tc>
          <w:tcPr>
            <w:tcW w:w="0" w:type="auto"/>
            <w:shd w:val="clear" w:color="auto" w:fill="auto"/>
            <w:vAlign w:val="center"/>
          </w:tcPr>
          <w:p w14:paraId="56821C4A" w14:textId="15018296" w:rsidR="3341BD48" w:rsidRPr="00B85D62" w:rsidRDefault="3341BD48" w:rsidP="0066232B">
            <w:pPr>
              <w:jc w:val="center"/>
              <w:rPr>
                <w:rFonts w:eastAsia="Arial" w:cs="Arial"/>
                <w:sz w:val="16"/>
                <w:szCs w:val="16"/>
              </w:rPr>
            </w:pPr>
            <w:r w:rsidRPr="00B85D62">
              <w:rPr>
                <w:rFonts w:eastAsia="Arial" w:cs="Arial"/>
                <w:sz w:val="16"/>
                <w:szCs w:val="16"/>
              </w:rPr>
              <w:t>14.4%</w:t>
            </w:r>
          </w:p>
        </w:tc>
        <w:tc>
          <w:tcPr>
            <w:tcW w:w="0" w:type="auto"/>
            <w:shd w:val="clear" w:color="auto" w:fill="auto"/>
            <w:vAlign w:val="center"/>
          </w:tcPr>
          <w:p w14:paraId="3AFCA2C1" w14:textId="22F4791B" w:rsidR="3341BD48" w:rsidRPr="00B85D62" w:rsidRDefault="3341BD48" w:rsidP="0066232B">
            <w:pPr>
              <w:jc w:val="center"/>
              <w:rPr>
                <w:rFonts w:eastAsia="Arial" w:cs="Arial"/>
                <w:sz w:val="16"/>
                <w:szCs w:val="16"/>
              </w:rPr>
            </w:pPr>
            <w:r w:rsidRPr="00B85D62">
              <w:rPr>
                <w:rFonts w:eastAsia="Arial" w:cs="Arial"/>
                <w:sz w:val="16"/>
                <w:szCs w:val="16"/>
              </w:rPr>
              <w:t>150</w:t>
            </w:r>
          </w:p>
        </w:tc>
        <w:tc>
          <w:tcPr>
            <w:tcW w:w="0" w:type="auto"/>
            <w:shd w:val="clear" w:color="auto" w:fill="auto"/>
            <w:vAlign w:val="center"/>
          </w:tcPr>
          <w:p w14:paraId="45748E8F" w14:textId="38B35481" w:rsidR="3341BD48" w:rsidRPr="00B85D62" w:rsidRDefault="3341BD48" w:rsidP="0066232B">
            <w:pPr>
              <w:jc w:val="center"/>
              <w:rPr>
                <w:rFonts w:eastAsia="Arial" w:cs="Arial"/>
                <w:sz w:val="16"/>
                <w:szCs w:val="16"/>
              </w:rPr>
            </w:pPr>
            <w:r w:rsidRPr="00B85D62">
              <w:rPr>
                <w:rFonts w:eastAsia="Arial" w:cs="Arial"/>
                <w:sz w:val="16"/>
                <w:szCs w:val="16"/>
              </w:rPr>
              <w:t>17.8%</w:t>
            </w:r>
          </w:p>
        </w:tc>
      </w:tr>
      <w:tr w:rsidR="3341BD48" w:rsidRPr="00B85D62" w14:paraId="1BB06904" w14:textId="77777777" w:rsidTr="00B85D62">
        <w:trPr>
          <w:cantSplit/>
        </w:trPr>
        <w:tc>
          <w:tcPr>
            <w:tcW w:w="0" w:type="auto"/>
            <w:shd w:val="clear" w:color="auto" w:fill="auto"/>
            <w:vAlign w:val="center"/>
          </w:tcPr>
          <w:p w14:paraId="0EAFDBB3" w14:textId="3419867E" w:rsidR="3341BD48" w:rsidRPr="00B85D62" w:rsidRDefault="3341BD48" w:rsidP="0066232B">
            <w:pPr>
              <w:rPr>
                <w:rFonts w:eastAsia="Arial" w:cs="Arial"/>
                <w:sz w:val="16"/>
                <w:szCs w:val="16"/>
              </w:rPr>
            </w:pPr>
            <w:r w:rsidRPr="00B85D62">
              <w:rPr>
                <w:rFonts w:eastAsia="Arial" w:cs="Arial"/>
                <w:sz w:val="16"/>
                <w:szCs w:val="16"/>
              </w:rPr>
              <w:lastRenderedPageBreak/>
              <w:t>QRisk2 score***</w:t>
            </w:r>
          </w:p>
        </w:tc>
        <w:tc>
          <w:tcPr>
            <w:tcW w:w="0" w:type="auto"/>
            <w:shd w:val="clear" w:color="auto" w:fill="auto"/>
            <w:vAlign w:val="center"/>
          </w:tcPr>
          <w:p w14:paraId="52DA7A12" w14:textId="450849A8" w:rsidR="3341BD48" w:rsidRPr="00B85D62" w:rsidRDefault="3341BD48" w:rsidP="0066232B">
            <w:pPr>
              <w:jc w:val="center"/>
              <w:rPr>
                <w:rFonts w:eastAsia="Arial" w:cs="Arial"/>
                <w:sz w:val="16"/>
                <w:szCs w:val="16"/>
              </w:rPr>
            </w:pPr>
            <w:r w:rsidRPr="00B85D62">
              <w:rPr>
                <w:rFonts w:eastAsia="Arial" w:cs="Arial"/>
                <w:sz w:val="16"/>
                <w:szCs w:val="16"/>
              </w:rPr>
              <w:t>8.3</w:t>
            </w:r>
          </w:p>
        </w:tc>
        <w:tc>
          <w:tcPr>
            <w:tcW w:w="0" w:type="auto"/>
            <w:shd w:val="clear" w:color="auto" w:fill="auto"/>
            <w:vAlign w:val="center"/>
          </w:tcPr>
          <w:p w14:paraId="06045582" w14:textId="03C1AB75" w:rsidR="3341BD48" w:rsidRPr="00B85D62" w:rsidRDefault="3341BD48" w:rsidP="0066232B">
            <w:pPr>
              <w:jc w:val="center"/>
              <w:rPr>
                <w:rFonts w:eastAsia="Arial" w:cs="Arial"/>
                <w:sz w:val="16"/>
                <w:szCs w:val="16"/>
              </w:rPr>
            </w:pPr>
            <w:r w:rsidRPr="00B85D62">
              <w:rPr>
                <w:rFonts w:eastAsia="Arial" w:cs="Arial"/>
                <w:sz w:val="16"/>
                <w:szCs w:val="16"/>
              </w:rPr>
              <w:t>8.5</w:t>
            </w:r>
          </w:p>
        </w:tc>
        <w:tc>
          <w:tcPr>
            <w:tcW w:w="0" w:type="auto"/>
            <w:shd w:val="clear" w:color="auto" w:fill="auto"/>
            <w:vAlign w:val="center"/>
          </w:tcPr>
          <w:p w14:paraId="30E310DC" w14:textId="532A4F2D" w:rsidR="3341BD48" w:rsidRPr="00B85D62" w:rsidRDefault="3341BD48" w:rsidP="0066232B">
            <w:pPr>
              <w:jc w:val="center"/>
              <w:rPr>
                <w:rFonts w:eastAsia="Arial" w:cs="Arial"/>
                <w:sz w:val="16"/>
                <w:szCs w:val="16"/>
              </w:rPr>
            </w:pPr>
            <w:r w:rsidRPr="00B85D62">
              <w:rPr>
                <w:rFonts w:eastAsia="Arial" w:cs="Arial"/>
                <w:sz w:val="16"/>
                <w:szCs w:val="16"/>
              </w:rPr>
              <w:t>5.9</w:t>
            </w:r>
          </w:p>
        </w:tc>
        <w:tc>
          <w:tcPr>
            <w:tcW w:w="0" w:type="auto"/>
            <w:shd w:val="clear" w:color="auto" w:fill="auto"/>
            <w:vAlign w:val="center"/>
          </w:tcPr>
          <w:p w14:paraId="77FB843E" w14:textId="0AC1B563" w:rsidR="3341BD48" w:rsidRPr="00B85D62" w:rsidRDefault="3341BD48" w:rsidP="0066232B">
            <w:pPr>
              <w:jc w:val="center"/>
              <w:rPr>
                <w:rFonts w:eastAsia="Arial" w:cs="Arial"/>
                <w:sz w:val="16"/>
                <w:szCs w:val="16"/>
              </w:rPr>
            </w:pPr>
            <w:r w:rsidRPr="00B85D62">
              <w:rPr>
                <w:rFonts w:eastAsia="Arial" w:cs="Arial"/>
                <w:sz w:val="16"/>
                <w:szCs w:val="16"/>
              </w:rPr>
              <w:t>7.1</w:t>
            </w:r>
          </w:p>
        </w:tc>
        <w:tc>
          <w:tcPr>
            <w:tcW w:w="0" w:type="auto"/>
            <w:shd w:val="clear" w:color="auto" w:fill="auto"/>
            <w:vAlign w:val="center"/>
          </w:tcPr>
          <w:p w14:paraId="74FA256A" w14:textId="088D2965" w:rsidR="3341BD48" w:rsidRPr="00B85D62" w:rsidRDefault="3341BD48" w:rsidP="0066232B">
            <w:pPr>
              <w:jc w:val="center"/>
              <w:rPr>
                <w:rFonts w:eastAsia="Arial" w:cs="Arial"/>
                <w:sz w:val="16"/>
                <w:szCs w:val="16"/>
              </w:rPr>
            </w:pPr>
            <w:r w:rsidRPr="00B85D62">
              <w:rPr>
                <w:rFonts w:eastAsia="Arial" w:cs="Arial"/>
                <w:sz w:val="16"/>
                <w:szCs w:val="16"/>
              </w:rPr>
              <w:t>9.1</w:t>
            </w:r>
          </w:p>
        </w:tc>
        <w:tc>
          <w:tcPr>
            <w:tcW w:w="0" w:type="auto"/>
            <w:shd w:val="clear" w:color="auto" w:fill="auto"/>
            <w:vAlign w:val="center"/>
          </w:tcPr>
          <w:p w14:paraId="1639AB44" w14:textId="75C0EACF" w:rsidR="3341BD48" w:rsidRPr="00B85D62" w:rsidRDefault="3341BD48" w:rsidP="0066232B">
            <w:pPr>
              <w:jc w:val="center"/>
              <w:rPr>
                <w:rFonts w:eastAsia="Arial" w:cs="Arial"/>
                <w:sz w:val="16"/>
                <w:szCs w:val="16"/>
              </w:rPr>
            </w:pPr>
            <w:r w:rsidRPr="00B85D62">
              <w:rPr>
                <w:rFonts w:eastAsia="Arial" w:cs="Arial"/>
                <w:sz w:val="16"/>
                <w:szCs w:val="16"/>
              </w:rPr>
              <w:t>8.9</w:t>
            </w:r>
          </w:p>
        </w:tc>
        <w:tc>
          <w:tcPr>
            <w:tcW w:w="0" w:type="auto"/>
            <w:shd w:val="clear" w:color="auto" w:fill="auto"/>
            <w:vAlign w:val="center"/>
          </w:tcPr>
          <w:p w14:paraId="797C1604" w14:textId="29F99A36" w:rsidR="3341BD48" w:rsidRPr="00B85D62" w:rsidRDefault="3341BD48" w:rsidP="0066232B">
            <w:pPr>
              <w:jc w:val="center"/>
              <w:rPr>
                <w:rFonts w:eastAsia="Arial" w:cs="Arial"/>
                <w:sz w:val="16"/>
                <w:szCs w:val="16"/>
              </w:rPr>
            </w:pPr>
            <w:r w:rsidRPr="00B85D62">
              <w:rPr>
                <w:rFonts w:eastAsia="Arial" w:cs="Arial"/>
                <w:sz w:val="16"/>
                <w:szCs w:val="16"/>
              </w:rPr>
              <w:t>9.1</w:t>
            </w:r>
          </w:p>
        </w:tc>
        <w:tc>
          <w:tcPr>
            <w:tcW w:w="0" w:type="auto"/>
            <w:shd w:val="clear" w:color="auto" w:fill="auto"/>
            <w:vAlign w:val="center"/>
          </w:tcPr>
          <w:p w14:paraId="2710849A" w14:textId="690147D9" w:rsidR="3341BD48" w:rsidRPr="00B85D62" w:rsidRDefault="3341BD48" w:rsidP="0066232B">
            <w:pPr>
              <w:jc w:val="center"/>
              <w:rPr>
                <w:rFonts w:eastAsia="Arial" w:cs="Arial"/>
                <w:sz w:val="16"/>
                <w:szCs w:val="16"/>
              </w:rPr>
            </w:pPr>
            <w:r w:rsidRPr="00B85D62">
              <w:rPr>
                <w:rFonts w:eastAsia="Arial" w:cs="Arial"/>
                <w:sz w:val="16"/>
                <w:szCs w:val="16"/>
              </w:rPr>
              <w:t>8.6</w:t>
            </w:r>
          </w:p>
        </w:tc>
      </w:tr>
      <w:tr w:rsidR="3341BD48" w:rsidRPr="00B85D62" w14:paraId="1D34A653" w14:textId="77777777" w:rsidTr="00B85D62">
        <w:trPr>
          <w:cantSplit/>
        </w:trPr>
        <w:tc>
          <w:tcPr>
            <w:tcW w:w="0" w:type="auto"/>
            <w:shd w:val="clear" w:color="auto" w:fill="auto"/>
            <w:vAlign w:val="center"/>
          </w:tcPr>
          <w:p w14:paraId="50FF2578" w14:textId="5E1AA276" w:rsidR="3341BD48" w:rsidRPr="00B85D62" w:rsidRDefault="3341BD48" w:rsidP="0066232B">
            <w:pPr>
              <w:rPr>
                <w:rFonts w:eastAsia="Arial" w:cs="Arial"/>
                <w:sz w:val="16"/>
                <w:szCs w:val="16"/>
              </w:rPr>
            </w:pPr>
            <w:r w:rsidRPr="00B85D62">
              <w:rPr>
                <w:rFonts w:eastAsia="Arial" w:cs="Arial"/>
                <w:sz w:val="16"/>
                <w:szCs w:val="16"/>
              </w:rPr>
              <w:t>Anti-hypertensive</w:t>
            </w:r>
          </w:p>
        </w:tc>
        <w:tc>
          <w:tcPr>
            <w:tcW w:w="0" w:type="auto"/>
            <w:shd w:val="clear" w:color="auto" w:fill="auto"/>
            <w:vAlign w:val="center"/>
          </w:tcPr>
          <w:p w14:paraId="4A013A4D" w14:textId="3D90234B" w:rsidR="3341BD48" w:rsidRPr="00B85D62" w:rsidRDefault="3341BD48" w:rsidP="0066232B">
            <w:pPr>
              <w:jc w:val="center"/>
              <w:rPr>
                <w:rFonts w:eastAsia="Arial" w:cs="Arial"/>
                <w:sz w:val="16"/>
                <w:szCs w:val="16"/>
              </w:rPr>
            </w:pPr>
            <w:r w:rsidRPr="00B85D62">
              <w:rPr>
                <w:rFonts w:eastAsia="Arial" w:cs="Arial"/>
                <w:sz w:val="16"/>
                <w:szCs w:val="16"/>
              </w:rPr>
              <w:t>781</w:t>
            </w:r>
          </w:p>
        </w:tc>
        <w:tc>
          <w:tcPr>
            <w:tcW w:w="0" w:type="auto"/>
            <w:shd w:val="clear" w:color="auto" w:fill="auto"/>
            <w:vAlign w:val="center"/>
          </w:tcPr>
          <w:p w14:paraId="7368CABE" w14:textId="0CBF0108" w:rsidR="3341BD48" w:rsidRPr="00B85D62" w:rsidRDefault="3341BD48" w:rsidP="0066232B">
            <w:pPr>
              <w:jc w:val="center"/>
              <w:rPr>
                <w:rFonts w:eastAsia="Arial" w:cs="Arial"/>
                <w:sz w:val="16"/>
                <w:szCs w:val="16"/>
              </w:rPr>
            </w:pPr>
            <w:r w:rsidRPr="00B85D62">
              <w:rPr>
                <w:rFonts w:eastAsia="Arial" w:cs="Arial"/>
                <w:sz w:val="16"/>
                <w:szCs w:val="16"/>
              </w:rPr>
              <w:t>27.1%</w:t>
            </w:r>
          </w:p>
        </w:tc>
        <w:tc>
          <w:tcPr>
            <w:tcW w:w="0" w:type="auto"/>
            <w:shd w:val="clear" w:color="auto" w:fill="auto"/>
            <w:vAlign w:val="center"/>
          </w:tcPr>
          <w:p w14:paraId="7F80D05F" w14:textId="45A34057" w:rsidR="3341BD48" w:rsidRPr="00B85D62" w:rsidRDefault="3341BD48" w:rsidP="0066232B">
            <w:pPr>
              <w:jc w:val="center"/>
              <w:rPr>
                <w:rFonts w:eastAsia="Arial" w:cs="Arial"/>
                <w:sz w:val="16"/>
                <w:szCs w:val="16"/>
              </w:rPr>
            </w:pPr>
            <w:r w:rsidRPr="00B85D62">
              <w:rPr>
                <w:rFonts w:eastAsia="Arial" w:cs="Arial"/>
                <w:sz w:val="16"/>
                <w:szCs w:val="16"/>
              </w:rPr>
              <w:t>120</w:t>
            </w:r>
          </w:p>
        </w:tc>
        <w:tc>
          <w:tcPr>
            <w:tcW w:w="0" w:type="auto"/>
            <w:shd w:val="clear" w:color="auto" w:fill="auto"/>
            <w:vAlign w:val="center"/>
          </w:tcPr>
          <w:p w14:paraId="4CB84D55" w14:textId="0A1FAAC2" w:rsidR="3341BD48" w:rsidRPr="00B85D62" w:rsidRDefault="3341BD48" w:rsidP="0066232B">
            <w:pPr>
              <w:jc w:val="center"/>
              <w:rPr>
                <w:rFonts w:eastAsia="Arial" w:cs="Arial"/>
                <w:sz w:val="16"/>
                <w:szCs w:val="16"/>
              </w:rPr>
            </w:pPr>
            <w:r w:rsidRPr="00B85D62">
              <w:rPr>
                <w:rFonts w:eastAsia="Arial" w:cs="Arial"/>
                <w:sz w:val="16"/>
                <w:szCs w:val="16"/>
              </w:rPr>
              <w:t>16.1%</w:t>
            </w:r>
          </w:p>
        </w:tc>
        <w:tc>
          <w:tcPr>
            <w:tcW w:w="0" w:type="auto"/>
            <w:shd w:val="clear" w:color="auto" w:fill="auto"/>
            <w:vAlign w:val="center"/>
          </w:tcPr>
          <w:p w14:paraId="79B3AC17" w14:textId="3099CF2A" w:rsidR="3341BD48" w:rsidRPr="00B85D62" w:rsidRDefault="3341BD48" w:rsidP="0066232B">
            <w:pPr>
              <w:jc w:val="center"/>
              <w:rPr>
                <w:rFonts w:eastAsia="Arial" w:cs="Arial"/>
                <w:sz w:val="16"/>
                <w:szCs w:val="16"/>
              </w:rPr>
            </w:pPr>
            <w:r w:rsidRPr="00B85D62">
              <w:rPr>
                <w:rFonts w:eastAsia="Arial" w:cs="Arial"/>
                <w:sz w:val="16"/>
                <w:szCs w:val="16"/>
              </w:rPr>
              <w:t>332</w:t>
            </w:r>
          </w:p>
        </w:tc>
        <w:tc>
          <w:tcPr>
            <w:tcW w:w="0" w:type="auto"/>
            <w:shd w:val="clear" w:color="auto" w:fill="auto"/>
            <w:vAlign w:val="center"/>
          </w:tcPr>
          <w:p w14:paraId="1BD67E8B" w14:textId="4BAE933A" w:rsidR="3341BD48" w:rsidRPr="00B85D62" w:rsidRDefault="3341BD48" w:rsidP="0066232B">
            <w:pPr>
              <w:jc w:val="center"/>
              <w:rPr>
                <w:rFonts w:eastAsia="Arial" w:cs="Arial"/>
                <w:sz w:val="16"/>
                <w:szCs w:val="16"/>
              </w:rPr>
            </w:pPr>
            <w:r w:rsidRPr="00B85D62">
              <w:rPr>
                <w:rFonts w:eastAsia="Arial" w:cs="Arial"/>
                <w:sz w:val="16"/>
                <w:szCs w:val="16"/>
              </w:rPr>
              <w:t>25.7%</w:t>
            </w:r>
          </w:p>
        </w:tc>
        <w:tc>
          <w:tcPr>
            <w:tcW w:w="0" w:type="auto"/>
            <w:shd w:val="clear" w:color="auto" w:fill="auto"/>
            <w:vAlign w:val="center"/>
          </w:tcPr>
          <w:p w14:paraId="1C4EB2F7" w14:textId="1AB19855" w:rsidR="3341BD48" w:rsidRPr="00B85D62" w:rsidRDefault="3341BD48" w:rsidP="0066232B">
            <w:pPr>
              <w:jc w:val="center"/>
              <w:rPr>
                <w:rFonts w:eastAsia="Arial" w:cs="Arial"/>
                <w:sz w:val="16"/>
                <w:szCs w:val="16"/>
              </w:rPr>
            </w:pPr>
            <w:r w:rsidRPr="00B85D62">
              <w:rPr>
                <w:rFonts w:eastAsia="Arial" w:cs="Arial"/>
                <w:sz w:val="16"/>
                <w:szCs w:val="16"/>
              </w:rPr>
              <w:t>329</w:t>
            </w:r>
          </w:p>
        </w:tc>
        <w:tc>
          <w:tcPr>
            <w:tcW w:w="0" w:type="auto"/>
            <w:shd w:val="clear" w:color="auto" w:fill="auto"/>
            <w:vAlign w:val="center"/>
          </w:tcPr>
          <w:p w14:paraId="6DC872CF" w14:textId="43001EEF" w:rsidR="3341BD48" w:rsidRPr="00B85D62" w:rsidRDefault="3341BD48" w:rsidP="0066232B">
            <w:pPr>
              <w:jc w:val="center"/>
              <w:rPr>
                <w:rFonts w:eastAsia="Arial" w:cs="Arial"/>
                <w:sz w:val="16"/>
                <w:szCs w:val="16"/>
              </w:rPr>
            </w:pPr>
            <w:r w:rsidRPr="00B85D62">
              <w:rPr>
                <w:rFonts w:eastAsia="Arial" w:cs="Arial"/>
                <w:sz w:val="16"/>
                <w:szCs w:val="16"/>
              </w:rPr>
              <w:t>39.0%</w:t>
            </w:r>
          </w:p>
        </w:tc>
      </w:tr>
      <w:tr w:rsidR="3341BD48" w:rsidRPr="00B85D62" w14:paraId="0AB6BA19" w14:textId="77777777" w:rsidTr="00B85D62">
        <w:trPr>
          <w:cantSplit/>
        </w:trPr>
        <w:tc>
          <w:tcPr>
            <w:tcW w:w="0" w:type="auto"/>
            <w:shd w:val="clear" w:color="auto" w:fill="auto"/>
            <w:vAlign w:val="center"/>
          </w:tcPr>
          <w:p w14:paraId="28B97A72" w14:textId="5D229604" w:rsidR="3341BD48" w:rsidRPr="00B85D62" w:rsidRDefault="3341BD48" w:rsidP="0066232B">
            <w:pPr>
              <w:rPr>
                <w:rFonts w:eastAsia="Arial" w:cs="Arial"/>
                <w:sz w:val="16"/>
                <w:szCs w:val="16"/>
              </w:rPr>
            </w:pPr>
            <w:r w:rsidRPr="00B85D62">
              <w:rPr>
                <w:rFonts w:eastAsia="Arial" w:cs="Arial"/>
                <w:sz w:val="16"/>
                <w:szCs w:val="16"/>
              </w:rPr>
              <w:t>Polypharmacy**</w:t>
            </w:r>
          </w:p>
        </w:tc>
        <w:tc>
          <w:tcPr>
            <w:tcW w:w="0" w:type="auto"/>
            <w:shd w:val="clear" w:color="auto" w:fill="auto"/>
            <w:vAlign w:val="center"/>
          </w:tcPr>
          <w:p w14:paraId="2E1A7DEE" w14:textId="50B7B618" w:rsidR="3341BD48" w:rsidRPr="00B85D62" w:rsidRDefault="3341BD48" w:rsidP="0066232B">
            <w:pPr>
              <w:jc w:val="center"/>
              <w:rPr>
                <w:rFonts w:eastAsia="Arial" w:cs="Arial"/>
                <w:sz w:val="16"/>
                <w:szCs w:val="16"/>
              </w:rPr>
            </w:pPr>
            <w:r w:rsidRPr="00B85D62">
              <w:rPr>
                <w:rFonts w:eastAsia="Arial" w:cs="Arial"/>
                <w:sz w:val="16"/>
                <w:szCs w:val="16"/>
              </w:rPr>
              <w:t>392</w:t>
            </w:r>
          </w:p>
        </w:tc>
        <w:tc>
          <w:tcPr>
            <w:tcW w:w="0" w:type="auto"/>
            <w:shd w:val="clear" w:color="auto" w:fill="auto"/>
            <w:vAlign w:val="center"/>
          </w:tcPr>
          <w:p w14:paraId="183202D3" w14:textId="3AEC0409" w:rsidR="3341BD48" w:rsidRPr="00B85D62" w:rsidRDefault="3341BD48" w:rsidP="0066232B">
            <w:pPr>
              <w:jc w:val="center"/>
              <w:rPr>
                <w:rFonts w:eastAsia="Arial" w:cs="Arial"/>
                <w:sz w:val="16"/>
                <w:szCs w:val="16"/>
              </w:rPr>
            </w:pPr>
            <w:r w:rsidRPr="00B85D62">
              <w:rPr>
                <w:rFonts w:eastAsia="Arial" w:cs="Arial"/>
                <w:sz w:val="16"/>
                <w:szCs w:val="16"/>
              </w:rPr>
              <w:t>13.6%</w:t>
            </w:r>
          </w:p>
        </w:tc>
        <w:tc>
          <w:tcPr>
            <w:tcW w:w="0" w:type="auto"/>
            <w:shd w:val="clear" w:color="auto" w:fill="auto"/>
            <w:vAlign w:val="center"/>
          </w:tcPr>
          <w:p w14:paraId="6D30F229" w14:textId="27C99CE9" w:rsidR="3341BD48" w:rsidRPr="00B85D62" w:rsidRDefault="3341BD48" w:rsidP="0066232B">
            <w:pPr>
              <w:jc w:val="center"/>
              <w:rPr>
                <w:rFonts w:eastAsia="Arial" w:cs="Arial"/>
                <w:sz w:val="16"/>
                <w:szCs w:val="16"/>
              </w:rPr>
            </w:pPr>
            <w:r w:rsidRPr="00B85D62">
              <w:rPr>
                <w:rFonts w:eastAsia="Arial" w:cs="Arial"/>
                <w:sz w:val="16"/>
                <w:szCs w:val="16"/>
              </w:rPr>
              <w:t>77</w:t>
            </w:r>
          </w:p>
        </w:tc>
        <w:tc>
          <w:tcPr>
            <w:tcW w:w="0" w:type="auto"/>
            <w:shd w:val="clear" w:color="auto" w:fill="auto"/>
            <w:vAlign w:val="center"/>
          </w:tcPr>
          <w:p w14:paraId="3BB57FE8" w14:textId="573AA737" w:rsidR="3341BD48" w:rsidRPr="00B85D62" w:rsidRDefault="3341BD48" w:rsidP="0066232B">
            <w:pPr>
              <w:jc w:val="center"/>
              <w:rPr>
                <w:rFonts w:eastAsia="Arial" w:cs="Arial"/>
                <w:sz w:val="16"/>
                <w:szCs w:val="16"/>
              </w:rPr>
            </w:pPr>
            <w:r w:rsidRPr="00B85D62">
              <w:rPr>
                <w:rFonts w:eastAsia="Arial" w:cs="Arial"/>
                <w:sz w:val="16"/>
                <w:szCs w:val="16"/>
              </w:rPr>
              <w:t>10.3%</w:t>
            </w:r>
          </w:p>
        </w:tc>
        <w:tc>
          <w:tcPr>
            <w:tcW w:w="0" w:type="auto"/>
            <w:shd w:val="clear" w:color="auto" w:fill="auto"/>
            <w:vAlign w:val="center"/>
          </w:tcPr>
          <w:p w14:paraId="5C33E7A8" w14:textId="3E4A58AC" w:rsidR="3341BD48" w:rsidRPr="00B85D62" w:rsidRDefault="3341BD48" w:rsidP="0066232B">
            <w:pPr>
              <w:jc w:val="center"/>
              <w:rPr>
                <w:rFonts w:eastAsia="Arial" w:cs="Arial"/>
                <w:sz w:val="16"/>
                <w:szCs w:val="16"/>
              </w:rPr>
            </w:pPr>
            <w:r w:rsidRPr="00B85D62">
              <w:rPr>
                <w:rFonts w:eastAsia="Arial" w:cs="Arial"/>
                <w:sz w:val="16"/>
                <w:szCs w:val="16"/>
              </w:rPr>
              <w:t>188</w:t>
            </w:r>
          </w:p>
        </w:tc>
        <w:tc>
          <w:tcPr>
            <w:tcW w:w="0" w:type="auto"/>
            <w:shd w:val="clear" w:color="auto" w:fill="auto"/>
            <w:vAlign w:val="center"/>
          </w:tcPr>
          <w:p w14:paraId="64E309FF" w14:textId="5CA9D13F" w:rsidR="3341BD48" w:rsidRPr="00B85D62" w:rsidRDefault="3341BD48" w:rsidP="0066232B">
            <w:pPr>
              <w:jc w:val="center"/>
              <w:rPr>
                <w:rFonts w:eastAsia="Arial" w:cs="Arial"/>
                <w:sz w:val="16"/>
                <w:szCs w:val="16"/>
              </w:rPr>
            </w:pPr>
            <w:r w:rsidRPr="00B85D62">
              <w:rPr>
                <w:rFonts w:eastAsia="Arial" w:cs="Arial"/>
                <w:sz w:val="16"/>
                <w:szCs w:val="16"/>
              </w:rPr>
              <w:t>14.6%</w:t>
            </w:r>
          </w:p>
        </w:tc>
        <w:tc>
          <w:tcPr>
            <w:tcW w:w="0" w:type="auto"/>
            <w:shd w:val="clear" w:color="auto" w:fill="auto"/>
            <w:vAlign w:val="center"/>
          </w:tcPr>
          <w:p w14:paraId="14927324" w14:textId="592026B2" w:rsidR="3341BD48" w:rsidRPr="00B85D62" w:rsidRDefault="3341BD48" w:rsidP="0066232B">
            <w:pPr>
              <w:jc w:val="center"/>
              <w:rPr>
                <w:rFonts w:eastAsia="Arial" w:cs="Arial"/>
                <w:sz w:val="16"/>
                <w:szCs w:val="16"/>
              </w:rPr>
            </w:pPr>
            <w:r w:rsidRPr="00B85D62">
              <w:rPr>
                <w:rFonts w:eastAsia="Arial" w:cs="Arial"/>
                <w:sz w:val="16"/>
                <w:szCs w:val="16"/>
              </w:rPr>
              <w:t>127</w:t>
            </w:r>
          </w:p>
        </w:tc>
        <w:tc>
          <w:tcPr>
            <w:tcW w:w="0" w:type="auto"/>
            <w:shd w:val="clear" w:color="auto" w:fill="auto"/>
            <w:vAlign w:val="center"/>
          </w:tcPr>
          <w:p w14:paraId="638EEFD2" w14:textId="75BA81FB" w:rsidR="3341BD48" w:rsidRPr="00B85D62" w:rsidRDefault="3341BD48" w:rsidP="0066232B">
            <w:pPr>
              <w:jc w:val="center"/>
              <w:rPr>
                <w:rFonts w:eastAsia="Arial" w:cs="Arial"/>
                <w:sz w:val="16"/>
                <w:szCs w:val="16"/>
              </w:rPr>
            </w:pPr>
            <w:r w:rsidRPr="00B85D62">
              <w:rPr>
                <w:rFonts w:eastAsia="Arial" w:cs="Arial"/>
                <w:sz w:val="16"/>
                <w:szCs w:val="16"/>
              </w:rPr>
              <w:t>15.0%</w:t>
            </w:r>
          </w:p>
        </w:tc>
      </w:tr>
    </w:tbl>
    <w:p w14:paraId="4AA12712" w14:textId="79CB0558" w:rsidR="0732252A" w:rsidRPr="00B85D62" w:rsidRDefault="0732252A" w:rsidP="0066232B">
      <w:pPr>
        <w:ind w:right="-897"/>
        <w:rPr>
          <w:rFonts w:eastAsia="Arial" w:cs="Arial"/>
          <w:color w:val="000000" w:themeColor="text1"/>
          <w:sz w:val="18"/>
          <w:szCs w:val="18"/>
        </w:rPr>
      </w:pPr>
      <w:r w:rsidRPr="00B85D62">
        <w:rPr>
          <w:rFonts w:eastAsia="Arial" w:cs="Arial"/>
          <w:color w:val="000000" w:themeColor="text1"/>
          <w:sz w:val="18"/>
          <w:szCs w:val="18"/>
          <w:vertAlign w:val="superscript"/>
        </w:rPr>
        <w:t>#</w:t>
      </w:r>
      <w:r w:rsidRPr="00B85D62">
        <w:rPr>
          <w:rFonts w:eastAsia="Arial" w:cs="Arial"/>
          <w:color w:val="000000" w:themeColor="text1"/>
          <w:sz w:val="18"/>
          <w:szCs w:val="18"/>
        </w:rPr>
        <w:t>Baseline</w:t>
      </w:r>
      <w:r w:rsidR="00B85D62" w:rsidRPr="00B85D62">
        <w:rPr>
          <w:rFonts w:eastAsia="Arial" w:cs="Arial"/>
          <w:color w:val="00B0F0"/>
          <w:sz w:val="18"/>
          <w:szCs w:val="18"/>
        </w:rPr>
        <w:t xml:space="preserve"> – </w:t>
      </w:r>
      <w:r w:rsidRPr="00B85D62">
        <w:rPr>
          <w:rFonts w:eastAsia="Arial" w:cs="Arial"/>
          <w:color w:val="000000" w:themeColor="text1"/>
          <w:sz w:val="18"/>
          <w:szCs w:val="18"/>
        </w:rPr>
        <w:t xml:space="preserve">defined as FH diagnosis date for the </w:t>
      </w:r>
      <w:r w:rsidR="00B85D62" w:rsidRPr="00B85D62">
        <w:rPr>
          <w:rFonts w:eastAsia="Arial" w:cs="Arial"/>
          <w:color w:val="000000" w:themeColor="text1"/>
          <w:sz w:val="18"/>
          <w:szCs w:val="18"/>
        </w:rPr>
        <w:t>‘</w:t>
      </w:r>
      <w:r w:rsidRPr="00B85D62">
        <w:rPr>
          <w:rFonts w:eastAsia="Arial" w:cs="Arial"/>
          <w:color w:val="000000" w:themeColor="text1"/>
          <w:sz w:val="18"/>
          <w:szCs w:val="18"/>
        </w:rPr>
        <w:t>untreated</w:t>
      </w:r>
      <w:r w:rsidR="00B85D62" w:rsidRPr="00B85D62">
        <w:rPr>
          <w:rFonts w:eastAsia="Arial" w:cs="Arial"/>
          <w:color w:val="000000" w:themeColor="text1"/>
          <w:sz w:val="18"/>
          <w:szCs w:val="18"/>
        </w:rPr>
        <w:t>’</w:t>
      </w:r>
      <w:r w:rsidRPr="00B85D62">
        <w:rPr>
          <w:rFonts w:eastAsia="Arial" w:cs="Arial"/>
          <w:color w:val="000000" w:themeColor="text1"/>
          <w:sz w:val="18"/>
          <w:szCs w:val="18"/>
        </w:rPr>
        <w:t xml:space="preserve"> and the </w:t>
      </w:r>
      <w:r w:rsidR="00B85D62" w:rsidRPr="00B85D62">
        <w:rPr>
          <w:rFonts w:eastAsia="Arial" w:cs="Arial"/>
          <w:color w:val="000000" w:themeColor="text1"/>
          <w:sz w:val="18"/>
          <w:szCs w:val="18"/>
        </w:rPr>
        <w:t>‘</w:t>
      </w:r>
      <w:r w:rsidRPr="00B85D62">
        <w:rPr>
          <w:rFonts w:eastAsia="Arial" w:cs="Arial"/>
          <w:color w:val="000000" w:themeColor="text1"/>
          <w:sz w:val="18"/>
          <w:szCs w:val="18"/>
        </w:rPr>
        <w:t>newly treated</w:t>
      </w:r>
      <w:r w:rsidR="00B85D62" w:rsidRPr="00B85D62">
        <w:rPr>
          <w:rFonts w:eastAsia="Arial" w:cs="Arial"/>
          <w:color w:val="000000" w:themeColor="text1"/>
          <w:sz w:val="18"/>
          <w:szCs w:val="18"/>
        </w:rPr>
        <w:t>’</w:t>
      </w:r>
      <w:r w:rsidRPr="00B85D62">
        <w:rPr>
          <w:rFonts w:eastAsia="Arial" w:cs="Arial"/>
          <w:color w:val="000000" w:themeColor="text1"/>
          <w:sz w:val="18"/>
          <w:szCs w:val="18"/>
        </w:rPr>
        <w:t xml:space="preserve">, and first prescription date for </w:t>
      </w:r>
      <w:r w:rsidR="00B85D62" w:rsidRPr="00B85D62">
        <w:rPr>
          <w:rFonts w:eastAsia="Arial" w:cs="Arial"/>
          <w:color w:val="000000" w:themeColor="text1"/>
          <w:sz w:val="18"/>
          <w:szCs w:val="18"/>
        </w:rPr>
        <w:t>‘</w:t>
      </w:r>
      <w:r w:rsidRPr="00B85D62">
        <w:rPr>
          <w:rFonts w:eastAsia="Arial" w:cs="Arial"/>
          <w:color w:val="000000" w:themeColor="text1"/>
          <w:sz w:val="18"/>
          <w:szCs w:val="18"/>
        </w:rPr>
        <w:t>treatment retainers</w:t>
      </w:r>
      <w:r w:rsidR="00B85D62" w:rsidRPr="00B85D62">
        <w:rPr>
          <w:rFonts w:eastAsia="Arial" w:cs="Arial"/>
          <w:color w:val="000000" w:themeColor="text1"/>
          <w:sz w:val="18"/>
          <w:szCs w:val="18"/>
        </w:rPr>
        <w:t>’</w:t>
      </w:r>
      <w:r w:rsidRPr="00B85D62">
        <w:rPr>
          <w:rFonts w:eastAsia="Arial" w:cs="Arial"/>
          <w:color w:val="000000" w:themeColor="text1"/>
          <w:sz w:val="18"/>
          <w:szCs w:val="18"/>
        </w:rPr>
        <w:t>;</w:t>
      </w:r>
    </w:p>
    <w:p w14:paraId="2DA20A69" w14:textId="77777777" w:rsidR="00B85D62" w:rsidRPr="00B85D62" w:rsidRDefault="0732252A" w:rsidP="0066232B">
      <w:pPr>
        <w:ind w:right="-897"/>
        <w:rPr>
          <w:rFonts w:eastAsia="Arial" w:cs="Arial"/>
          <w:color w:val="000000" w:themeColor="text1"/>
          <w:sz w:val="18"/>
          <w:szCs w:val="18"/>
        </w:rPr>
      </w:pPr>
      <w:r w:rsidRPr="00B85D62">
        <w:rPr>
          <w:rFonts w:eastAsia="Arial" w:cs="Arial"/>
          <w:color w:val="000000" w:themeColor="text1"/>
          <w:sz w:val="18"/>
          <w:szCs w:val="18"/>
        </w:rPr>
        <w:t>*Other comorbidities include: inflammatory disease, HIV and chronic kidney disease; **Polypharmacy are individuals getting more than one drug, considering: antipsychotics, corticosteroid, antihypertensives and immunosuppressants; ***QRISK2 considered: age, gender, ethnicity, BMI, rheumatoid arthritis (no information, set to 0), atrial fibrillation, chronic renal disease, diabetes type 1 and type2, history of CVD (set to 0), smoking, family history of CHD, Townsend score (no information, set to 0), postcode (no information, set to 0), cholesterol ratio (ratio of baseline TC and baseline HDL), systolic blood pressure and hypertension medication; CVD: cardiovascular disease (includes: myocardial infarction, unspecified acute coronary syndrome, stable angina, unstable angina, transient ischaemic attack, stroke, peripheral artery disease and heart failure); CHD: chronic heart disease.</w:t>
      </w:r>
    </w:p>
    <w:p w14:paraId="460AE999" w14:textId="54F7486B" w:rsidR="0732252A" w:rsidRPr="00B85D62" w:rsidRDefault="0732252A" w:rsidP="006C7E71">
      <w:pPr>
        <w:pStyle w:val="Heading4"/>
        <w:numPr>
          <w:ilvl w:val="0"/>
          <w:numId w:val="0"/>
        </w:numPr>
        <w:rPr>
          <w:rFonts w:eastAsiaTheme="minorEastAsia"/>
        </w:rPr>
      </w:pPr>
      <w:r w:rsidRPr="00B85D62">
        <w:t>Treatment practices and LDL-C response</w:t>
      </w:r>
    </w:p>
    <w:p w14:paraId="58A72E44" w14:textId="06EDAB44" w:rsidR="00B85D62" w:rsidRPr="00B85D62" w:rsidRDefault="2F06F1AA" w:rsidP="0066232B">
      <w:pPr>
        <w:rPr>
          <w:rFonts w:eastAsia="Arial" w:cs="Arial"/>
          <w:color w:val="000000" w:themeColor="text1"/>
        </w:rPr>
      </w:pPr>
      <w:r w:rsidRPr="00B85D62">
        <w:rPr>
          <w:rFonts w:eastAsia="Arial" w:cs="Arial"/>
          <w:color w:val="000000" w:themeColor="text1"/>
        </w:rPr>
        <w:t xml:space="preserve">After applying the Friedewald equation, LDL-C missingness was substantial (overall: 36.4%; </w:t>
      </w:r>
      <w:r w:rsidR="00B85D62" w:rsidRPr="00B85D62">
        <w:rPr>
          <w:rFonts w:eastAsia="Arial" w:cs="Arial"/>
          <w:color w:val="000000" w:themeColor="text1"/>
        </w:rPr>
        <w:t>‘</w:t>
      </w:r>
      <w:r w:rsidRPr="00B85D62">
        <w:rPr>
          <w:rFonts w:eastAsia="Arial" w:cs="Arial"/>
          <w:color w:val="000000" w:themeColor="text1"/>
        </w:rPr>
        <w:t>untreated</w:t>
      </w:r>
      <w:r w:rsidR="00B85D62" w:rsidRPr="00B85D62">
        <w:rPr>
          <w:rFonts w:eastAsia="Arial" w:cs="Arial"/>
          <w:color w:val="000000" w:themeColor="text1"/>
        </w:rPr>
        <w:t>’</w:t>
      </w:r>
      <w:r w:rsidRPr="00B85D62">
        <w:rPr>
          <w:rFonts w:eastAsia="Arial" w:cs="Arial"/>
          <w:color w:val="000000" w:themeColor="text1"/>
        </w:rPr>
        <w:t xml:space="preserve">: 34.6%; </w:t>
      </w:r>
      <w:r w:rsidR="00B85D62" w:rsidRPr="00B85D62">
        <w:rPr>
          <w:rFonts w:eastAsia="Arial" w:cs="Arial"/>
          <w:color w:val="000000" w:themeColor="text1"/>
        </w:rPr>
        <w:t>‘</w:t>
      </w:r>
      <w:r w:rsidRPr="00B85D62">
        <w:rPr>
          <w:rFonts w:eastAsia="Arial" w:cs="Arial"/>
          <w:color w:val="000000" w:themeColor="text1"/>
        </w:rPr>
        <w:t>newly treated</w:t>
      </w:r>
      <w:r w:rsidR="00B85D62" w:rsidRPr="00B85D62">
        <w:rPr>
          <w:rFonts w:eastAsia="Arial" w:cs="Arial"/>
          <w:color w:val="000000" w:themeColor="text1"/>
        </w:rPr>
        <w:t>’</w:t>
      </w:r>
      <w:r w:rsidRPr="00B85D62">
        <w:rPr>
          <w:rFonts w:eastAsia="Arial" w:cs="Arial"/>
          <w:color w:val="000000" w:themeColor="text1"/>
        </w:rPr>
        <w:t xml:space="preserve">: 29.3%; and </w:t>
      </w:r>
      <w:r w:rsidR="00B85D62" w:rsidRPr="00B85D62">
        <w:rPr>
          <w:rFonts w:eastAsia="Arial" w:cs="Arial"/>
          <w:color w:val="000000" w:themeColor="text1"/>
        </w:rPr>
        <w:t>‘</w:t>
      </w:r>
      <w:r w:rsidRPr="00B85D62">
        <w:rPr>
          <w:rFonts w:eastAsia="Arial" w:cs="Arial"/>
          <w:color w:val="000000" w:themeColor="text1"/>
        </w:rPr>
        <w:t>treatment retainers</w:t>
      </w:r>
      <w:r w:rsidR="00B85D62" w:rsidRPr="00B85D62">
        <w:rPr>
          <w:rFonts w:eastAsia="Arial" w:cs="Arial"/>
          <w:color w:val="000000" w:themeColor="text1"/>
        </w:rPr>
        <w:t>’</w:t>
      </w:r>
      <w:r w:rsidRPr="00B85D62">
        <w:rPr>
          <w:rFonts w:eastAsia="Arial" w:cs="Arial"/>
          <w:color w:val="000000" w:themeColor="text1"/>
        </w:rPr>
        <w:t>: 49.3%), and was addressed with multiple imputation –</w:t>
      </w:r>
      <w:r w:rsidR="6934AED9" w:rsidRPr="00B85D62">
        <w:rPr>
          <w:rFonts w:eastAsia="Arial" w:cs="Arial"/>
          <w:color w:val="000000" w:themeColor="text1"/>
        </w:rPr>
        <w:t xml:space="preserve"> see </w:t>
      </w:r>
      <w:r w:rsidR="001E5D7B" w:rsidRPr="00B85D62">
        <w:rPr>
          <w:rFonts w:eastAsia="Arial" w:cs="Arial"/>
          <w:i/>
          <w:color w:val="000000" w:themeColor="text1"/>
        </w:rPr>
        <w:t>Online Supplementary file 2 (CPRD technical report)</w:t>
      </w:r>
      <w:r w:rsidR="00B85D62" w:rsidRPr="00B85D62">
        <w:rPr>
          <w:rFonts w:eastAsia="Arial" w:cs="Arial"/>
          <w:color w:val="000000" w:themeColor="text1"/>
        </w:rPr>
        <w:t xml:space="preserve"> </w:t>
      </w:r>
      <w:r w:rsidR="6934AED9" w:rsidRPr="00B85D62">
        <w:rPr>
          <w:rFonts w:eastAsia="Arial" w:cs="Arial"/>
          <w:color w:val="000000" w:themeColor="text1"/>
        </w:rPr>
        <w:t>for further details.</w:t>
      </w:r>
      <w:r w:rsidR="00895586" w:rsidRPr="00B85D62">
        <w:rPr>
          <w:rFonts w:eastAsia="Arial" w:cs="Arial"/>
          <w:color w:val="000000" w:themeColor="text1"/>
        </w:rPr>
        <w:t xml:space="preserve"> </w:t>
      </w:r>
      <w:r w:rsidRPr="00B85D62">
        <w:rPr>
          <w:rFonts w:eastAsia="Arial" w:cs="Arial"/>
          <w:color w:val="000000" w:themeColor="text1"/>
        </w:rPr>
        <w:t xml:space="preserve">The results of the analysis on the change from baseline to 24 months in LDL-C levels for the different FH patient subgroups are shown in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7</w:t>
      </w:r>
      <w:r w:rsidR="006C2338" w:rsidRPr="00B85D62">
        <w:rPr>
          <w:rFonts w:eastAsia="Arial" w:cs="Arial"/>
          <w:color w:val="000000" w:themeColor="text1"/>
        </w:rPr>
        <w:t xml:space="preserve">. </w:t>
      </w:r>
      <w:r w:rsidRPr="00B85D62">
        <w:rPr>
          <w:rFonts w:eastAsia="Arial" w:cs="Arial"/>
          <w:color w:val="000000" w:themeColor="text1"/>
        </w:rPr>
        <w:t xml:space="preserve">These effects relate to pre- and post-FH diagnosis analysis of imputed LDL-C levels for the </w:t>
      </w:r>
      <w:r w:rsidR="00B85D62" w:rsidRPr="00B85D62">
        <w:rPr>
          <w:rFonts w:eastAsia="Arial" w:cs="Arial"/>
          <w:color w:val="000000" w:themeColor="text1"/>
        </w:rPr>
        <w:t>‘</w:t>
      </w:r>
      <w:r w:rsidRPr="00B85D62">
        <w:rPr>
          <w:rFonts w:eastAsia="Arial" w:cs="Arial"/>
          <w:color w:val="000000" w:themeColor="text1"/>
        </w:rPr>
        <w:t>untreated</w:t>
      </w:r>
      <w:r w:rsidR="00B85D62" w:rsidRPr="00B85D62">
        <w:rPr>
          <w:rFonts w:eastAsia="Arial" w:cs="Arial"/>
          <w:color w:val="000000" w:themeColor="text1"/>
        </w:rPr>
        <w:t>’</w:t>
      </w:r>
      <w:r w:rsidRPr="00B85D62">
        <w:rPr>
          <w:rFonts w:eastAsia="Arial" w:cs="Arial"/>
          <w:color w:val="000000" w:themeColor="text1"/>
        </w:rPr>
        <w:t xml:space="preserve"> and the </w:t>
      </w:r>
      <w:r w:rsidR="00B85D62" w:rsidRPr="00B85D62">
        <w:rPr>
          <w:rFonts w:eastAsia="Arial" w:cs="Arial"/>
          <w:color w:val="000000" w:themeColor="text1"/>
        </w:rPr>
        <w:t>‘</w:t>
      </w:r>
      <w:r w:rsidRPr="00B85D62">
        <w:rPr>
          <w:rFonts w:eastAsia="Arial" w:cs="Arial"/>
          <w:color w:val="000000" w:themeColor="text1"/>
        </w:rPr>
        <w:t>newly treated</w:t>
      </w:r>
      <w:r w:rsidR="00B85D62" w:rsidRPr="00B85D62">
        <w:rPr>
          <w:rFonts w:eastAsia="Arial" w:cs="Arial"/>
          <w:color w:val="000000" w:themeColor="text1"/>
        </w:rPr>
        <w:t>’</w:t>
      </w:r>
      <w:r w:rsidRPr="00B85D62">
        <w:rPr>
          <w:rFonts w:eastAsia="Arial" w:cs="Arial"/>
          <w:color w:val="000000" w:themeColor="text1"/>
        </w:rPr>
        <w:t xml:space="preserve"> subgroups and to pre- and post- first prescription analysis of imputed LDL-C levels for the </w:t>
      </w:r>
      <w:r w:rsidR="00B85D62" w:rsidRPr="00B85D62">
        <w:rPr>
          <w:rFonts w:eastAsia="Arial" w:cs="Arial"/>
          <w:color w:val="000000" w:themeColor="text1"/>
        </w:rPr>
        <w:t>‘</w:t>
      </w:r>
      <w:r w:rsidRPr="00B85D62">
        <w:rPr>
          <w:rFonts w:eastAsia="Arial" w:cs="Arial"/>
          <w:color w:val="000000" w:themeColor="text1"/>
        </w:rPr>
        <w:t>treatment retainers</w:t>
      </w:r>
      <w:r w:rsidR="00B85D62" w:rsidRPr="00B85D62">
        <w:rPr>
          <w:rFonts w:eastAsia="Arial" w:cs="Arial"/>
          <w:color w:val="000000" w:themeColor="text1"/>
        </w:rPr>
        <w:t>’</w:t>
      </w:r>
      <w:r w:rsidRPr="00B85D62">
        <w:rPr>
          <w:rFonts w:eastAsia="Arial" w:cs="Arial"/>
          <w:color w:val="000000" w:themeColor="text1"/>
        </w:rPr>
        <w:t xml:space="preserve"> subgroup – </w:t>
      </w:r>
      <w:r w:rsidR="0A464DCA" w:rsidRPr="00B85D62">
        <w:rPr>
          <w:rFonts w:eastAsia="Arial" w:cs="Arial"/>
          <w:color w:val="000000" w:themeColor="text1"/>
        </w:rPr>
        <w:t xml:space="preserve">see </w:t>
      </w:r>
      <w:r w:rsidR="001E5D7B" w:rsidRPr="00B85D62">
        <w:rPr>
          <w:rFonts w:eastAsia="Arial" w:cs="Arial"/>
          <w:i/>
          <w:color w:val="000000" w:themeColor="text1"/>
        </w:rPr>
        <w:t>Online Supplementary file 2 (CPRD technical report)</w:t>
      </w:r>
      <w:r w:rsidR="001E5D7B" w:rsidRPr="00B85D62">
        <w:rPr>
          <w:rFonts w:eastAsia="Arial" w:cs="Arial"/>
          <w:color w:val="000000" w:themeColor="text1"/>
        </w:rPr>
        <w:t xml:space="preserve"> </w:t>
      </w:r>
      <w:r w:rsidR="0A464DCA" w:rsidRPr="00B85D62">
        <w:rPr>
          <w:rFonts w:eastAsia="Arial" w:cs="Arial"/>
          <w:color w:val="000000" w:themeColor="text1"/>
        </w:rPr>
        <w:t>for further details.</w:t>
      </w:r>
    </w:p>
    <w:p w14:paraId="0680E380" w14:textId="1B68199B" w:rsidR="00EE5795" w:rsidRPr="00B85D62" w:rsidRDefault="00B85D62" w:rsidP="00EE5795">
      <w:pPr>
        <w:pStyle w:val="Caption"/>
        <w:keepNext/>
        <w:rPr>
          <w:rFonts w:cs="Arial"/>
        </w:rPr>
      </w:pPr>
      <w:bookmarkStart w:id="165" w:name="_Toc79740202"/>
      <w:bookmarkStart w:id="166" w:name="_Toc107157361"/>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7</w:t>
      </w:r>
      <w:r w:rsidR="00EE5795" w:rsidRPr="00B85D62">
        <w:rPr>
          <w:rFonts w:cs="Arial"/>
        </w:rPr>
        <w:t xml:space="preserve"> Absolute and relative reductions from baseline in LDL-C by treatment subgroups.</w:t>
      </w:r>
      <w:bookmarkEnd w:id="165"/>
      <w:bookmarkEnd w:id="16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930"/>
        <w:gridCol w:w="1910"/>
        <w:gridCol w:w="1910"/>
        <w:gridCol w:w="1910"/>
      </w:tblGrid>
      <w:tr w:rsidR="3341BD48" w:rsidRPr="00B85D62" w14:paraId="2E6AE494" w14:textId="77777777" w:rsidTr="00B85D62">
        <w:trPr>
          <w:cantSplit/>
        </w:trPr>
        <w:tc>
          <w:tcPr>
            <w:tcW w:w="0" w:type="auto"/>
            <w:shd w:val="clear" w:color="auto" w:fill="auto"/>
          </w:tcPr>
          <w:p w14:paraId="12CD735C" w14:textId="77777777" w:rsidR="00B85D62" w:rsidRPr="00B85D62" w:rsidRDefault="269D3CBE" w:rsidP="0066232B">
            <w:pPr>
              <w:rPr>
                <w:rFonts w:eastAsia="Arial" w:cs="Arial"/>
                <w:b/>
                <w:bCs/>
                <w:sz w:val="18"/>
                <w:szCs w:val="18"/>
              </w:rPr>
            </w:pPr>
            <w:r w:rsidRPr="00B85D62">
              <w:rPr>
                <w:rFonts w:eastAsia="Arial" w:cs="Arial"/>
                <w:b/>
                <w:bCs/>
                <w:sz w:val="18"/>
                <w:szCs w:val="18"/>
              </w:rPr>
              <w:t>LDL-C, mean</w:t>
            </w:r>
          </w:p>
          <w:p w14:paraId="78CE3BEF" w14:textId="489838F2" w:rsidR="3341BD48" w:rsidRPr="00B85D62" w:rsidRDefault="269D3CBE" w:rsidP="0066232B">
            <w:pPr>
              <w:rPr>
                <w:rFonts w:eastAsia="Arial" w:cs="Arial"/>
                <w:sz w:val="18"/>
                <w:szCs w:val="18"/>
              </w:rPr>
            </w:pPr>
            <w:r w:rsidRPr="00B85D62">
              <w:rPr>
                <w:rFonts w:eastAsia="Arial" w:cs="Arial"/>
                <w:sz w:val="18"/>
                <w:szCs w:val="18"/>
              </w:rPr>
              <w:t>(</w:t>
            </w:r>
            <w:r w:rsidR="70077FBB" w:rsidRPr="00B85D62">
              <w:rPr>
                <w:rFonts w:eastAsia="Arial" w:cs="Arial"/>
                <w:sz w:val="18"/>
                <w:szCs w:val="18"/>
              </w:rPr>
              <w:t xml:space="preserve">+/- </w:t>
            </w:r>
            <w:r w:rsidRPr="00B85D62">
              <w:rPr>
                <w:rFonts w:eastAsia="Arial" w:cs="Arial"/>
                <w:sz w:val="18"/>
                <w:szCs w:val="18"/>
              </w:rPr>
              <w:t>95% CI)</w:t>
            </w:r>
          </w:p>
        </w:tc>
        <w:tc>
          <w:tcPr>
            <w:tcW w:w="0" w:type="auto"/>
            <w:shd w:val="clear" w:color="auto" w:fill="auto"/>
            <w:vAlign w:val="center"/>
          </w:tcPr>
          <w:p w14:paraId="0CBAAE95" w14:textId="4387FAF7" w:rsidR="3341BD48" w:rsidRPr="00B85D62" w:rsidRDefault="3341BD48" w:rsidP="0066232B">
            <w:pPr>
              <w:jc w:val="center"/>
              <w:rPr>
                <w:rFonts w:eastAsia="Arial" w:cs="Arial"/>
                <w:sz w:val="18"/>
                <w:szCs w:val="18"/>
              </w:rPr>
            </w:pPr>
            <w:r w:rsidRPr="00B85D62">
              <w:rPr>
                <w:rFonts w:eastAsia="Arial" w:cs="Arial"/>
                <w:b/>
                <w:bCs/>
                <w:sz w:val="18"/>
                <w:szCs w:val="18"/>
              </w:rPr>
              <w:t>Untreated</w:t>
            </w:r>
          </w:p>
        </w:tc>
        <w:tc>
          <w:tcPr>
            <w:tcW w:w="0" w:type="auto"/>
            <w:shd w:val="clear" w:color="auto" w:fill="auto"/>
            <w:vAlign w:val="center"/>
          </w:tcPr>
          <w:p w14:paraId="2DC29EE8" w14:textId="2C7726F7" w:rsidR="3341BD48" w:rsidRPr="00B85D62" w:rsidRDefault="3341BD48" w:rsidP="0066232B">
            <w:pPr>
              <w:jc w:val="center"/>
              <w:rPr>
                <w:rFonts w:eastAsia="Arial" w:cs="Arial"/>
                <w:sz w:val="18"/>
                <w:szCs w:val="18"/>
              </w:rPr>
            </w:pPr>
            <w:r w:rsidRPr="00B85D62">
              <w:rPr>
                <w:rFonts w:eastAsia="Arial" w:cs="Arial"/>
                <w:b/>
                <w:bCs/>
                <w:sz w:val="18"/>
                <w:szCs w:val="18"/>
              </w:rPr>
              <w:t>Newly treated</w:t>
            </w:r>
          </w:p>
        </w:tc>
        <w:tc>
          <w:tcPr>
            <w:tcW w:w="0" w:type="auto"/>
            <w:shd w:val="clear" w:color="auto" w:fill="auto"/>
            <w:vAlign w:val="center"/>
          </w:tcPr>
          <w:p w14:paraId="7BBE0A01" w14:textId="579FF23D" w:rsidR="3341BD48" w:rsidRPr="00B85D62" w:rsidRDefault="3341BD48" w:rsidP="0066232B">
            <w:pPr>
              <w:jc w:val="center"/>
              <w:rPr>
                <w:rFonts w:eastAsia="Arial" w:cs="Arial"/>
                <w:sz w:val="18"/>
                <w:szCs w:val="18"/>
              </w:rPr>
            </w:pPr>
            <w:r w:rsidRPr="00B85D62">
              <w:rPr>
                <w:rFonts w:eastAsia="Arial" w:cs="Arial"/>
                <w:b/>
                <w:bCs/>
                <w:sz w:val="18"/>
                <w:szCs w:val="18"/>
              </w:rPr>
              <w:t>Treatment retainers</w:t>
            </w:r>
          </w:p>
        </w:tc>
      </w:tr>
      <w:tr w:rsidR="3341BD48" w:rsidRPr="00B85D62" w14:paraId="1F6B3306" w14:textId="77777777" w:rsidTr="00B85D62">
        <w:trPr>
          <w:cantSplit/>
        </w:trPr>
        <w:tc>
          <w:tcPr>
            <w:tcW w:w="0" w:type="auto"/>
            <w:shd w:val="clear" w:color="auto" w:fill="auto"/>
          </w:tcPr>
          <w:p w14:paraId="41969954" w14:textId="53CD03E0" w:rsidR="3341BD48" w:rsidRPr="00B85D62" w:rsidRDefault="3341BD48" w:rsidP="0066232B">
            <w:pPr>
              <w:rPr>
                <w:rFonts w:eastAsia="Arial" w:cs="Arial"/>
                <w:sz w:val="18"/>
                <w:szCs w:val="18"/>
              </w:rPr>
            </w:pPr>
            <w:r w:rsidRPr="00B85D62">
              <w:rPr>
                <w:rFonts w:eastAsia="Arial" w:cs="Arial"/>
                <w:b/>
                <w:bCs/>
                <w:sz w:val="18"/>
                <w:szCs w:val="18"/>
              </w:rPr>
              <w:t xml:space="preserve">N individuals </w:t>
            </w:r>
          </w:p>
        </w:tc>
        <w:tc>
          <w:tcPr>
            <w:tcW w:w="0" w:type="auto"/>
            <w:shd w:val="clear" w:color="auto" w:fill="auto"/>
            <w:vAlign w:val="center"/>
          </w:tcPr>
          <w:p w14:paraId="31A88575" w14:textId="6FC8AA5D" w:rsidR="3341BD48" w:rsidRPr="00B85D62" w:rsidRDefault="3341BD48" w:rsidP="0066232B">
            <w:pPr>
              <w:jc w:val="center"/>
              <w:rPr>
                <w:rFonts w:eastAsia="Arial" w:cs="Arial"/>
                <w:sz w:val="18"/>
                <w:szCs w:val="18"/>
              </w:rPr>
            </w:pPr>
            <w:r w:rsidRPr="00B85D62">
              <w:rPr>
                <w:rFonts w:eastAsia="Arial" w:cs="Arial"/>
                <w:sz w:val="18"/>
                <w:szCs w:val="18"/>
              </w:rPr>
              <w:t>744</w:t>
            </w:r>
          </w:p>
        </w:tc>
        <w:tc>
          <w:tcPr>
            <w:tcW w:w="0" w:type="auto"/>
            <w:shd w:val="clear" w:color="auto" w:fill="auto"/>
            <w:vAlign w:val="center"/>
          </w:tcPr>
          <w:p w14:paraId="68851B18" w14:textId="3D1B4DC9" w:rsidR="3341BD48" w:rsidRPr="00B85D62" w:rsidRDefault="3341BD48" w:rsidP="0066232B">
            <w:pPr>
              <w:jc w:val="center"/>
              <w:rPr>
                <w:rFonts w:eastAsia="Arial" w:cs="Arial"/>
                <w:sz w:val="18"/>
                <w:szCs w:val="18"/>
              </w:rPr>
            </w:pPr>
            <w:r w:rsidRPr="00B85D62">
              <w:rPr>
                <w:rFonts w:eastAsia="Arial" w:cs="Arial"/>
                <w:sz w:val="18"/>
                <w:szCs w:val="18"/>
              </w:rPr>
              <w:t>1291</w:t>
            </w:r>
          </w:p>
        </w:tc>
        <w:tc>
          <w:tcPr>
            <w:tcW w:w="0" w:type="auto"/>
            <w:shd w:val="clear" w:color="auto" w:fill="auto"/>
            <w:vAlign w:val="center"/>
          </w:tcPr>
          <w:p w14:paraId="25ABFB7E" w14:textId="26012A6C" w:rsidR="3341BD48" w:rsidRPr="00B85D62" w:rsidRDefault="3341BD48" w:rsidP="0066232B">
            <w:pPr>
              <w:jc w:val="center"/>
              <w:rPr>
                <w:rFonts w:eastAsia="Arial" w:cs="Arial"/>
                <w:sz w:val="18"/>
                <w:szCs w:val="18"/>
              </w:rPr>
            </w:pPr>
            <w:r w:rsidRPr="00B85D62">
              <w:rPr>
                <w:rFonts w:eastAsia="Arial" w:cs="Arial"/>
                <w:sz w:val="18"/>
                <w:szCs w:val="18"/>
              </w:rPr>
              <w:t>844</w:t>
            </w:r>
          </w:p>
        </w:tc>
      </w:tr>
      <w:tr w:rsidR="3341BD48" w:rsidRPr="00B85D62" w14:paraId="56A243CF" w14:textId="77777777" w:rsidTr="00B85D62">
        <w:trPr>
          <w:cantSplit/>
        </w:trPr>
        <w:tc>
          <w:tcPr>
            <w:tcW w:w="0" w:type="auto"/>
            <w:gridSpan w:val="4"/>
            <w:shd w:val="clear" w:color="auto" w:fill="auto"/>
            <w:vAlign w:val="center"/>
          </w:tcPr>
          <w:p w14:paraId="7F59CFF5" w14:textId="5DBEA1E3" w:rsidR="3341BD48" w:rsidRPr="00B85D62" w:rsidRDefault="3341BD48" w:rsidP="0066232B">
            <w:pPr>
              <w:rPr>
                <w:rFonts w:eastAsia="Arial" w:cs="Arial"/>
                <w:sz w:val="18"/>
                <w:szCs w:val="18"/>
              </w:rPr>
            </w:pPr>
            <w:r w:rsidRPr="00B85D62">
              <w:rPr>
                <w:rFonts w:eastAsia="Arial" w:cs="Arial"/>
                <w:b/>
                <w:bCs/>
                <w:sz w:val="18"/>
                <w:szCs w:val="18"/>
              </w:rPr>
              <w:t>Baseline LDL-C (mmol/L)</w:t>
            </w:r>
          </w:p>
        </w:tc>
      </w:tr>
      <w:tr w:rsidR="3341BD48" w:rsidRPr="00B85D62" w14:paraId="66C6BB5E" w14:textId="77777777" w:rsidTr="00B85D62">
        <w:trPr>
          <w:cantSplit/>
        </w:trPr>
        <w:tc>
          <w:tcPr>
            <w:tcW w:w="0" w:type="auto"/>
            <w:shd w:val="clear" w:color="auto" w:fill="auto"/>
          </w:tcPr>
          <w:p w14:paraId="691579F2" w14:textId="4AF6969D" w:rsidR="3341BD48" w:rsidRPr="00B85D62" w:rsidRDefault="3341BD48" w:rsidP="0066232B">
            <w:pPr>
              <w:rPr>
                <w:rFonts w:eastAsia="Arial" w:cs="Arial"/>
                <w:sz w:val="18"/>
                <w:szCs w:val="18"/>
              </w:rPr>
            </w:pPr>
            <w:r w:rsidRPr="00B85D62">
              <w:rPr>
                <w:rFonts w:eastAsia="Arial" w:cs="Arial"/>
                <w:sz w:val="18"/>
                <w:szCs w:val="18"/>
              </w:rPr>
              <w:t xml:space="preserve">Pre-imputation baseline LDL-C </w:t>
            </w:r>
          </w:p>
        </w:tc>
        <w:tc>
          <w:tcPr>
            <w:tcW w:w="0" w:type="auto"/>
            <w:shd w:val="clear" w:color="auto" w:fill="auto"/>
            <w:vAlign w:val="center"/>
          </w:tcPr>
          <w:p w14:paraId="6EDC8B86" w14:textId="143BC1DE" w:rsidR="3341BD48" w:rsidRPr="00B85D62" w:rsidRDefault="3341BD48" w:rsidP="0066232B">
            <w:pPr>
              <w:jc w:val="center"/>
              <w:rPr>
                <w:rFonts w:eastAsia="Arial" w:cs="Arial"/>
                <w:sz w:val="18"/>
                <w:szCs w:val="18"/>
              </w:rPr>
            </w:pPr>
            <w:r w:rsidRPr="00B85D62">
              <w:rPr>
                <w:rFonts w:eastAsia="Arial" w:cs="Arial"/>
                <w:sz w:val="18"/>
                <w:szCs w:val="18"/>
              </w:rPr>
              <w:t>4.32 (2.10 to 7.06)</w:t>
            </w:r>
          </w:p>
        </w:tc>
        <w:tc>
          <w:tcPr>
            <w:tcW w:w="0" w:type="auto"/>
            <w:shd w:val="clear" w:color="auto" w:fill="auto"/>
            <w:vAlign w:val="center"/>
          </w:tcPr>
          <w:p w14:paraId="1858E7EC" w14:textId="2B53F605" w:rsidR="3341BD48" w:rsidRPr="00B85D62" w:rsidRDefault="3341BD48" w:rsidP="0066232B">
            <w:pPr>
              <w:jc w:val="center"/>
              <w:rPr>
                <w:rFonts w:eastAsia="Arial" w:cs="Arial"/>
                <w:sz w:val="18"/>
                <w:szCs w:val="18"/>
              </w:rPr>
            </w:pPr>
            <w:r w:rsidRPr="00B85D62">
              <w:rPr>
                <w:rFonts w:eastAsia="Arial" w:cs="Arial"/>
                <w:sz w:val="18"/>
                <w:szCs w:val="18"/>
              </w:rPr>
              <w:t>5.39 (3.00 to 8.00)</w:t>
            </w:r>
          </w:p>
        </w:tc>
        <w:tc>
          <w:tcPr>
            <w:tcW w:w="0" w:type="auto"/>
            <w:shd w:val="clear" w:color="auto" w:fill="auto"/>
            <w:vAlign w:val="center"/>
          </w:tcPr>
          <w:p w14:paraId="07737BAB" w14:textId="6CC3C436" w:rsidR="3341BD48" w:rsidRPr="00B85D62" w:rsidRDefault="3341BD48" w:rsidP="0066232B">
            <w:pPr>
              <w:jc w:val="center"/>
              <w:rPr>
                <w:rFonts w:eastAsia="Arial" w:cs="Arial"/>
                <w:sz w:val="18"/>
                <w:szCs w:val="18"/>
              </w:rPr>
            </w:pPr>
            <w:r w:rsidRPr="00B85D62">
              <w:rPr>
                <w:rFonts w:eastAsia="Arial" w:cs="Arial"/>
                <w:sz w:val="18"/>
                <w:szCs w:val="18"/>
              </w:rPr>
              <w:t>5.58 (3.20 to 8.80)</w:t>
            </w:r>
          </w:p>
        </w:tc>
      </w:tr>
      <w:tr w:rsidR="3341BD48" w:rsidRPr="00B85D62" w14:paraId="55E53ACB" w14:textId="77777777" w:rsidTr="00B85D62">
        <w:trPr>
          <w:cantSplit/>
        </w:trPr>
        <w:tc>
          <w:tcPr>
            <w:tcW w:w="0" w:type="auto"/>
            <w:shd w:val="clear" w:color="auto" w:fill="auto"/>
          </w:tcPr>
          <w:p w14:paraId="664321AB" w14:textId="6F07B069" w:rsidR="3341BD48" w:rsidRPr="00B85D62" w:rsidRDefault="3341BD48" w:rsidP="0066232B">
            <w:pPr>
              <w:rPr>
                <w:rFonts w:eastAsia="Arial" w:cs="Arial"/>
                <w:sz w:val="18"/>
                <w:szCs w:val="18"/>
              </w:rPr>
            </w:pPr>
            <w:r w:rsidRPr="00B85D62">
              <w:rPr>
                <w:rFonts w:eastAsia="Arial" w:cs="Arial"/>
                <w:sz w:val="18"/>
                <w:szCs w:val="18"/>
              </w:rPr>
              <w:t>Post-imputation baseline LDL-C*</w:t>
            </w:r>
          </w:p>
        </w:tc>
        <w:tc>
          <w:tcPr>
            <w:tcW w:w="0" w:type="auto"/>
            <w:shd w:val="clear" w:color="auto" w:fill="auto"/>
            <w:vAlign w:val="center"/>
          </w:tcPr>
          <w:p w14:paraId="3595AC5F" w14:textId="5C75BF00" w:rsidR="3341BD48" w:rsidRPr="00B85D62" w:rsidRDefault="3341BD48" w:rsidP="0066232B">
            <w:pPr>
              <w:jc w:val="center"/>
              <w:rPr>
                <w:rFonts w:eastAsia="Arial" w:cs="Arial"/>
                <w:sz w:val="18"/>
                <w:szCs w:val="18"/>
              </w:rPr>
            </w:pPr>
            <w:r w:rsidRPr="00B85D62">
              <w:rPr>
                <w:rFonts w:eastAsia="Arial" w:cs="Arial"/>
                <w:sz w:val="18"/>
                <w:szCs w:val="18"/>
              </w:rPr>
              <w:t>4.27 (2.07 to 7.10)</w:t>
            </w:r>
          </w:p>
        </w:tc>
        <w:tc>
          <w:tcPr>
            <w:tcW w:w="0" w:type="auto"/>
            <w:shd w:val="clear" w:color="auto" w:fill="auto"/>
            <w:vAlign w:val="center"/>
          </w:tcPr>
          <w:p w14:paraId="7086A049" w14:textId="0A718E0B" w:rsidR="3341BD48" w:rsidRPr="00B85D62" w:rsidRDefault="3341BD48" w:rsidP="0066232B">
            <w:pPr>
              <w:jc w:val="center"/>
              <w:rPr>
                <w:rFonts w:eastAsia="Arial" w:cs="Arial"/>
                <w:sz w:val="18"/>
                <w:szCs w:val="18"/>
              </w:rPr>
            </w:pPr>
            <w:r w:rsidRPr="00B85D62">
              <w:rPr>
                <w:rFonts w:eastAsia="Arial" w:cs="Arial"/>
                <w:sz w:val="18"/>
                <w:szCs w:val="18"/>
              </w:rPr>
              <w:t>5.44 (2.90 to 8.50)</w:t>
            </w:r>
          </w:p>
        </w:tc>
        <w:tc>
          <w:tcPr>
            <w:tcW w:w="0" w:type="auto"/>
            <w:shd w:val="clear" w:color="auto" w:fill="auto"/>
            <w:vAlign w:val="center"/>
          </w:tcPr>
          <w:p w14:paraId="7A63745A" w14:textId="3D81289A" w:rsidR="3341BD48" w:rsidRPr="00B85D62" w:rsidRDefault="3341BD48" w:rsidP="0066232B">
            <w:pPr>
              <w:jc w:val="center"/>
              <w:rPr>
                <w:rFonts w:eastAsia="Arial" w:cs="Arial"/>
                <w:sz w:val="18"/>
                <w:szCs w:val="18"/>
              </w:rPr>
            </w:pPr>
            <w:r w:rsidRPr="00B85D62">
              <w:rPr>
                <w:rFonts w:eastAsia="Arial" w:cs="Arial"/>
                <w:sz w:val="18"/>
                <w:szCs w:val="18"/>
              </w:rPr>
              <w:t>5.62 (3.00 to 9.38)</w:t>
            </w:r>
          </w:p>
        </w:tc>
      </w:tr>
      <w:tr w:rsidR="3341BD48" w:rsidRPr="00B85D62" w14:paraId="28300E36" w14:textId="77777777" w:rsidTr="00B85D62">
        <w:trPr>
          <w:cantSplit/>
        </w:trPr>
        <w:tc>
          <w:tcPr>
            <w:tcW w:w="0" w:type="auto"/>
            <w:gridSpan w:val="4"/>
            <w:shd w:val="clear" w:color="auto" w:fill="auto"/>
            <w:vAlign w:val="center"/>
          </w:tcPr>
          <w:p w14:paraId="48802743" w14:textId="69329EFD" w:rsidR="3341BD48" w:rsidRPr="00B85D62" w:rsidRDefault="3341BD48" w:rsidP="0066232B">
            <w:pPr>
              <w:rPr>
                <w:rFonts w:eastAsia="Arial" w:cs="Arial"/>
                <w:sz w:val="18"/>
                <w:szCs w:val="18"/>
              </w:rPr>
            </w:pPr>
            <w:r w:rsidRPr="00B85D62">
              <w:rPr>
                <w:rFonts w:eastAsia="Arial" w:cs="Arial"/>
                <w:b/>
                <w:bCs/>
                <w:sz w:val="18"/>
                <w:szCs w:val="18"/>
              </w:rPr>
              <w:t>Post-baseline LDL-C (mmol/L)</w:t>
            </w:r>
          </w:p>
        </w:tc>
      </w:tr>
      <w:tr w:rsidR="3341BD48" w:rsidRPr="00B85D62" w14:paraId="0ED940E6" w14:textId="77777777" w:rsidTr="00B85D62">
        <w:trPr>
          <w:cantSplit/>
        </w:trPr>
        <w:tc>
          <w:tcPr>
            <w:tcW w:w="0" w:type="auto"/>
            <w:shd w:val="clear" w:color="auto" w:fill="auto"/>
          </w:tcPr>
          <w:p w14:paraId="2E949B54" w14:textId="61107B97" w:rsidR="3341BD48" w:rsidRPr="00B85D62" w:rsidRDefault="3341BD48" w:rsidP="0066232B">
            <w:pPr>
              <w:rPr>
                <w:rFonts w:eastAsia="Arial" w:cs="Arial"/>
                <w:sz w:val="18"/>
                <w:szCs w:val="18"/>
              </w:rPr>
            </w:pPr>
            <w:r w:rsidRPr="00B85D62">
              <w:rPr>
                <w:rFonts w:eastAsia="Arial" w:cs="Arial"/>
                <w:sz w:val="18"/>
                <w:szCs w:val="18"/>
              </w:rPr>
              <w:t>Pre-imputation post-baseline LDL-C</w:t>
            </w:r>
          </w:p>
        </w:tc>
        <w:tc>
          <w:tcPr>
            <w:tcW w:w="0" w:type="auto"/>
            <w:shd w:val="clear" w:color="auto" w:fill="auto"/>
            <w:vAlign w:val="center"/>
          </w:tcPr>
          <w:p w14:paraId="2B3A83BA" w14:textId="02BA9E66" w:rsidR="3341BD48" w:rsidRPr="00B85D62" w:rsidRDefault="3341BD48" w:rsidP="0066232B">
            <w:pPr>
              <w:jc w:val="center"/>
              <w:rPr>
                <w:rFonts w:eastAsia="Arial" w:cs="Arial"/>
                <w:sz w:val="18"/>
                <w:szCs w:val="18"/>
              </w:rPr>
            </w:pPr>
            <w:r w:rsidRPr="00B85D62">
              <w:rPr>
                <w:rFonts w:eastAsia="Arial" w:cs="Arial"/>
                <w:sz w:val="18"/>
                <w:szCs w:val="18"/>
              </w:rPr>
              <w:t>4.15 (2.10 to 7.09)</w:t>
            </w:r>
          </w:p>
        </w:tc>
        <w:tc>
          <w:tcPr>
            <w:tcW w:w="0" w:type="auto"/>
            <w:shd w:val="clear" w:color="auto" w:fill="auto"/>
            <w:vAlign w:val="center"/>
          </w:tcPr>
          <w:p w14:paraId="23BFB04A" w14:textId="474A8878" w:rsidR="3341BD48" w:rsidRPr="00B85D62" w:rsidRDefault="3341BD48" w:rsidP="0066232B">
            <w:pPr>
              <w:jc w:val="center"/>
              <w:rPr>
                <w:rFonts w:eastAsia="Arial" w:cs="Arial"/>
                <w:sz w:val="18"/>
                <w:szCs w:val="18"/>
              </w:rPr>
            </w:pPr>
            <w:r w:rsidRPr="00B85D62">
              <w:rPr>
                <w:rFonts w:eastAsia="Arial" w:cs="Arial"/>
                <w:sz w:val="18"/>
                <w:szCs w:val="18"/>
              </w:rPr>
              <w:t>3.46 (1.68 to 6.91)</w:t>
            </w:r>
          </w:p>
        </w:tc>
        <w:tc>
          <w:tcPr>
            <w:tcW w:w="0" w:type="auto"/>
            <w:shd w:val="clear" w:color="auto" w:fill="auto"/>
            <w:vAlign w:val="center"/>
          </w:tcPr>
          <w:p w14:paraId="0EFDE49C" w14:textId="0158A898" w:rsidR="3341BD48" w:rsidRPr="00B85D62" w:rsidRDefault="3341BD48" w:rsidP="0066232B">
            <w:pPr>
              <w:jc w:val="center"/>
              <w:rPr>
                <w:rFonts w:eastAsia="Arial" w:cs="Arial"/>
                <w:sz w:val="18"/>
                <w:szCs w:val="18"/>
              </w:rPr>
            </w:pPr>
            <w:r w:rsidRPr="00B85D62">
              <w:rPr>
                <w:rFonts w:eastAsia="Arial" w:cs="Arial"/>
                <w:sz w:val="18"/>
                <w:szCs w:val="18"/>
              </w:rPr>
              <w:t>3.49 (1.60 to 6.76)</w:t>
            </w:r>
          </w:p>
        </w:tc>
      </w:tr>
      <w:tr w:rsidR="3341BD48" w:rsidRPr="00B85D62" w14:paraId="71E180AE" w14:textId="77777777" w:rsidTr="00B85D62">
        <w:trPr>
          <w:cantSplit/>
        </w:trPr>
        <w:tc>
          <w:tcPr>
            <w:tcW w:w="0" w:type="auto"/>
            <w:shd w:val="clear" w:color="auto" w:fill="auto"/>
          </w:tcPr>
          <w:p w14:paraId="4B8916A1" w14:textId="241C933B" w:rsidR="3341BD48" w:rsidRPr="00B85D62" w:rsidRDefault="3341BD48" w:rsidP="0066232B">
            <w:pPr>
              <w:rPr>
                <w:rFonts w:eastAsia="Arial" w:cs="Arial"/>
                <w:sz w:val="18"/>
                <w:szCs w:val="18"/>
              </w:rPr>
            </w:pPr>
            <w:r w:rsidRPr="00B85D62">
              <w:rPr>
                <w:rFonts w:eastAsia="Arial" w:cs="Arial"/>
                <w:sz w:val="18"/>
                <w:szCs w:val="18"/>
              </w:rPr>
              <w:t>Post-imputation post-baseline LDL-C*</w:t>
            </w:r>
          </w:p>
        </w:tc>
        <w:tc>
          <w:tcPr>
            <w:tcW w:w="0" w:type="auto"/>
            <w:shd w:val="clear" w:color="auto" w:fill="auto"/>
            <w:vAlign w:val="center"/>
          </w:tcPr>
          <w:p w14:paraId="0B6EB0B6" w14:textId="0E23C40D" w:rsidR="3341BD48" w:rsidRPr="00B85D62" w:rsidRDefault="3341BD48" w:rsidP="0066232B">
            <w:pPr>
              <w:jc w:val="center"/>
              <w:rPr>
                <w:rFonts w:eastAsia="Arial" w:cs="Arial"/>
                <w:sz w:val="18"/>
                <w:szCs w:val="18"/>
              </w:rPr>
            </w:pPr>
            <w:r w:rsidRPr="00B85D62">
              <w:rPr>
                <w:rFonts w:eastAsia="Arial" w:cs="Arial"/>
                <w:sz w:val="18"/>
                <w:szCs w:val="18"/>
              </w:rPr>
              <w:t>4.11 (2.01 to 7.70)</w:t>
            </w:r>
          </w:p>
        </w:tc>
        <w:tc>
          <w:tcPr>
            <w:tcW w:w="0" w:type="auto"/>
            <w:shd w:val="clear" w:color="auto" w:fill="auto"/>
            <w:vAlign w:val="center"/>
          </w:tcPr>
          <w:p w14:paraId="5DE9151B" w14:textId="1F0AB657" w:rsidR="3341BD48" w:rsidRPr="00B85D62" w:rsidRDefault="3341BD48" w:rsidP="0066232B">
            <w:pPr>
              <w:jc w:val="center"/>
              <w:rPr>
                <w:rFonts w:eastAsia="Arial" w:cs="Arial"/>
                <w:sz w:val="18"/>
                <w:szCs w:val="18"/>
              </w:rPr>
            </w:pPr>
            <w:r w:rsidRPr="00B85D62">
              <w:rPr>
                <w:rFonts w:eastAsia="Arial" w:cs="Arial"/>
                <w:sz w:val="18"/>
                <w:szCs w:val="18"/>
              </w:rPr>
              <w:t>3.49 (1.60 to 6.95)</w:t>
            </w:r>
          </w:p>
        </w:tc>
        <w:tc>
          <w:tcPr>
            <w:tcW w:w="0" w:type="auto"/>
            <w:shd w:val="clear" w:color="auto" w:fill="auto"/>
            <w:vAlign w:val="center"/>
          </w:tcPr>
          <w:p w14:paraId="12F727A9" w14:textId="659FD9A7" w:rsidR="3341BD48" w:rsidRPr="00B85D62" w:rsidRDefault="3341BD48" w:rsidP="0066232B">
            <w:pPr>
              <w:jc w:val="center"/>
              <w:rPr>
                <w:rFonts w:eastAsia="Arial" w:cs="Arial"/>
                <w:sz w:val="18"/>
                <w:szCs w:val="18"/>
              </w:rPr>
            </w:pPr>
            <w:r w:rsidRPr="00B85D62">
              <w:rPr>
                <w:rFonts w:eastAsia="Arial" w:cs="Arial"/>
                <w:sz w:val="18"/>
                <w:szCs w:val="18"/>
              </w:rPr>
              <w:t>3.54 (1.60 to 7.20)</w:t>
            </w:r>
          </w:p>
        </w:tc>
      </w:tr>
      <w:tr w:rsidR="3341BD48" w:rsidRPr="00B85D62" w14:paraId="694A0A2D" w14:textId="77777777" w:rsidTr="00B85D62">
        <w:trPr>
          <w:cantSplit/>
        </w:trPr>
        <w:tc>
          <w:tcPr>
            <w:tcW w:w="0" w:type="auto"/>
            <w:gridSpan w:val="4"/>
            <w:shd w:val="clear" w:color="auto" w:fill="auto"/>
            <w:vAlign w:val="center"/>
          </w:tcPr>
          <w:p w14:paraId="7EFB736B" w14:textId="6AEA7973" w:rsidR="3341BD48" w:rsidRPr="00B85D62" w:rsidRDefault="3341BD48" w:rsidP="0066232B">
            <w:pPr>
              <w:rPr>
                <w:rFonts w:eastAsia="Arial" w:cs="Arial"/>
                <w:sz w:val="18"/>
                <w:szCs w:val="18"/>
              </w:rPr>
            </w:pPr>
            <w:r w:rsidRPr="00B85D62">
              <w:rPr>
                <w:rFonts w:eastAsia="Arial" w:cs="Arial"/>
                <w:b/>
                <w:bCs/>
                <w:sz w:val="18"/>
                <w:szCs w:val="18"/>
              </w:rPr>
              <w:t>Post-imputation reduction from baseline in LDL-C</w:t>
            </w:r>
          </w:p>
        </w:tc>
      </w:tr>
      <w:tr w:rsidR="3341BD48" w:rsidRPr="00B85D62" w14:paraId="068F5C3D" w14:textId="77777777" w:rsidTr="00B85D62">
        <w:trPr>
          <w:cantSplit/>
        </w:trPr>
        <w:tc>
          <w:tcPr>
            <w:tcW w:w="0" w:type="auto"/>
            <w:shd w:val="clear" w:color="auto" w:fill="auto"/>
            <w:vAlign w:val="center"/>
          </w:tcPr>
          <w:p w14:paraId="68F2744E" w14:textId="6B0FE2D6" w:rsidR="3341BD48" w:rsidRPr="00B85D62" w:rsidRDefault="3341BD48" w:rsidP="0066232B">
            <w:pPr>
              <w:rPr>
                <w:rFonts w:eastAsia="Arial" w:cs="Arial"/>
                <w:sz w:val="18"/>
                <w:szCs w:val="18"/>
              </w:rPr>
            </w:pPr>
            <w:r w:rsidRPr="00B85D62">
              <w:rPr>
                <w:rFonts w:eastAsia="Arial" w:cs="Arial"/>
                <w:sz w:val="18"/>
                <w:szCs w:val="18"/>
              </w:rPr>
              <w:t>Absolute reduction (mmol/L)</w:t>
            </w:r>
          </w:p>
        </w:tc>
        <w:tc>
          <w:tcPr>
            <w:tcW w:w="0" w:type="auto"/>
            <w:shd w:val="clear" w:color="auto" w:fill="auto"/>
            <w:vAlign w:val="center"/>
          </w:tcPr>
          <w:p w14:paraId="48DFD9CB" w14:textId="6B09AE6A" w:rsidR="3341BD48" w:rsidRPr="00B85D62" w:rsidRDefault="3341BD48" w:rsidP="0066232B">
            <w:pPr>
              <w:jc w:val="center"/>
              <w:rPr>
                <w:rFonts w:eastAsia="Arial" w:cs="Arial"/>
                <w:sz w:val="18"/>
                <w:szCs w:val="18"/>
              </w:rPr>
            </w:pPr>
            <w:r w:rsidRPr="00B85D62">
              <w:rPr>
                <w:rFonts w:eastAsia="Arial" w:cs="Arial"/>
                <w:sz w:val="18"/>
                <w:szCs w:val="18"/>
              </w:rPr>
              <w:t>0.26 (0.17 to 0.34)</w:t>
            </w:r>
          </w:p>
        </w:tc>
        <w:tc>
          <w:tcPr>
            <w:tcW w:w="0" w:type="auto"/>
            <w:shd w:val="clear" w:color="auto" w:fill="auto"/>
            <w:vAlign w:val="center"/>
          </w:tcPr>
          <w:p w14:paraId="3F49DA68" w14:textId="53B6D4BB" w:rsidR="3341BD48" w:rsidRPr="00B85D62" w:rsidRDefault="3341BD48" w:rsidP="0066232B">
            <w:pPr>
              <w:jc w:val="center"/>
              <w:rPr>
                <w:rFonts w:eastAsia="Arial" w:cs="Arial"/>
                <w:sz w:val="18"/>
                <w:szCs w:val="18"/>
              </w:rPr>
            </w:pPr>
            <w:r w:rsidRPr="00B85D62">
              <w:rPr>
                <w:rFonts w:eastAsia="Arial" w:cs="Arial"/>
                <w:sz w:val="18"/>
                <w:szCs w:val="18"/>
              </w:rPr>
              <w:t>1.94 (1.84 to 2.04)</w:t>
            </w:r>
          </w:p>
        </w:tc>
        <w:tc>
          <w:tcPr>
            <w:tcW w:w="0" w:type="auto"/>
            <w:shd w:val="clear" w:color="auto" w:fill="auto"/>
            <w:vAlign w:val="center"/>
          </w:tcPr>
          <w:p w14:paraId="55A9B381" w14:textId="6841E608" w:rsidR="3341BD48" w:rsidRPr="00B85D62" w:rsidRDefault="3341BD48" w:rsidP="0066232B">
            <w:pPr>
              <w:jc w:val="center"/>
              <w:rPr>
                <w:rFonts w:eastAsia="Arial" w:cs="Arial"/>
                <w:sz w:val="18"/>
                <w:szCs w:val="18"/>
              </w:rPr>
            </w:pPr>
            <w:r w:rsidRPr="00B85D62">
              <w:rPr>
                <w:rFonts w:eastAsia="Arial" w:cs="Arial"/>
                <w:sz w:val="18"/>
                <w:szCs w:val="18"/>
              </w:rPr>
              <w:t>2.08 (1.95 to 2.20)</w:t>
            </w:r>
          </w:p>
        </w:tc>
      </w:tr>
      <w:tr w:rsidR="3341BD48" w:rsidRPr="00B85D62" w14:paraId="28D3F98E" w14:textId="77777777" w:rsidTr="00B85D62">
        <w:trPr>
          <w:cantSplit/>
        </w:trPr>
        <w:tc>
          <w:tcPr>
            <w:tcW w:w="0" w:type="auto"/>
            <w:shd w:val="clear" w:color="auto" w:fill="auto"/>
            <w:vAlign w:val="center"/>
          </w:tcPr>
          <w:p w14:paraId="03D8C526" w14:textId="7F3E2E82" w:rsidR="3341BD48" w:rsidRPr="00B85D62" w:rsidRDefault="3341BD48" w:rsidP="0066232B">
            <w:pPr>
              <w:rPr>
                <w:rFonts w:eastAsia="Arial" w:cs="Arial"/>
                <w:sz w:val="18"/>
                <w:szCs w:val="18"/>
              </w:rPr>
            </w:pPr>
            <w:r w:rsidRPr="00B85D62">
              <w:rPr>
                <w:rFonts w:eastAsia="Arial" w:cs="Arial"/>
                <w:sz w:val="18"/>
                <w:szCs w:val="18"/>
              </w:rPr>
              <w:t>Relative reduction (%)</w:t>
            </w:r>
          </w:p>
        </w:tc>
        <w:tc>
          <w:tcPr>
            <w:tcW w:w="0" w:type="auto"/>
            <w:shd w:val="clear" w:color="auto" w:fill="auto"/>
            <w:vAlign w:val="center"/>
          </w:tcPr>
          <w:p w14:paraId="6E8CF887" w14:textId="44A8184B" w:rsidR="3341BD48" w:rsidRPr="00B85D62" w:rsidRDefault="3341BD48" w:rsidP="0066232B">
            <w:pPr>
              <w:jc w:val="center"/>
              <w:rPr>
                <w:rFonts w:eastAsia="Arial" w:cs="Arial"/>
                <w:sz w:val="18"/>
                <w:szCs w:val="18"/>
              </w:rPr>
            </w:pPr>
            <w:r w:rsidRPr="00B85D62">
              <w:rPr>
                <w:rFonts w:eastAsia="Arial" w:cs="Arial"/>
                <w:sz w:val="18"/>
                <w:szCs w:val="18"/>
              </w:rPr>
              <w:t>0.01% (</w:t>
            </w:r>
            <w:r w:rsidR="00B85D62" w:rsidRPr="00B85D62">
              <w:rPr>
                <w:rFonts w:eastAsia="Arial" w:cs="Arial"/>
                <w:color w:val="00B0F0"/>
                <w:sz w:val="18"/>
                <w:szCs w:val="18"/>
              </w:rPr>
              <w:t>–</w:t>
            </w:r>
            <w:r w:rsidR="00B85D62" w:rsidRPr="00B85D62">
              <w:rPr>
                <w:rFonts w:eastAsia="Arial" w:cs="Arial"/>
                <w:color w:val="00B0F0"/>
                <w:sz w:val="18"/>
                <w:szCs w:val="18"/>
              </w:rPr>
              <w:t>0</w:t>
            </w:r>
            <w:r w:rsidRPr="00B85D62">
              <w:rPr>
                <w:rFonts w:eastAsia="Arial" w:cs="Arial"/>
                <w:sz w:val="18"/>
                <w:szCs w:val="18"/>
              </w:rPr>
              <w:t>.1% to 0.03%)</w:t>
            </w:r>
          </w:p>
        </w:tc>
        <w:tc>
          <w:tcPr>
            <w:tcW w:w="0" w:type="auto"/>
            <w:shd w:val="clear" w:color="auto" w:fill="auto"/>
            <w:vAlign w:val="center"/>
          </w:tcPr>
          <w:p w14:paraId="2CFFF2EF" w14:textId="7D4FEB2E" w:rsidR="3341BD48" w:rsidRPr="00B85D62" w:rsidRDefault="3341BD48" w:rsidP="0066232B">
            <w:pPr>
              <w:jc w:val="center"/>
              <w:rPr>
                <w:rFonts w:eastAsia="Arial" w:cs="Arial"/>
                <w:sz w:val="18"/>
                <w:szCs w:val="18"/>
              </w:rPr>
            </w:pPr>
            <w:r w:rsidRPr="00B85D62">
              <w:rPr>
                <w:rFonts w:eastAsia="Arial" w:cs="Arial"/>
                <w:sz w:val="18"/>
                <w:szCs w:val="18"/>
              </w:rPr>
              <w:t>32.6% (30.9% to 34.3%)</w:t>
            </w:r>
          </w:p>
        </w:tc>
        <w:tc>
          <w:tcPr>
            <w:tcW w:w="0" w:type="auto"/>
            <w:shd w:val="clear" w:color="auto" w:fill="auto"/>
            <w:vAlign w:val="center"/>
          </w:tcPr>
          <w:p w14:paraId="0A9A436A" w14:textId="1710DE5A" w:rsidR="3341BD48" w:rsidRPr="00B85D62" w:rsidRDefault="3341BD48" w:rsidP="0066232B">
            <w:pPr>
              <w:jc w:val="center"/>
              <w:rPr>
                <w:rFonts w:eastAsia="Arial" w:cs="Arial"/>
                <w:sz w:val="18"/>
                <w:szCs w:val="18"/>
              </w:rPr>
            </w:pPr>
            <w:r w:rsidRPr="00B85D62">
              <w:rPr>
                <w:rFonts w:eastAsia="Arial" w:cs="Arial"/>
                <w:sz w:val="18"/>
                <w:szCs w:val="18"/>
              </w:rPr>
              <w:t>34.4% (32.5% to 36.3%)</w:t>
            </w:r>
          </w:p>
        </w:tc>
      </w:tr>
    </w:tbl>
    <w:p w14:paraId="1EA7AC36" w14:textId="461CB006" w:rsidR="00B85D62" w:rsidRPr="00B85D62" w:rsidRDefault="2F06F1AA" w:rsidP="0066232B">
      <w:pPr>
        <w:rPr>
          <w:rFonts w:eastAsia="Arial" w:cs="Arial"/>
          <w:color w:val="000000" w:themeColor="text1"/>
          <w:sz w:val="18"/>
          <w:szCs w:val="18"/>
        </w:rPr>
      </w:pPr>
      <w:r w:rsidRPr="00B85D62">
        <w:rPr>
          <w:rFonts w:eastAsia="Arial" w:cs="Arial"/>
          <w:color w:val="000000" w:themeColor="text1"/>
          <w:sz w:val="18"/>
          <w:szCs w:val="18"/>
        </w:rPr>
        <w:t xml:space="preserve">*accounts for within and between imputed </w:t>
      </w:r>
      <w:r w:rsidR="00B85D62" w:rsidRPr="00B85D62">
        <w:rPr>
          <w:rFonts w:eastAsia="Arial" w:cs="Arial"/>
          <w:color w:val="00B0F0"/>
          <w:sz w:val="18"/>
          <w:szCs w:val="18"/>
          <w:highlight w:val="magenta"/>
        </w:rPr>
        <w:t>data</w:t>
      </w:r>
      <w:r w:rsidR="00B85D62" w:rsidRPr="00B85D62">
        <w:rPr>
          <w:rFonts w:eastAsia="Arial" w:cs="Arial"/>
          <w:color w:val="00B0F0"/>
          <w:sz w:val="18"/>
          <w:szCs w:val="18"/>
        </w:rPr>
        <w:t xml:space="preserve"> set</w:t>
      </w:r>
      <w:r w:rsidRPr="00B85D62">
        <w:rPr>
          <w:rFonts w:eastAsia="Arial" w:cs="Arial"/>
          <w:color w:val="000000" w:themeColor="text1"/>
          <w:sz w:val="18"/>
          <w:szCs w:val="18"/>
        </w:rPr>
        <w:t>s variability.</w:t>
      </w:r>
    </w:p>
    <w:p w14:paraId="5B9CE0DF" w14:textId="206666F1" w:rsidR="0732252A" w:rsidRPr="00B85D62" w:rsidRDefault="2F06F1AA" w:rsidP="0066232B">
      <w:pPr>
        <w:rPr>
          <w:rFonts w:eastAsia="Arial" w:cs="Arial"/>
          <w:color w:val="000000" w:themeColor="text1"/>
        </w:rPr>
      </w:pPr>
      <w:r w:rsidRPr="00B85D62">
        <w:rPr>
          <w:rFonts w:eastAsia="Arial" w:cs="Arial"/>
          <w:color w:val="000000" w:themeColor="text1"/>
        </w:rPr>
        <w:t xml:space="preserve">Results of the before and after analysis show that a small reduction in LDL-C was observed for the </w:t>
      </w:r>
      <w:r w:rsidR="00B85D62" w:rsidRPr="00B85D62">
        <w:rPr>
          <w:rFonts w:eastAsia="Arial" w:cs="Arial"/>
          <w:color w:val="000000" w:themeColor="text1"/>
        </w:rPr>
        <w:t>‘</w:t>
      </w:r>
      <w:r w:rsidRPr="00B85D62">
        <w:rPr>
          <w:rFonts w:eastAsia="Arial" w:cs="Arial"/>
          <w:color w:val="000000" w:themeColor="text1"/>
        </w:rPr>
        <w:t>untreated</w:t>
      </w:r>
      <w:r w:rsidR="00B85D62" w:rsidRPr="00B85D62">
        <w:rPr>
          <w:rFonts w:eastAsia="Arial" w:cs="Arial"/>
          <w:color w:val="000000" w:themeColor="text1"/>
        </w:rPr>
        <w:t>’</w:t>
      </w:r>
      <w:r w:rsidRPr="00B85D62">
        <w:rPr>
          <w:rFonts w:eastAsia="Arial" w:cs="Arial"/>
          <w:color w:val="000000" w:themeColor="text1"/>
        </w:rPr>
        <w:t xml:space="preserve"> group, potentially a consequence of lifestyle changes following FH diagnosis. In the </w:t>
      </w:r>
      <w:r w:rsidR="00B85D62" w:rsidRPr="00B85D62">
        <w:rPr>
          <w:rFonts w:eastAsia="Arial" w:cs="Arial"/>
          <w:color w:val="000000" w:themeColor="text1"/>
        </w:rPr>
        <w:t>‘</w:t>
      </w:r>
      <w:r w:rsidRPr="00B85D62">
        <w:rPr>
          <w:rFonts w:eastAsia="Arial" w:cs="Arial"/>
          <w:color w:val="000000" w:themeColor="text1"/>
        </w:rPr>
        <w:t>newly treated</w:t>
      </w:r>
      <w:r w:rsidR="00B85D62" w:rsidRPr="00B85D62">
        <w:rPr>
          <w:rFonts w:eastAsia="Arial" w:cs="Arial"/>
          <w:color w:val="000000" w:themeColor="text1"/>
        </w:rPr>
        <w:t>’</w:t>
      </w:r>
      <w:r w:rsidRPr="00B85D62">
        <w:rPr>
          <w:rFonts w:eastAsia="Arial" w:cs="Arial"/>
          <w:color w:val="000000" w:themeColor="text1"/>
        </w:rPr>
        <w:t xml:space="preserve"> and in the </w:t>
      </w:r>
      <w:r w:rsidR="00B85D62" w:rsidRPr="00B85D62">
        <w:rPr>
          <w:rFonts w:eastAsia="Arial" w:cs="Arial"/>
          <w:color w:val="000000" w:themeColor="text1"/>
        </w:rPr>
        <w:t>‘</w:t>
      </w:r>
      <w:r w:rsidRPr="00B85D62">
        <w:rPr>
          <w:rFonts w:eastAsia="Arial" w:cs="Arial"/>
          <w:color w:val="000000" w:themeColor="text1"/>
        </w:rPr>
        <w:t>treatment retainers</w:t>
      </w:r>
      <w:r w:rsidR="00B85D62" w:rsidRPr="00B85D62">
        <w:rPr>
          <w:rFonts w:eastAsia="Arial" w:cs="Arial"/>
          <w:color w:val="000000" w:themeColor="text1"/>
        </w:rPr>
        <w:t>’</w:t>
      </w:r>
      <w:r w:rsidRPr="00B85D62">
        <w:rPr>
          <w:rFonts w:eastAsia="Arial" w:cs="Arial"/>
          <w:color w:val="000000" w:themeColor="text1"/>
        </w:rPr>
        <w:t xml:space="preserve"> subgroups, similar absolute and relative reductions in LDL-C were found to have occurred. These changes were clinically meaningful, with the effect of LLTs implying an average absolute reduction in LDL-C of approximately 2 mmol/L and a relative reduction in LDL-C levels above 30%, on average</w:t>
      </w:r>
      <w:r w:rsidR="00B85D62" w:rsidRPr="00B85D62">
        <w:rPr>
          <w:rFonts w:eastAsia="Arial" w:cs="Arial"/>
          <w:color w:val="00B0F0"/>
        </w:rPr>
        <w:t xml:space="preserve"> – </w:t>
      </w:r>
      <w:r w:rsidRPr="00B85D62">
        <w:rPr>
          <w:rFonts w:eastAsia="Arial" w:cs="Arial"/>
          <w:color w:val="000000" w:themeColor="text1"/>
        </w:rPr>
        <w:t>though substantially lower than the 50% reduction target</w:t>
      </w:r>
      <w:r w:rsidR="00C35B5E" w:rsidRPr="00B85D62">
        <w:rPr>
          <w:rFonts w:eastAsia="Arial" w:cs="Arial"/>
          <w:noProof/>
          <w:color w:val="000000" w:themeColor="text1"/>
          <w:shd w:val="clear" w:color="auto" w:fill="E6E6E6"/>
          <w:vertAlign w:val="superscript"/>
        </w:rPr>
        <w:t>116, 129, 130</w:t>
      </w:r>
      <w:r w:rsidRPr="00B85D62">
        <w:rPr>
          <w:rFonts w:eastAsia="Arial" w:cs="Arial"/>
          <w:color w:val="000000" w:themeColor="text1"/>
        </w:rPr>
        <w:t xml:space="preserve"> and the absolute target of 2.6mmol/L for primary CVD prevention</w:t>
      </w:r>
      <w:r w:rsidR="00C35B5E" w:rsidRPr="00B85D62">
        <w:rPr>
          <w:rFonts w:eastAsia="Arial" w:cs="Arial"/>
          <w:noProof/>
          <w:color w:val="000000" w:themeColor="text1"/>
          <w:shd w:val="clear" w:color="auto" w:fill="E6E6E6"/>
          <w:vertAlign w:val="superscript"/>
        </w:rPr>
        <w:t>131</w:t>
      </w:r>
      <w:r w:rsidRPr="00B85D62">
        <w:rPr>
          <w:rFonts w:eastAsia="Arial" w:cs="Arial"/>
          <w:color w:val="000000" w:themeColor="text1"/>
        </w:rPr>
        <w:t xml:space="preserve"> advocated for FH patients. </w:t>
      </w:r>
      <w:r w:rsidR="00B85D62" w:rsidRPr="00B85D62">
        <w:rPr>
          <w:rFonts w:eastAsia="Arial" w:cs="Arial"/>
          <w:i/>
          <w:color w:val="FF0000"/>
        </w:rPr>
        <w:t>F</w:t>
      </w:r>
      <w:r w:rsidR="00B85D62" w:rsidRPr="00B85D62">
        <w:rPr>
          <w:rFonts w:eastAsia="Arial" w:cs="Arial"/>
          <w:i/>
          <w:color w:val="FF0000"/>
        </w:rPr>
        <w:t>igure</w:t>
      </w:r>
      <w:r w:rsidR="00B85D62" w:rsidRPr="00B85D62">
        <w:rPr>
          <w:rFonts w:eastAsia="Arial" w:cs="Arial"/>
          <w:i/>
          <w:color w:val="FF0000"/>
        </w:rPr>
        <w:t xml:space="preserve"> </w:t>
      </w:r>
      <w:r w:rsidR="00B85D62" w:rsidRPr="00B85D62">
        <w:rPr>
          <w:rFonts w:eastAsia="Arial" w:cs="Arial"/>
          <w:i/>
          <w:color w:val="FF0000"/>
        </w:rPr>
        <w:t>7</w:t>
      </w:r>
      <w:r w:rsidR="569D3F57" w:rsidRPr="00B85D62">
        <w:rPr>
          <w:rFonts w:eastAsia="Arial" w:cs="Arial"/>
          <w:color w:val="000000" w:themeColor="text1"/>
        </w:rPr>
        <w:t xml:space="preserve"> </w:t>
      </w:r>
      <w:r w:rsidRPr="00B85D62">
        <w:rPr>
          <w:rFonts w:eastAsia="Arial" w:cs="Arial"/>
          <w:color w:val="000000" w:themeColor="text1"/>
        </w:rPr>
        <w:t xml:space="preserve">shows the distribution of proportional LDL-C reduction across the </w:t>
      </w:r>
      <w:r w:rsidR="00B85D62" w:rsidRPr="00B85D62">
        <w:rPr>
          <w:rFonts w:eastAsia="Arial" w:cs="Arial"/>
          <w:color w:val="000000" w:themeColor="text1"/>
        </w:rPr>
        <w:t>‘</w:t>
      </w:r>
      <w:r w:rsidRPr="00B85D62">
        <w:rPr>
          <w:rFonts w:eastAsia="Arial" w:cs="Arial"/>
          <w:color w:val="000000" w:themeColor="text1"/>
        </w:rPr>
        <w:t>untreated</w:t>
      </w:r>
      <w:r w:rsidR="00B85D62" w:rsidRPr="00B85D62">
        <w:rPr>
          <w:rFonts w:eastAsia="Arial" w:cs="Arial"/>
          <w:color w:val="000000" w:themeColor="text1"/>
        </w:rPr>
        <w:t>’</w:t>
      </w:r>
      <w:r w:rsidRPr="00B85D62">
        <w:rPr>
          <w:rFonts w:eastAsia="Arial" w:cs="Arial"/>
          <w:color w:val="000000" w:themeColor="text1"/>
        </w:rPr>
        <w:t xml:space="preserve">, </w:t>
      </w:r>
      <w:r w:rsidR="00B85D62" w:rsidRPr="00B85D62">
        <w:rPr>
          <w:rFonts w:eastAsia="Arial" w:cs="Arial"/>
          <w:color w:val="000000" w:themeColor="text1"/>
        </w:rPr>
        <w:t>‘</w:t>
      </w:r>
      <w:r w:rsidRPr="00B85D62">
        <w:rPr>
          <w:rFonts w:eastAsia="Arial" w:cs="Arial"/>
          <w:color w:val="000000" w:themeColor="text1"/>
        </w:rPr>
        <w:t>newly treated</w:t>
      </w:r>
      <w:r w:rsidR="00B85D62" w:rsidRPr="00B85D62">
        <w:rPr>
          <w:rFonts w:eastAsia="Arial" w:cs="Arial"/>
          <w:color w:val="000000" w:themeColor="text1"/>
        </w:rPr>
        <w:t>’</w:t>
      </w:r>
      <w:r w:rsidRPr="00B85D62">
        <w:rPr>
          <w:rFonts w:eastAsia="Arial" w:cs="Arial"/>
          <w:color w:val="000000" w:themeColor="text1"/>
        </w:rPr>
        <w:t xml:space="preserve"> and </w:t>
      </w:r>
      <w:r w:rsidR="00B85D62" w:rsidRPr="00B85D62">
        <w:rPr>
          <w:rFonts w:eastAsia="Arial" w:cs="Arial"/>
          <w:color w:val="000000" w:themeColor="text1"/>
        </w:rPr>
        <w:t>‘</w:t>
      </w:r>
      <w:r w:rsidRPr="00B85D62">
        <w:rPr>
          <w:rFonts w:eastAsia="Arial" w:cs="Arial"/>
          <w:color w:val="000000" w:themeColor="text1"/>
        </w:rPr>
        <w:t>treatment retaining</w:t>
      </w:r>
      <w:r w:rsidR="00B85D62" w:rsidRPr="00B85D62">
        <w:rPr>
          <w:rFonts w:eastAsia="Arial" w:cs="Arial"/>
          <w:color w:val="000000" w:themeColor="text1"/>
        </w:rPr>
        <w:t>’</w:t>
      </w:r>
      <w:r w:rsidRPr="00B85D62">
        <w:rPr>
          <w:rFonts w:eastAsia="Arial" w:cs="Arial"/>
          <w:color w:val="000000" w:themeColor="text1"/>
        </w:rPr>
        <w:t xml:space="preserve"> subgroups. Indeed, only approximately 30% of the subset of individuals receiving treatment achieve the </w:t>
      </w:r>
      <w:r w:rsidR="00B85D62" w:rsidRPr="00B85D62">
        <w:rPr>
          <w:rFonts w:eastAsia="Arial" w:cs="Arial"/>
          <w:color w:val="00B0F0"/>
        </w:rPr>
        <w:t>≥</w:t>
      </w:r>
      <w:r w:rsidR="00B85D62" w:rsidRPr="00B85D62">
        <w:rPr>
          <w:rFonts w:eastAsia="Arial" w:cs="Arial"/>
          <w:color w:val="00B0F0"/>
        </w:rPr>
        <w:t> </w:t>
      </w:r>
      <w:r w:rsidR="00B85D62" w:rsidRPr="00B85D62">
        <w:rPr>
          <w:rFonts w:eastAsia="Arial" w:cs="Arial"/>
          <w:color w:val="00B0F0"/>
        </w:rPr>
        <w:t>5</w:t>
      </w:r>
      <w:r w:rsidRPr="00B85D62">
        <w:rPr>
          <w:rFonts w:eastAsia="Arial" w:cs="Arial"/>
          <w:color w:val="000000" w:themeColor="text1"/>
        </w:rPr>
        <w:t>0% LDL-C reduction target. Similar findings were obtained for males and females.</w:t>
      </w:r>
    </w:p>
    <w:p w14:paraId="3B2AE9CF" w14:textId="4D6F8698" w:rsidR="00B85D62" w:rsidRPr="00B85D62" w:rsidRDefault="00B85D62" w:rsidP="00E26BF7">
      <w:pPr>
        <w:pStyle w:val="Caption"/>
        <w:keepNext/>
      </w:pPr>
      <w:bookmarkStart w:id="167" w:name="_Toc79740226"/>
      <w:bookmarkStart w:id="168" w:name="_Toc107157389"/>
      <w:r w:rsidRPr="00B85D62">
        <w:rPr>
          <w:i/>
          <w:color w:val="FF0000"/>
        </w:rPr>
        <w:t>F</w:t>
      </w:r>
      <w:r w:rsidRPr="00B85D62">
        <w:rPr>
          <w:i/>
          <w:color w:val="FF0000"/>
        </w:rPr>
        <w:t>igure</w:t>
      </w:r>
      <w:r w:rsidRPr="00B85D62">
        <w:rPr>
          <w:i/>
          <w:color w:val="FF0000"/>
        </w:rPr>
        <w:t xml:space="preserve"> </w:t>
      </w:r>
      <w:r w:rsidRPr="00B85D62">
        <w:rPr>
          <w:i/>
          <w:noProof/>
          <w:color w:val="FF0000"/>
        </w:rPr>
        <w:t>7</w:t>
      </w:r>
      <w:r w:rsidR="00E26BF7" w:rsidRPr="00B85D62">
        <w:t xml:space="preserve"> Distribution of proportional LDL-C reductions from baseline to 24 months by treatment subgroups.</w:t>
      </w:r>
      <w:bookmarkEnd w:id="167"/>
      <w:bookmarkEnd w:id="168"/>
    </w:p>
    <w:p w14:paraId="0DE3DAD0" w14:textId="21866059" w:rsidR="0732252A" w:rsidRPr="00B85D62" w:rsidRDefault="2F06F1AA" w:rsidP="006C7E71">
      <w:pPr>
        <w:pStyle w:val="Heading4"/>
        <w:numPr>
          <w:ilvl w:val="0"/>
          <w:numId w:val="0"/>
        </w:numPr>
        <w:rPr>
          <w:rFonts w:eastAsiaTheme="minorEastAsia"/>
        </w:rPr>
      </w:pPr>
      <w:r w:rsidRPr="00B85D62">
        <w:t>Risk of major cardiovascular first events and mortality in treated individuals</w:t>
      </w:r>
    </w:p>
    <w:p w14:paraId="15980D3D" w14:textId="4DA8E152" w:rsidR="0732252A" w:rsidRPr="00B85D62" w:rsidRDefault="00B85D62" w:rsidP="0066232B">
      <w:pPr>
        <w:rPr>
          <w:rFonts w:eastAsia="Arial" w:cs="Arial"/>
          <w:color w:val="000000" w:themeColor="text1"/>
        </w:rPr>
      </w:pPr>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8</w:t>
      </w:r>
      <w:r w:rsidR="006C2338" w:rsidRPr="00B85D62">
        <w:rPr>
          <w:rFonts w:eastAsia="Arial" w:cs="Arial"/>
          <w:color w:val="000000" w:themeColor="text1"/>
        </w:rPr>
        <w:t xml:space="preserve"> </w:t>
      </w:r>
      <w:r w:rsidR="2F06F1AA" w:rsidRPr="00B85D62">
        <w:rPr>
          <w:rFonts w:eastAsia="Arial" w:cs="Arial"/>
          <w:color w:val="000000" w:themeColor="text1"/>
        </w:rPr>
        <w:t xml:space="preserve">shows the number of first events of each type occurring in the treated CPRD cohort after FH diagnosis. The probability of post-FH diagnosis first major CVD event occurring during the 20 years of follow-up of the CPRD cohort is depicted in </w:t>
      </w:r>
      <w:r w:rsidRPr="00B85D62">
        <w:rPr>
          <w:rFonts w:eastAsia="Arial" w:cs="Arial"/>
          <w:i/>
          <w:color w:val="FF0000"/>
        </w:rPr>
        <w:t>F</w:t>
      </w:r>
      <w:r w:rsidRPr="00B85D62">
        <w:rPr>
          <w:rFonts w:eastAsia="Arial" w:cs="Arial"/>
          <w:i/>
          <w:color w:val="FF0000"/>
        </w:rPr>
        <w:t>igure</w:t>
      </w:r>
      <w:r w:rsidRPr="00B85D62">
        <w:rPr>
          <w:rFonts w:eastAsia="Arial" w:cs="Arial"/>
          <w:i/>
          <w:color w:val="FF0000"/>
        </w:rPr>
        <w:t xml:space="preserve"> </w:t>
      </w:r>
      <w:r w:rsidRPr="00B85D62">
        <w:rPr>
          <w:rFonts w:eastAsia="Arial" w:cs="Arial"/>
          <w:i/>
          <w:color w:val="FF0000"/>
        </w:rPr>
        <w:t>8</w:t>
      </w:r>
      <w:r w:rsidR="2F06F1AA" w:rsidRPr="00B85D62">
        <w:rPr>
          <w:rFonts w:eastAsia="Arial" w:cs="Arial"/>
          <w:color w:val="000000" w:themeColor="text1"/>
        </w:rPr>
        <w:t xml:space="preserve">. Median follow-up was of 4.8 years, with </w:t>
      </w:r>
      <w:r w:rsidRPr="00B85D62">
        <w:rPr>
          <w:rFonts w:eastAsia="Arial" w:cs="Arial"/>
          <w:color w:val="00B0F0"/>
        </w:rPr>
        <w:t>Kaplan–Meier</w:t>
      </w:r>
      <w:r w:rsidR="2F06F1AA" w:rsidRPr="00B85D62">
        <w:rPr>
          <w:rFonts w:eastAsia="Arial" w:cs="Arial"/>
          <w:color w:val="000000" w:themeColor="text1"/>
        </w:rPr>
        <w:t xml:space="preserve"> survival estimates of 0.93 (95% CI: 0.92 to 0.95), 0.90 (95% CI: 0.88 to 0.92) and 0.88 (95% CI: 0.84 to 0.92), for 5, 10 and 15 years, respectively. Approximately half of the sample was censored at 5 years, which, together with a low event rate, </w:t>
      </w:r>
      <w:r w:rsidR="2F06F1AA" w:rsidRPr="00B85D62">
        <w:rPr>
          <w:rFonts w:eastAsia="Arial" w:cs="Arial"/>
          <w:color w:val="000000" w:themeColor="text1"/>
          <w:highlight w:val="magenta"/>
        </w:rPr>
        <w:t>implied</w:t>
      </w:r>
      <w:r w:rsidR="2F06F1AA" w:rsidRPr="00B85D62">
        <w:rPr>
          <w:rFonts w:eastAsia="Arial" w:cs="Arial"/>
          <w:color w:val="000000" w:themeColor="text1"/>
        </w:rPr>
        <w:t xml:space="preserve"> an undefined median survival – see number of FH patients at risk at different time points in </w:t>
      </w:r>
      <w:r w:rsidRPr="00B85D62">
        <w:rPr>
          <w:rFonts w:eastAsia="Arial" w:cs="Arial"/>
          <w:i/>
          <w:color w:val="FF0000"/>
        </w:rPr>
        <w:t>F</w:t>
      </w:r>
      <w:r w:rsidRPr="00B85D62">
        <w:rPr>
          <w:rFonts w:eastAsia="Arial" w:cs="Arial"/>
          <w:i/>
          <w:color w:val="FF0000"/>
        </w:rPr>
        <w:t>igure</w:t>
      </w:r>
      <w:r w:rsidRPr="00B85D62">
        <w:rPr>
          <w:rFonts w:eastAsia="Arial" w:cs="Arial"/>
          <w:i/>
          <w:color w:val="FF0000"/>
        </w:rPr>
        <w:t xml:space="preserve"> </w:t>
      </w:r>
      <w:r w:rsidRPr="00B85D62">
        <w:rPr>
          <w:rFonts w:eastAsia="Arial" w:cs="Arial"/>
          <w:i/>
          <w:color w:val="FF0000"/>
        </w:rPr>
        <w:t>8</w:t>
      </w:r>
      <w:r w:rsidR="2F06F1AA" w:rsidRPr="00B85D62">
        <w:rPr>
          <w:rFonts w:eastAsia="Arial" w:cs="Arial"/>
          <w:color w:val="000000" w:themeColor="text1"/>
        </w:rPr>
        <w:t>. A decreasing hazard of the event occurring throughout time is observed.</w:t>
      </w:r>
    </w:p>
    <w:p w14:paraId="06D3E41B" w14:textId="7A4D25B8" w:rsidR="006C2338" w:rsidRPr="00B85D62" w:rsidRDefault="00B85D62" w:rsidP="006C2338">
      <w:pPr>
        <w:pStyle w:val="Caption"/>
        <w:keepNext/>
        <w:rPr>
          <w:rFonts w:cs="Arial"/>
        </w:rPr>
      </w:pPr>
      <w:bookmarkStart w:id="169" w:name="_Toc79740203"/>
      <w:bookmarkStart w:id="170" w:name="_Toc107157362"/>
      <w:r w:rsidRPr="00B85D62">
        <w:rPr>
          <w:rFonts w:cs="Arial"/>
          <w:i/>
          <w:color w:val="FF0000"/>
        </w:rPr>
        <w:lastRenderedPageBreak/>
        <w:t>T</w:t>
      </w:r>
      <w:r w:rsidRPr="00B85D62">
        <w:rPr>
          <w:rFonts w:cs="Arial"/>
          <w:i/>
          <w:color w:val="FF0000"/>
        </w:rPr>
        <w:t>able</w:t>
      </w:r>
      <w:r w:rsidRPr="00B85D62">
        <w:rPr>
          <w:rFonts w:cs="Arial"/>
          <w:i/>
          <w:color w:val="FF0000"/>
        </w:rPr>
        <w:t xml:space="preserve"> </w:t>
      </w:r>
      <w:r w:rsidRPr="00B85D62">
        <w:rPr>
          <w:rFonts w:cs="Arial"/>
          <w:i/>
          <w:noProof/>
          <w:color w:val="FF0000"/>
        </w:rPr>
        <w:t>8</w:t>
      </w:r>
      <w:r w:rsidR="006C2338" w:rsidRPr="00B85D62">
        <w:rPr>
          <w:rFonts w:cs="Arial"/>
        </w:rPr>
        <w:t xml:space="preserve"> Occurrence of key clinical events as first major CVD events post-FH diagnosis in the CPRD treated cohort (primary diagnosis only)</w:t>
      </w:r>
      <w:bookmarkEnd w:id="169"/>
      <w:bookmarkEnd w:id="17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115"/>
        <w:gridCol w:w="2058"/>
      </w:tblGrid>
      <w:tr w:rsidR="3341BD48" w:rsidRPr="00B85D62" w14:paraId="6D749273" w14:textId="77777777" w:rsidTr="00B85D62">
        <w:trPr>
          <w:cantSplit/>
        </w:trPr>
        <w:tc>
          <w:tcPr>
            <w:tcW w:w="0" w:type="auto"/>
            <w:shd w:val="clear" w:color="auto" w:fill="auto"/>
          </w:tcPr>
          <w:p w14:paraId="5AC77EFF" w14:textId="591EBF36" w:rsidR="3341BD48" w:rsidRPr="00B85D62" w:rsidRDefault="3341BD48" w:rsidP="0066232B">
            <w:pPr>
              <w:rPr>
                <w:rFonts w:eastAsia="Arial" w:cs="Arial"/>
              </w:rPr>
            </w:pPr>
          </w:p>
        </w:tc>
        <w:tc>
          <w:tcPr>
            <w:tcW w:w="0" w:type="auto"/>
            <w:shd w:val="clear" w:color="auto" w:fill="auto"/>
          </w:tcPr>
          <w:p w14:paraId="12D73277" w14:textId="65FB26D1" w:rsidR="3341BD48" w:rsidRPr="00B85D62" w:rsidRDefault="3341BD48" w:rsidP="0066232B">
            <w:pPr>
              <w:jc w:val="center"/>
              <w:rPr>
                <w:rFonts w:eastAsia="Arial" w:cs="Arial"/>
              </w:rPr>
            </w:pPr>
            <w:r w:rsidRPr="00B85D62">
              <w:rPr>
                <w:rFonts w:eastAsia="Arial" w:cs="Arial"/>
                <w:b/>
                <w:bCs/>
              </w:rPr>
              <w:t>CPRD treated cohort^</w:t>
            </w:r>
          </w:p>
        </w:tc>
      </w:tr>
      <w:tr w:rsidR="3341BD48" w:rsidRPr="00B85D62" w14:paraId="00165B62" w14:textId="77777777" w:rsidTr="00B85D62">
        <w:trPr>
          <w:cantSplit/>
        </w:trPr>
        <w:tc>
          <w:tcPr>
            <w:tcW w:w="0" w:type="auto"/>
            <w:shd w:val="clear" w:color="auto" w:fill="auto"/>
          </w:tcPr>
          <w:p w14:paraId="70342B92" w14:textId="78952E44" w:rsidR="3341BD48" w:rsidRPr="00B85D62" w:rsidRDefault="3341BD48" w:rsidP="0066232B">
            <w:pPr>
              <w:rPr>
                <w:rFonts w:eastAsia="Arial" w:cs="Arial"/>
              </w:rPr>
            </w:pPr>
            <w:r w:rsidRPr="00B85D62">
              <w:rPr>
                <w:rFonts w:eastAsia="Arial" w:cs="Arial"/>
                <w:b/>
                <w:bCs/>
              </w:rPr>
              <w:t>Sample size</w:t>
            </w:r>
          </w:p>
        </w:tc>
        <w:tc>
          <w:tcPr>
            <w:tcW w:w="0" w:type="auto"/>
            <w:shd w:val="clear" w:color="auto" w:fill="auto"/>
          </w:tcPr>
          <w:p w14:paraId="02DCD0D4" w14:textId="7F4558B5" w:rsidR="3341BD48" w:rsidRPr="00B85D62" w:rsidRDefault="3341BD48" w:rsidP="0066232B">
            <w:pPr>
              <w:jc w:val="center"/>
              <w:rPr>
                <w:rFonts w:eastAsia="Arial" w:cs="Arial"/>
              </w:rPr>
            </w:pPr>
            <w:r w:rsidRPr="00B85D62">
              <w:rPr>
                <w:rFonts w:eastAsia="Arial" w:cs="Arial"/>
              </w:rPr>
              <w:t>N= 2135</w:t>
            </w:r>
          </w:p>
        </w:tc>
      </w:tr>
      <w:tr w:rsidR="3341BD48" w:rsidRPr="00B85D62" w14:paraId="4FB34D46" w14:textId="77777777" w:rsidTr="00B85D62">
        <w:trPr>
          <w:cantSplit/>
        </w:trPr>
        <w:tc>
          <w:tcPr>
            <w:tcW w:w="0" w:type="auto"/>
            <w:shd w:val="clear" w:color="auto" w:fill="auto"/>
          </w:tcPr>
          <w:p w14:paraId="51919A9C" w14:textId="7A4F1D03" w:rsidR="3341BD48" w:rsidRPr="00B85D62" w:rsidRDefault="3341BD48" w:rsidP="0066232B">
            <w:pPr>
              <w:rPr>
                <w:rFonts w:eastAsia="Arial" w:cs="Arial"/>
              </w:rPr>
            </w:pPr>
            <w:r w:rsidRPr="00B85D62">
              <w:rPr>
                <w:rFonts w:eastAsia="Arial" w:cs="Arial"/>
                <w:b/>
                <w:bCs/>
              </w:rPr>
              <w:t>CVD first events included in model</w:t>
            </w:r>
          </w:p>
        </w:tc>
        <w:tc>
          <w:tcPr>
            <w:tcW w:w="0" w:type="auto"/>
            <w:shd w:val="clear" w:color="auto" w:fill="auto"/>
          </w:tcPr>
          <w:p w14:paraId="64524384" w14:textId="506DAB49" w:rsidR="3341BD48" w:rsidRPr="00B85D62" w:rsidRDefault="3341BD48" w:rsidP="0066232B">
            <w:pPr>
              <w:jc w:val="center"/>
              <w:rPr>
                <w:rFonts w:eastAsia="Arial" w:cs="Arial"/>
              </w:rPr>
            </w:pPr>
            <w:r w:rsidRPr="00B85D62">
              <w:rPr>
                <w:rFonts w:eastAsia="Arial" w:cs="Arial"/>
              </w:rPr>
              <w:t>N (%)</w:t>
            </w:r>
          </w:p>
        </w:tc>
      </w:tr>
      <w:tr w:rsidR="3341BD48" w:rsidRPr="00B85D62" w14:paraId="36F65FF3" w14:textId="77777777" w:rsidTr="00B85D62">
        <w:trPr>
          <w:cantSplit/>
        </w:trPr>
        <w:tc>
          <w:tcPr>
            <w:tcW w:w="0" w:type="auto"/>
            <w:shd w:val="clear" w:color="auto" w:fill="auto"/>
          </w:tcPr>
          <w:p w14:paraId="3FC14F82" w14:textId="5BF6E9DD" w:rsidR="3341BD48" w:rsidRPr="00B85D62" w:rsidRDefault="00B85D62" w:rsidP="0066232B">
            <w:pPr>
              <w:rPr>
                <w:rFonts w:eastAsia="Arial" w:cs="Arial"/>
              </w:rPr>
            </w:pPr>
            <w:r w:rsidRPr="00B85D62">
              <w:rPr>
                <w:rFonts w:eastAsia="Arial" w:cs="Arial"/>
              </w:rPr>
              <w:t xml:space="preserve"> </w:t>
            </w:r>
            <w:r w:rsidR="3341BD48" w:rsidRPr="00B85D62">
              <w:rPr>
                <w:rFonts w:eastAsia="Arial" w:cs="Arial"/>
              </w:rPr>
              <w:t>ACS</w:t>
            </w:r>
          </w:p>
        </w:tc>
        <w:tc>
          <w:tcPr>
            <w:tcW w:w="0" w:type="auto"/>
            <w:shd w:val="clear" w:color="auto" w:fill="auto"/>
          </w:tcPr>
          <w:p w14:paraId="53FB0F02" w14:textId="730007CC" w:rsidR="3341BD48" w:rsidRPr="00B85D62" w:rsidRDefault="3341BD48" w:rsidP="0066232B">
            <w:pPr>
              <w:jc w:val="center"/>
              <w:rPr>
                <w:rFonts w:eastAsia="Arial" w:cs="Arial"/>
              </w:rPr>
            </w:pPr>
            <w:r w:rsidRPr="00B85D62">
              <w:rPr>
                <w:rFonts w:eastAsia="Arial" w:cs="Arial"/>
              </w:rPr>
              <w:t>91 (4.3%)</w:t>
            </w:r>
          </w:p>
        </w:tc>
      </w:tr>
      <w:tr w:rsidR="3341BD48" w:rsidRPr="00B85D62" w14:paraId="77469F1C" w14:textId="77777777" w:rsidTr="00B85D62">
        <w:trPr>
          <w:cantSplit/>
        </w:trPr>
        <w:tc>
          <w:tcPr>
            <w:tcW w:w="0" w:type="auto"/>
            <w:shd w:val="clear" w:color="auto" w:fill="auto"/>
          </w:tcPr>
          <w:p w14:paraId="14880DA4" w14:textId="274DBA12" w:rsidR="3341BD48" w:rsidRPr="00B85D62" w:rsidRDefault="00B85D62" w:rsidP="0066232B">
            <w:pPr>
              <w:rPr>
                <w:rFonts w:eastAsia="Arial" w:cs="Arial"/>
              </w:rPr>
            </w:pPr>
            <w:r w:rsidRPr="00B85D62">
              <w:rPr>
                <w:rFonts w:eastAsia="Arial" w:cs="Arial"/>
              </w:rPr>
              <w:t xml:space="preserve"> </w:t>
            </w:r>
            <w:r w:rsidR="3341BD48" w:rsidRPr="00B85D62">
              <w:rPr>
                <w:rFonts w:eastAsia="Arial" w:cs="Arial"/>
              </w:rPr>
              <w:t>TIA/Stroke</w:t>
            </w:r>
          </w:p>
        </w:tc>
        <w:tc>
          <w:tcPr>
            <w:tcW w:w="0" w:type="auto"/>
            <w:shd w:val="clear" w:color="auto" w:fill="auto"/>
          </w:tcPr>
          <w:p w14:paraId="133F3EFE" w14:textId="00569F63" w:rsidR="3341BD48" w:rsidRPr="00B85D62" w:rsidRDefault="3341BD48" w:rsidP="0066232B">
            <w:pPr>
              <w:jc w:val="center"/>
              <w:rPr>
                <w:rFonts w:eastAsia="Arial" w:cs="Arial"/>
              </w:rPr>
            </w:pPr>
            <w:r w:rsidRPr="00B85D62">
              <w:rPr>
                <w:rFonts w:eastAsia="Arial" w:cs="Arial"/>
              </w:rPr>
              <w:t>35 (1.6%)</w:t>
            </w:r>
          </w:p>
        </w:tc>
      </w:tr>
      <w:tr w:rsidR="3341BD48" w:rsidRPr="00B85D62" w14:paraId="4C69861C" w14:textId="77777777" w:rsidTr="00B85D62">
        <w:trPr>
          <w:cantSplit/>
        </w:trPr>
        <w:tc>
          <w:tcPr>
            <w:tcW w:w="0" w:type="auto"/>
            <w:shd w:val="clear" w:color="auto" w:fill="auto"/>
          </w:tcPr>
          <w:p w14:paraId="52018212" w14:textId="3E927292" w:rsidR="3341BD48" w:rsidRPr="00B85D62" w:rsidRDefault="00B85D62" w:rsidP="0066232B">
            <w:pPr>
              <w:rPr>
                <w:rFonts w:eastAsia="Arial" w:cs="Arial"/>
              </w:rPr>
            </w:pPr>
            <w:r w:rsidRPr="00B85D62">
              <w:rPr>
                <w:rFonts w:eastAsia="Arial" w:cs="Arial"/>
              </w:rPr>
              <w:t xml:space="preserve"> </w:t>
            </w:r>
            <w:r w:rsidR="3341BD48" w:rsidRPr="00B85D62">
              <w:rPr>
                <w:rFonts w:eastAsia="Arial" w:cs="Arial"/>
              </w:rPr>
              <w:t>CVD death</w:t>
            </w:r>
          </w:p>
        </w:tc>
        <w:tc>
          <w:tcPr>
            <w:tcW w:w="0" w:type="auto"/>
            <w:shd w:val="clear" w:color="auto" w:fill="auto"/>
          </w:tcPr>
          <w:p w14:paraId="6ECC5188" w14:textId="40FFEEA8" w:rsidR="3341BD48" w:rsidRPr="00B85D62" w:rsidRDefault="3341BD48" w:rsidP="0066232B">
            <w:pPr>
              <w:jc w:val="center"/>
              <w:rPr>
                <w:rFonts w:eastAsia="Arial" w:cs="Arial"/>
              </w:rPr>
            </w:pPr>
            <w:r w:rsidRPr="00B85D62">
              <w:rPr>
                <w:rFonts w:eastAsia="Arial" w:cs="Arial"/>
              </w:rPr>
              <w:t>15 (0.7%)</w:t>
            </w:r>
          </w:p>
        </w:tc>
      </w:tr>
    </w:tbl>
    <w:p w14:paraId="7594F366" w14:textId="2CA17A4A" w:rsidR="00B85D62" w:rsidRPr="00B85D62" w:rsidRDefault="0732252A" w:rsidP="0066232B">
      <w:pPr>
        <w:rPr>
          <w:rFonts w:eastAsia="Arial" w:cs="Arial"/>
          <w:color w:val="000000" w:themeColor="text1"/>
        </w:rPr>
      </w:pPr>
      <w:r w:rsidRPr="00B85D62">
        <w:rPr>
          <w:rFonts w:eastAsia="Arial" w:cs="Arial"/>
          <w:color w:val="000000" w:themeColor="text1"/>
        </w:rPr>
        <w:t>^Treated individuals</w:t>
      </w:r>
      <w:r w:rsidR="00B85D62" w:rsidRPr="00B85D62">
        <w:rPr>
          <w:rFonts w:eastAsia="Arial" w:cs="Arial"/>
          <w:color w:val="000000" w:themeColor="text1"/>
        </w:rPr>
        <w:t>’</w:t>
      </w:r>
      <w:r w:rsidRPr="00B85D62">
        <w:rPr>
          <w:rFonts w:eastAsia="Arial" w:cs="Arial"/>
          <w:color w:val="000000" w:themeColor="text1"/>
        </w:rPr>
        <w:t xml:space="preserve"> subset includes the </w:t>
      </w:r>
      <w:r w:rsidR="00B85D62" w:rsidRPr="00B85D62">
        <w:rPr>
          <w:rFonts w:eastAsia="Arial" w:cs="Arial"/>
          <w:color w:val="000000" w:themeColor="text1"/>
        </w:rPr>
        <w:t>‘</w:t>
      </w:r>
      <w:r w:rsidRPr="00B85D62">
        <w:rPr>
          <w:rFonts w:eastAsia="Arial" w:cs="Arial"/>
          <w:color w:val="000000" w:themeColor="text1"/>
        </w:rPr>
        <w:t>newly treated</w:t>
      </w:r>
      <w:r w:rsidR="00B85D62" w:rsidRPr="00B85D62">
        <w:rPr>
          <w:rFonts w:eastAsia="Arial" w:cs="Arial"/>
          <w:color w:val="000000" w:themeColor="text1"/>
        </w:rPr>
        <w:t>’</w:t>
      </w:r>
      <w:r w:rsidRPr="00B85D62">
        <w:rPr>
          <w:rFonts w:eastAsia="Arial" w:cs="Arial"/>
          <w:color w:val="000000" w:themeColor="text1"/>
        </w:rPr>
        <w:t xml:space="preserve"> individuals (N=1291) and the </w:t>
      </w:r>
      <w:r w:rsidR="00B85D62" w:rsidRPr="00B85D62">
        <w:rPr>
          <w:rFonts w:eastAsia="Arial" w:cs="Arial"/>
          <w:color w:val="000000" w:themeColor="text1"/>
        </w:rPr>
        <w:t>‘</w:t>
      </w:r>
      <w:r w:rsidRPr="00B85D62">
        <w:rPr>
          <w:rFonts w:eastAsia="Arial" w:cs="Arial"/>
          <w:color w:val="000000" w:themeColor="text1"/>
        </w:rPr>
        <w:t>treatment retainers</w:t>
      </w:r>
      <w:r w:rsidR="00B85D62" w:rsidRPr="00B85D62">
        <w:rPr>
          <w:rFonts w:eastAsia="Arial" w:cs="Arial"/>
          <w:color w:val="000000" w:themeColor="text1"/>
        </w:rPr>
        <w:t>’</w:t>
      </w:r>
      <w:r w:rsidRPr="00B85D62">
        <w:rPr>
          <w:rFonts w:eastAsia="Arial" w:cs="Arial"/>
          <w:color w:val="000000" w:themeColor="text1"/>
        </w:rPr>
        <w:t xml:space="preserve"> (N=844)</w:t>
      </w:r>
    </w:p>
    <w:p w14:paraId="37A51D77" w14:textId="67EB01D7" w:rsidR="00B85D62" w:rsidRPr="00B85D62" w:rsidRDefault="00B85D62" w:rsidP="00E26BF7">
      <w:pPr>
        <w:pStyle w:val="Caption"/>
        <w:keepNext/>
        <w:rPr>
          <w:b w:val="0"/>
          <w:bCs/>
        </w:rPr>
      </w:pPr>
      <w:bookmarkStart w:id="171" w:name="_Toc79740227"/>
      <w:bookmarkStart w:id="172" w:name="_Toc107157390"/>
      <w:r w:rsidRPr="00B85D62">
        <w:rPr>
          <w:i/>
          <w:color w:val="FF0000"/>
        </w:rPr>
        <w:t>F</w:t>
      </w:r>
      <w:r w:rsidRPr="00B85D62">
        <w:rPr>
          <w:i/>
          <w:color w:val="FF0000"/>
        </w:rPr>
        <w:t>igure</w:t>
      </w:r>
      <w:r w:rsidRPr="00B85D62">
        <w:rPr>
          <w:i/>
          <w:color w:val="FF0000"/>
        </w:rPr>
        <w:t xml:space="preserve"> </w:t>
      </w:r>
      <w:r w:rsidRPr="00B85D62">
        <w:rPr>
          <w:i/>
          <w:noProof/>
          <w:color w:val="FF0000"/>
        </w:rPr>
        <w:t>8</w:t>
      </w:r>
      <w:r w:rsidR="00E26BF7" w:rsidRPr="00B85D62">
        <w:t xml:space="preserve"> </w:t>
      </w:r>
      <w:r w:rsidRPr="00B85D62">
        <w:rPr>
          <w:b w:val="0"/>
          <w:bCs/>
          <w:color w:val="00B0F0"/>
        </w:rPr>
        <w:t>Kaplan–Meier</w:t>
      </w:r>
      <w:r w:rsidR="00E26BF7" w:rsidRPr="00B85D62">
        <w:rPr>
          <w:b w:val="0"/>
          <w:bCs/>
        </w:rPr>
        <w:t xml:space="preserve"> of time to first major CVD event post-FH diagnosis in the CPRD cohort, number of individuals at risk and predicted parametric curves</w:t>
      </w:r>
      <w:bookmarkEnd w:id="171"/>
      <w:bookmarkEnd w:id="172"/>
    </w:p>
    <w:p w14:paraId="58DFED58" w14:textId="4CEB0EA4" w:rsidR="0732252A" w:rsidRPr="00B85D62" w:rsidRDefault="2F06F1AA" w:rsidP="0066232B">
      <w:pPr>
        <w:rPr>
          <w:rFonts w:eastAsia="Arial" w:cs="Arial"/>
          <w:color w:val="000000" w:themeColor="text1"/>
        </w:rPr>
      </w:pPr>
      <w:r w:rsidRPr="00B85D62">
        <w:rPr>
          <w:rFonts w:eastAsia="Arial" w:cs="Arial"/>
          <w:color w:val="000000" w:themeColor="text1"/>
        </w:rPr>
        <w:t xml:space="preserve">An assessment of the suitability of the different survival models fitted was carried out. The Royston-Parmar model with 5 knots was the model that visually provided the best fit and having lowest AIC – </w:t>
      </w:r>
      <w:r w:rsidR="2C817EE3" w:rsidRPr="00B85D62">
        <w:rPr>
          <w:rFonts w:eastAsia="Arial" w:cs="Arial"/>
          <w:color w:val="000000" w:themeColor="text1"/>
        </w:rPr>
        <w:t xml:space="preserve">see </w:t>
      </w:r>
      <w:r w:rsidR="00C526A1" w:rsidRPr="00B85D62">
        <w:rPr>
          <w:rFonts w:eastAsia="Arial" w:cs="Arial"/>
          <w:i/>
          <w:color w:val="000000" w:themeColor="text1"/>
        </w:rPr>
        <w:t>Online Supplementary file 2 (CPRD technical report)</w:t>
      </w:r>
      <w:r w:rsidR="00C526A1" w:rsidRPr="00B85D62">
        <w:rPr>
          <w:rFonts w:eastAsia="Arial" w:cs="Arial"/>
          <w:color w:val="000000" w:themeColor="text1"/>
        </w:rPr>
        <w:t xml:space="preserve"> </w:t>
      </w:r>
      <w:r w:rsidR="2C817EE3" w:rsidRPr="00B85D62">
        <w:rPr>
          <w:rFonts w:eastAsia="Arial" w:cs="Arial"/>
          <w:color w:val="000000" w:themeColor="text1"/>
        </w:rPr>
        <w:t>for further details.</w:t>
      </w:r>
      <w:r w:rsidR="00895586" w:rsidRPr="00B85D62">
        <w:rPr>
          <w:rFonts w:eastAsia="Arial" w:cs="Arial"/>
          <w:color w:val="000000" w:themeColor="text1"/>
        </w:rPr>
        <w:t xml:space="preserve"> </w:t>
      </w:r>
      <w:r w:rsidRPr="00B85D62">
        <w:rPr>
          <w:rFonts w:eastAsia="Arial" w:cs="Arial"/>
          <w:color w:val="000000" w:themeColor="text1"/>
        </w:rPr>
        <w:t xml:space="preserve">Nonetheless, in terms of internal validity and when weighing model complexity and model fit, the generalised gamma model was considered the optimal choice as it provided a good fit during the first 12 years of </w:t>
      </w:r>
      <w:r w:rsidRPr="00B85D62">
        <w:rPr>
          <w:rFonts w:eastAsia="Arial" w:cs="Arial"/>
          <w:color w:val="000000" w:themeColor="text1"/>
          <w:highlight w:val="magenta"/>
        </w:rPr>
        <w:t>data</w:t>
      </w:r>
      <w:r w:rsidRPr="00B85D62">
        <w:rPr>
          <w:rFonts w:eastAsia="Arial" w:cs="Arial"/>
          <w:color w:val="000000" w:themeColor="text1"/>
        </w:rPr>
        <w:t>. The external validity assessment through the Perak</w:t>
      </w:r>
      <w:r w:rsidRPr="00B85D62">
        <w:rPr>
          <w:rFonts w:eastAsia="Arial" w:cs="Arial"/>
          <w:i/>
          <w:color w:val="00B0F0"/>
        </w:rPr>
        <w:t xml:space="preserve"> et al</w:t>
      </w:r>
      <w:r w:rsidR="00C35B5E" w:rsidRPr="00B85D62">
        <w:rPr>
          <w:rFonts w:eastAsia="Arial" w:cs="Arial"/>
          <w:noProof/>
          <w:color w:val="000000" w:themeColor="text1"/>
          <w:shd w:val="clear" w:color="auto" w:fill="E6E6E6"/>
          <w:vertAlign w:val="superscript"/>
        </w:rPr>
        <w:t>105</w:t>
      </w:r>
      <w:r w:rsidRPr="00B85D62">
        <w:rPr>
          <w:rFonts w:eastAsia="Arial" w:cs="Arial"/>
          <w:color w:val="000000" w:themeColor="text1"/>
        </w:rPr>
        <w:t xml:space="preserve"> </w:t>
      </w:r>
      <w:r w:rsidRPr="00B85D62">
        <w:rPr>
          <w:rFonts w:eastAsia="Arial" w:cs="Arial"/>
          <w:color w:val="000000" w:themeColor="text1"/>
          <w:highlight w:val="magenta"/>
        </w:rPr>
        <w:t>data</w:t>
      </w:r>
      <w:r w:rsidRPr="00B85D62">
        <w:rPr>
          <w:rFonts w:eastAsia="Arial" w:cs="Arial"/>
          <w:color w:val="000000" w:themeColor="text1"/>
        </w:rPr>
        <w:t xml:space="preserve"> indicated that none of the models fitted particularly well. The external </w:t>
      </w:r>
      <w:r w:rsidRPr="00B85D62">
        <w:rPr>
          <w:rFonts w:eastAsia="Arial" w:cs="Arial"/>
          <w:color w:val="000000" w:themeColor="text1"/>
          <w:highlight w:val="magenta"/>
        </w:rPr>
        <w:t>data</w:t>
      </w:r>
      <w:r w:rsidRPr="00B85D62">
        <w:rPr>
          <w:rFonts w:eastAsia="Arial" w:cs="Arial"/>
          <w:color w:val="000000" w:themeColor="text1"/>
        </w:rPr>
        <w:t xml:space="preserve"> suggested an increasing hazard over time, and this was the case for all age groups. The available models either estimated decreasing hazards over time or in the case of the exponential model a stable hazard over time</w:t>
      </w:r>
      <w:r w:rsidR="00B85D62" w:rsidRPr="00B85D62">
        <w:rPr>
          <w:rFonts w:eastAsia="Arial" w:cs="Arial"/>
          <w:color w:val="00B0F0"/>
        </w:rPr>
        <w:t xml:space="preserve"> – </w:t>
      </w:r>
      <w:r w:rsidR="58505216" w:rsidRPr="00B85D62">
        <w:rPr>
          <w:rFonts w:eastAsia="Arial" w:cs="Arial"/>
          <w:color w:val="000000" w:themeColor="text1"/>
        </w:rPr>
        <w:t xml:space="preserve">see </w:t>
      </w:r>
      <w:r w:rsidR="00C526A1" w:rsidRPr="00B85D62">
        <w:rPr>
          <w:rFonts w:eastAsia="Arial" w:cs="Arial"/>
          <w:i/>
          <w:color w:val="000000" w:themeColor="text1"/>
        </w:rPr>
        <w:t>Online Supplementary file 2 (CPRD technical report)</w:t>
      </w:r>
      <w:r w:rsidR="00C526A1" w:rsidRPr="00B85D62">
        <w:rPr>
          <w:rFonts w:eastAsia="Arial" w:cs="Arial"/>
          <w:color w:val="000000" w:themeColor="text1"/>
        </w:rPr>
        <w:t xml:space="preserve"> </w:t>
      </w:r>
      <w:r w:rsidR="58505216" w:rsidRPr="00B85D62">
        <w:rPr>
          <w:rFonts w:eastAsia="Arial" w:cs="Arial"/>
          <w:color w:val="000000" w:themeColor="text1"/>
        </w:rPr>
        <w:t>for further details</w:t>
      </w:r>
      <w:r w:rsidRPr="00B85D62">
        <w:rPr>
          <w:rFonts w:eastAsia="Arial" w:cs="Arial"/>
          <w:color w:val="000000" w:themeColor="text1"/>
        </w:rPr>
        <w:t>. We therefore included the exponential model as a sensitivity analysis. We return to the appropriateness of the models for long-term extrapolation in the discussion.</w:t>
      </w:r>
    </w:p>
    <w:p w14:paraId="7C4A245C" w14:textId="2D89B646" w:rsidR="0732252A" w:rsidRPr="00B85D62" w:rsidRDefault="2F06F1AA" w:rsidP="0066232B">
      <w:pPr>
        <w:rPr>
          <w:rFonts w:eastAsia="Arial" w:cs="Arial"/>
          <w:color w:val="000000" w:themeColor="text1"/>
        </w:rPr>
      </w:pPr>
      <w:r w:rsidRPr="00B85D62">
        <w:rPr>
          <w:rFonts w:eastAsia="Arial" w:cs="Arial"/>
          <w:color w:val="000000" w:themeColor="text1"/>
        </w:rPr>
        <w:t>The exponential and generalised gamma model</w:t>
      </w:r>
      <w:r w:rsidR="00B85D62" w:rsidRPr="00B85D62">
        <w:rPr>
          <w:rFonts w:eastAsia="Arial" w:cs="Arial"/>
          <w:color w:val="000000" w:themeColor="text1"/>
        </w:rPr>
        <w:t>’</w:t>
      </w:r>
      <w:r w:rsidRPr="00B85D62">
        <w:rPr>
          <w:rFonts w:eastAsia="Arial" w:cs="Arial"/>
          <w:color w:val="000000" w:themeColor="text1"/>
        </w:rPr>
        <w:t xml:space="preserve"> parameters, pooled using Rubin</w:t>
      </w:r>
      <w:r w:rsidR="00B85D62" w:rsidRPr="00B85D62">
        <w:rPr>
          <w:rFonts w:eastAsia="Arial" w:cs="Arial"/>
          <w:color w:val="000000" w:themeColor="text1"/>
        </w:rPr>
        <w:t>’</w:t>
      </w:r>
      <w:r w:rsidRPr="00B85D62">
        <w:rPr>
          <w:rFonts w:eastAsia="Arial" w:cs="Arial"/>
          <w:color w:val="000000" w:themeColor="text1"/>
        </w:rPr>
        <w:t xml:space="preserve">s rules for multiple imputed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color w:val="000000" w:themeColor="text1"/>
        </w:rPr>
        <w:t>s, are provided in</w:t>
      </w:r>
      <w:r w:rsidR="006C2338" w:rsidRPr="00B85D62">
        <w:rPr>
          <w:rFonts w:eastAsia="Arial" w:cs="Arial"/>
          <w:color w:val="000000" w:themeColor="text1"/>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9</w:t>
      </w:r>
      <w:r w:rsidRPr="00B85D62">
        <w:rPr>
          <w:rFonts w:eastAsia="Arial" w:cs="Arial"/>
          <w:color w:val="000000" w:themeColor="text1"/>
        </w:rPr>
        <w:t>. Both models provided similar results. Being older, male, having a history of CVD and higher LDL-C are all factors associated with increased risk of first major CVD events. We highlight that, although younger than females (mean age: 57.4 years), male FH treated individuals (mean age: 64.0 years) are, on average, at 2</w:t>
      </w:r>
      <w:r w:rsidR="00B85D62" w:rsidRPr="00B85D62">
        <w:rPr>
          <w:rFonts w:eastAsia="Arial" w:cs="Arial"/>
          <w:color w:val="00B0F0"/>
        </w:rPr>
        <w:t>–</w:t>
      </w:r>
      <w:r w:rsidR="00B85D62" w:rsidRPr="00B85D62">
        <w:rPr>
          <w:rFonts w:eastAsia="Arial" w:cs="Arial"/>
          <w:color w:val="00B0F0"/>
        </w:rPr>
        <w:t>3</w:t>
      </w:r>
      <w:r w:rsidRPr="00B85D62">
        <w:rPr>
          <w:rFonts w:eastAsia="Arial" w:cs="Arial"/>
          <w:color w:val="000000" w:themeColor="text1"/>
        </w:rPr>
        <w:t xml:space="preserve"> times higher risk of having a first CVD event than females. Similarly, FH patients with a history of CVD are, on average, at 4</w:t>
      </w:r>
      <w:r w:rsidR="00B85D62" w:rsidRPr="00B85D62">
        <w:rPr>
          <w:rFonts w:eastAsia="Arial" w:cs="Arial"/>
          <w:color w:val="00B0F0"/>
        </w:rPr>
        <w:t>–</w:t>
      </w:r>
      <w:r w:rsidR="00B85D62" w:rsidRPr="00B85D62">
        <w:rPr>
          <w:rFonts w:eastAsia="Arial" w:cs="Arial"/>
          <w:color w:val="00B0F0"/>
        </w:rPr>
        <w:t>1</w:t>
      </w:r>
      <w:r w:rsidRPr="00B85D62">
        <w:rPr>
          <w:rFonts w:eastAsia="Arial" w:cs="Arial"/>
          <w:color w:val="000000" w:themeColor="text1"/>
        </w:rPr>
        <w:t xml:space="preserve">3 times higher risk of having a first major CVD event </w:t>
      </w:r>
      <w:r w:rsidRPr="00B85D62">
        <w:rPr>
          <w:rFonts w:eastAsia="Arial" w:cs="Arial"/>
          <w:color w:val="000000" w:themeColor="text1"/>
          <w:highlight w:val="magenta"/>
        </w:rPr>
        <w:t>compared to</w:t>
      </w:r>
      <w:r w:rsidRPr="00B85D62">
        <w:rPr>
          <w:rFonts w:eastAsia="Arial" w:cs="Arial"/>
          <w:color w:val="000000" w:themeColor="text1"/>
        </w:rPr>
        <w:t xml:space="preserve"> individuals with no history of CVD. The heterogeneity in event risk is evident when these risk factors are combined. The average event risk for the generalised gamma model at 5 and 10 years is 0.07 (95%CI: 0.05 to 0.10) and 0.11 (95%CI: 0.07 to 0.16), respectively. As an example, for a 28-year-old female, with a baseline LDL-C of 5.5 mmol/L and no history of CVD, the predicted event risk at 5 and 10 years is 0.01 (95%CI: 0.01 to 0.02) and 0.02 (95%CI: 0.01 to 0.03), respectively, while for a male is 0.02 (95%CI: 0.01 to 0.04) and 0.04 (95%CI: 0.03 to 0.07). For a 49-year-old female, with a baseline LDL-C of 5.5 mmol/L and history of CVD, the predicted event risk at 5 and 10 years is 0.16 (95%CI: 0.09 to 0.28) and 0.24 (95%CI: 0.14 to 0.39), respectively, and for males 0.33 (95%CI: 0.19 to 0.49) and 0.48 (95%CI: 0.30 to 0.71).</w:t>
      </w:r>
    </w:p>
    <w:p w14:paraId="1EE5096E" w14:textId="4D2B49AD" w:rsidR="006C2338" w:rsidRPr="00B85D62" w:rsidRDefault="00B85D62" w:rsidP="006C2338">
      <w:pPr>
        <w:pStyle w:val="Caption"/>
        <w:keepNext/>
        <w:rPr>
          <w:rFonts w:cs="Arial"/>
        </w:rPr>
      </w:pPr>
      <w:bookmarkStart w:id="173" w:name="_Toc79740204"/>
      <w:bookmarkStart w:id="174" w:name="_Toc107157363"/>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9</w:t>
      </w:r>
      <w:r w:rsidR="006C2338" w:rsidRPr="00B85D62">
        <w:rPr>
          <w:rFonts w:cs="Arial"/>
        </w:rPr>
        <w:t xml:space="preserve"> Risk factors for </w:t>
      </w:r>
      <w:r w:rsidRPr="00B85D62">
        <w:rPr>
          <w:rFonts w:cs="Arial"/>
          <w:color w:val="00B0F0"/>
        </w:rPr>
        <w:t>1st</w:t>
      </w:r>
      <w:r w:rsidR="006C2338" w:rsidRPr="00B85D62">
        <w:rPr>
          <w:rFonts w:cs="Arial"/>
        </w:rPr>
        <w:t xml:space="preserve"> major CVD event for the CPRD cohort for the Exponential and the Generalised Gamma survival models.</w:t>
      </w:r>
      <w:bookmarkEnd w:id="173"/>
      <w:bookmarkEnd w:id="17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775"/>
        <w:gridCol w:w="519"/>
        <w:gridCol w:w="1126"/>
        <w:gridCol w:w="820"/>
        <w:gridCol w:w="126"/>
        <w:gridCol w:w="719"/>
        <w:gridCol w:w="1537"/>
        <w:gridCol w:w="936"/>
      </w:tblGrid>
      <w:tr w:rsidR="3341BD48" w:rsidRPr="00B85D62" w14:paraId="7C0DA6F4" w14:textId="77777777" w:rsidTr="00B85D62">
        <w:trPr>
          <w:cantSplit/>
        </w:trPr>
        <w:tc>
          <w:tcPr>
            <w:tcW w:w="0" w:type="auto"/>
            <w:vMerge w:val="restart"/>
            <w:shd w:val="clear" w:color="auto" w:fill="auto"/>
            <w:vAlign w:val="center"/>
          </w:tcPr>
          <w:p w14:paraId="1253B76D" w14:textId="078E2904" w:rsidR="3341BD48" w:rsidRPr="00B85D62" w:rsidRDefault="3341BD48" w:rsidP="0066232B">
            <w:pPr>
              <w:rPr>
                <w:rFonts w:eastAsia="Arial" w:cs="Arial"/>
              </w:rPr>
            </w:pPr>
            <w:r w:rsidRPr="00B85D62">
              <w:rPr>
                <w:rFonts w:eastAsia="Arial" w:cs="Arial"/>
                <w:b/>
                <w:bCs/>
              </w:rPr>
              <w:t>CPRD</w:t>
            </w:r>
          </w:p>
          <w:p w14:paraId="43F60F35" w14:textId="0268300B" w:rsidR="3341BD48" w:rsidRPr="00B85D62" w:rsidRDefault="3341BD48" w:rsidP="0066232B">
            <w:pPr>
              <w:rPr>
                <w:rFonts w:eastAsia="Arial" w:cs="Arial"/>
              </w:rPr>
            </w:pPr>
            <w:r w:rsidRPr="00B85D62">
              <w:rPr>
                <w:rFonts w:eastAsia="Arial" w:cs="Arial"/>
                <w:b/>
                <w:bCs/>
              </w:rPr>
              <w:t>N=2135, events=141</w:t>
            </w:r>
          </w:p>
        </w:tc>
        <w:tc>
          <w:tcPr>
            <w:tcW w:w="0" w:type="auto"/>
            <w:gridSpan w:val="3"/>
            <w:shd w:val="clear" w:color="auto" w:fill="auto"/>
          </w:tcPr>
          <w:p w14:paraId="0A058CA3" w14:textId="7E901A33" w:rsidR="3341BD48" w:rsidRPr="00B85D62" w:rsidRDefault="3341BD48" w:rsidP="0066232B">
            <w:pPr>
              <w:rPr>
                <w:rFonts w:eastAsia="Arial" w:cs="Arial"/>
              </w:rPr>
            </w:pPr>
            <w:r w:rsidRPr="00B85D62">
              <w:rPr>
                <w:rFonts w:eastAsia="Arial" w:cs="Arial"/>
                <w:b/>
                <w:bCs/>
              </w:rPr>
              <w:t>Exponential survival model</w:t>
            </w:r>
          </w:p>
        </w:tc>
        <w:tc>
          <w:tcPr>
            <w:tcW w:w="0" w:type="auto"/>
            <w:vMerge w:val="restart"/>
            <w:shd w:val="clear" w:color="auto" w:fill="auto"/>
          </w:tcPr>
          <w:p w14:paraId="08A0ABA7" w14:textId="687894A1" w:rsidR="3341BD48" w:rsidRPr="00B85D62" w:rsidRDefault="3341BD48" w:rsidP="0066232B">
            <w:pPr>
              <w:rPr>
                <w:rFonts w:eastAsia="Arial" w:cs="Arial"/>
              </w:rPr>
            </w:pPr>
          </w:p>
        </w:tc>
        <w:tc>
          <w:tcPr>
            <w:tcW w:w="0" w:type="auto"/>
            <w:gridSpan w:val="3"/>
            <w:shd w:val="clear" w:color="auto" w:fill="auto"/>
          </w:tcPr>
          <w:p w14:paraId="7CC6446E" w14:textId="70204007" w:rsidR="3341BD48" w:rsidRPr="00B85D62" w:rsidRDefault="3341BD48" w:rsidP="0066232B">
            <w:pPr>
              <w:rPr>
                <w:rFonts w:eastAsia="Arial" w:cs="Arial"/>
              </w:rPr>
            </w:pPr>
            <w:r w:rsidRPr="00B85D62">
              <w:rPr>
                <w:rFonts w:eastAsia="Arial" w:cs="Arial"/>
                <w:b/>
                <w:bCs/>
              </w:rPr>
              <w:t>Generalised Gamma survival model</w:t>
            </w:r>
          </w:p>
        </w:tc>
      </w:tr>
      <w:tr w:rsidR="005C074D" w:rsidRPr="00B85D62" w14:paraId="1118F056" w14:textId="77777777" w:rsidTr="00B85D62">
        <w:trPr>
          <w:cantSplit/>
        </w:trPr>
        <w:tc>
          <w:tcPr>
            <w:tcW w:w="0" w:type="auto"/>
            <w:vMerge/>
            <w:shd w:val="clear" w:color="auto" w:fill="auto"/>
            <w:vAlign w:val="center"/>
          </w:tcPr>
          <w:p w14:paraId="2F709954" w14:textId="77777777" w:rsidR="003F1F7A" w:rsidRPr="00B85D62" w:rsidRDefault="003F1F7A" w:rsidP="0066232B">
            <w:pPr>
              <w:rPr>
                <w:rFonts w:cs="Arial"/>
              </w:rPr>
            </w:pPr>
          </w:p>
        </w:tc>
        <w:tc>
          <w:tcPr>
            <w:tcW w:w="0" w:type="auto"/>
            <w:shd w:val="clear" w:color="auto" w:fill="auto"/>
          </w:tcPr>
          <w:p w14:paraId="1795C3B3" w14:textId="0C5E90BD" w:rsidR="3341BD48" w:rsidRPr="00B85D62" w:rsidRDefault="3341BD48" w:rsidP="0066232B">
            <w:pPr>
              <w:rPr>
                <w:rFonts w:eastAsia="Arial" w:cs="Arial"/>
              </w:rPr>
            </w:pPr>
            <w:r w:rsidRPr="00B85D62">
              <w:rPr>
                <w:rFonts w:eastAsia="Arial" w:cs="Arial"/>
                <w:b/>
                <w:bCs/>
              </w:rPr>
              <w:t>HR</w:t>
            </w:r>
          </w:p>
        </w:tc>
        <w:tc>
          <w:tcPr>
            <w:tcW w:w="0" w:type="auto"/>
            <w:shd w:val="clear" w:color="auto" w:fill="auto"/>
          </w:tcPr>
          <w:p w14:paraId="15B48240" w14:textId="059E17C2" w:rsidR="3341BD48" w:rsidRPr="00B85D62" w:rsidRDefault="3341BD48" w:rsidP="0066232B">
            <w:pPr>
              <w:rPr>
                <w:rFonts w:eastAsia="Arial" w:cs="Arial"/>
              </w:rPr>
            </w:pPr>
            <w:r w:rsidRPr="00B85D62">
              <w:rPr>
                <w:rFonts w:eastAsia="Arial" w:cs="Arial"/>
                <w:b/>
                <w:bCs/>
              </w:rPr>
              <w:t>95% CI</w:t>
            </w:r>
          </w:p>
        </w:tc>
        <w:tc>
          <w:tcPr>
            <w:tcW w:w="0" w:type="auto"/>
            <w:shd w:val="clear" w:color="auto" w:fill="auto"/>
          </w:tcPr>
          <w:p w14:paraId="0F5A0E4D" w14:textId="391A6041" w:rsidR="3341BD48" w:rsidRPr="00B85D62" w:rsidRDefault="3341BD48" w:rsidP="0066232B">
            <w:pPr>
              <w:jc w:val="right"/>
              <w:rPr>
                <w:rFonts w:eastAsia="Arial" w:cs="Arial"/>
              </w:rPr>
            </w:pPr>
            <w:r w:rsidRPr="00B85D62">
              <w:rPr>
                <w:rFonts w:eastAsia="Arial" w:cs="Arial"/>
                <w:b/>
                <w:bCs/>
                <w:i/>
                <w:iCs/>
              </w:rPr>
              <w:t>p</w:t>
            </w:r>
            <w:r w:rsidRPr="00B85D62">
              <w:rPr>
                <w:rFonts w:eastAsia="Arial" w:cs="Arial"/>
                <w:b/>
                <w:bCs/>
              </w:rPr>
              <w:t>-value</w:t>
            </w:r>
          </w:p>
        </w:tc>
        <w:tc>
          <w:tcPr>
            <w:tcW w:w="0" w:type="auto"/>
            <w:vMerge/>
            <w:shd w:val="clear" w:color="auto" w:fill="auto"/>
            <w:vAlign w:val="center"/>
          </w:tcPr>
          <w:p w14:paraId="7860271C" w14:textId="77777777" w:rsidR="003F1F7A" w:rsidRPr="00B85D62" w:rsidRDefault="003F1F7A" w:rsidP="0066232B">
            <w:pPr>
              <w:rPr>
                <w:rFonts w:cs="Arial"/>
              </w:rPr>
            </w:pPr>
          </w:p>
        </w:tc>
        <w:tc>
          <w:tcPr>
            <w:tcW w:w="0" w:type="auto"/>
            <w:shd w:val="clear" w:color="auto" w:fill="auto"/>
          </w:tcPr>
          <w:p w14:paraId="04B4A664" w14:textId="7A74B59A" w:rsidR="3341BD48" w:rsidRPr="00B85D62" w:rsidRDefault="3341BD48" w:rsidP="0066232B">
            <w:pPr>
              <w:rPr>
                <w:rFonts w:eastAsia="Arial" w:cs="Arial"/>
              </w:rPr>
            </w:pPr>
            <w:r w:rsidRPr="00B85D62">
              <w:rPr>
                <w:rFonts w:eastAsia="Arial" w:cs="Arial"/>
                <w:b/>
                <w:bCs/>
              </w:rPr>
              <w:t>HR</w:t>
            </w:r>
          </w:p>
        </w:tc>
        <w:tc>
          <w:tcPr>
            <w:tcW w:w="0" w:type="auto"/>
            <w:shd w:val="clear" w:color="auto" w:fill="auto"/>
          </w:tcPr>
          <w:p w14:paraId="21038B11" w14:textId="3FD1E705" w:rsidR="3341BD48" w:rsidRPr="00B85D62" w:rsidRDefault="3341BD48" w:rsidP="0066232B">
            <w:pPr>
              <w:rPr>
                <w:rFonts w:eastAsia="Arial" w:cs="Arial"/>
              </w:rPr>
            </w:pPr>
            <w:r w:rsidRPr="00B85D62">
              <w:rPr>
                <w:rFonts w:eastAsia="Arial" w:cs="Arial"/>
                <w:b/>
                <w:bCs/>
              </w:rPr>
              <w:t>95% CI</w:t>
            </w:r>
          </w:p>
        </w:tc>
        <w:tc>
          <w:tcPr>
            <w:tcW w:w="0" w:type="auto"/>
            <w:shd w:val="clear" w:color="auto" w:fill="auto"/>
          </w:tcPr>
          <w:p w14:paraId="07192DE9" w14:textId="542B293A" w:rsidR="3341BD48" w:rsidRPr="00B85D62" w:rsidRDefault="3341BD48" w:rsidP="0066232B">
            <w:pPr>
              <w:jc w:val="right"/>
              <w:rPr>
                <w:rFonts w:eastAsia="Arial" w:cs="Arial"/>
              </w:rPr>
            </w:pPr>
            <w:r w:rsidRPr="00B85D62">
              <w:rPr>
                <w:rFonts w:eastAsia="Arial" w:cs="Arial"/>
                <w:b/>
                <w:bCs/>
                <w:i/>
                <w:iCs/>
              </w:rPr>
              <w:t>p</w:t>
            </w:r>
            <w:r w:rsidRPr="00B85D62">
              <w:rPr>
                <w:rFonts w:eastAsia="Arial" w:cs="Arial"/>
                <w:b/>
                <w:bCs/>
              </w:rPr>
              <w:t>-value</w:t>
            </w:r>
          </w:p>
        </w:tc>
      </w:tr>
      <w:tr w:rsidR="3341BD48" w:rsidRPr="00B85D62" w14:paraId="48C6DED3" w14:textId="77777777" w:rsidTr="00B85D62">
        <w:trPr>
          <w:cantSplit/>
        </w:trPr>
        <w:tc>
          <w:tcPr>
            <w:tcW w:w="0" w:type="auto"/>
            <w:shd w:val="clear" w:color="auto" w:fill="auto"/>
          </w:tcPr>
          <w:p w14:paraId="7B9FEAEB" w14:textId="6EB4C51C" w:rsidR="3341BD48" w:rsidRPr="00B85D62" w:rsidRDefault="3341BD48" w:rsidP="0066232B">
            <w:pPr>
              <w:rPr>
                <w:rFonts w:eastAsia="Arial" w:cs="Arial"/>
              </w:rPr>
            </w:pPr>
            <w:r w:rsidRPr="00B85D62">
              <w:rPr>
                <w:rFonts w:eastAsia="Arial" w:cs="Arial"/>
              </w:rPr>
              <w:t>Age at baseline (years)</w:t>
            </w:r>
          </w:p>
        </w:tc>
        <w:tc>
          <w:tcPr>
            <w:tcW w:w="0" w:type="auto"/>
            <w:shd w:val="clear" w:color="auto" w:fill="auto"/>
            <w:vAlign w:val="center"/>
          </w:tcPr>
          <w:p w14:paraId="5369CCE6" w14:textId="33392F60" w:rsidR="3341BD48" w:rsidRPr="00B85D62" w:rsidRDefault="3341BD48" w:rsidP="0066232B">
            <w:pPr>
              <w:rPr>
                <w:rFonts w:eastAsia="Arial" w:cs="Arial"/>
              </w:rPr>
            </w:pPr>
            <w:r w:rsidRPr="00B85D62">
              <w:rPr>
                <w:rFonts w:eastAsia="Arial" w:cs="Arial"/>
              </w:rPr>
              <w:t>1.05</w:t>
            </w:r>
          </w:p>
        </w:tc>
        <w:tc>
          <w:tcPr>
            <w:tcW w:w="0" w:type="auto"/>
            <w:shd w:val="clear" w:color="auto" w:fill="auto"/>
            <w:vAlign w:val="center"/>
          </w:tcPr>
          <w:p w14:paraId="12C362E0" w14:textId="04E7370F" w:rsidR="3341BD48" w:rsidRPr="00B85D62" w:rsidRDefault="3341BD48" w:rsidP="0066232B">
            <w:pPr>
              <w:rPr>
                <w:rFonts w:eastAsia="Arial" w:cs="Arial"/>
              </w:rPr>
            </w:pPr>
            <w:r w:rsidRPr="00B85D62">
              <w:rPr>
                <w:rFonts w:eastAsia="Arial" w:cs="Arial"/>
              </w:rPr>
              <w:t>1.04—1.07</w:t>
            </w:r>
          </w:p>
        </w:tc>
        <w:tc>
          <w:tcPr>
            <w:tcW w:w="0" w:type="auto"/>
            <w:shd w:val="clear" w:color="auto" w:fill="auto"/>
            <w:vAlign w:val="center"/>
          </w:tcPr>
          <w:p w14:paraId="31992D2C" w14:textId="4979EBB8" w:rsidR="3341BD48" w:rsidRPr="00B85D62" w:rsidRDefault="00B85D62" w:rsidP="0066232B">
            <w:pPr>
              <w:jc w:val="right"/>
              <w:rPr>
                <w:rFonts w:eastAsia="Arial" w:cs="Arial"/>
              </w:rPr>
            </w:pPr>
            <w:r w:rsidRPr="00B85D62">
              <w:rPr>
                <w:rFonts w:eastAsia="Arial" w:cs="Arial"/>
                <w:color w:val="00B0F0"/>
              </w:rPr>
              <w:t>&lt;</w:t>
            </w:r>
            <w:r w:rsidRPr="00B85D62">
              <w:rPr>
                <w:rFonts w:eastAsia="Arial" w:cs="Arial"/>
                <w:color w:val="00B0F0"/>
              </w:rPr>
              <w:t> </w:t>
            </w:r>
            <w:r w:rsidRPr="00B85D62">
              <w:rPr>
                <w:rFonts w:eastAsia="Arial" w:cs="Arial"/>
                <w:color w:val="00B0F0"/>
              </w:rPr>
              <w:t>0</w:t>
            </w:r>
            <w:r w:rsidR="3341BD48" w:rsidRPr="00B85D62">
              <w:rPr>
                <w:rFonts w:eastAsia="Arial" w:cs="Arial"/>
              </w:rPr>
              <w:t>.001</w:t>
            </w:r>
          </w:p>
        </w:tc>
        <w:tc>
          <w:tcPr>
            <w:tcW w:w="0" w:type="auto"/>
            <w:vMerge/>
            <w:shd w:val="clear" w:color="auto" w:fill="auto"/>
            <w:vAlign w:val="center"/>
          </w:tcPr>
          <w:p w14:paraId="759F10A1" w14:textId="77777777" w:rsidR="003F1F7A" w:rsidRPr="00B85D62" w:rsidRDefault="003F1F7A" w:rsidP="0066232B">
            <w:pPr>
              <w:rPr>
                <w:rFonts w:cs="Arial"/>
              </w:rPr>
            </w:pPr>
          </w:p>
        </w:tc>
        <w:tc>
          <w:tcPr>
            <w:tcW w:w="0" w:type="auto"/>
            <w:shd w:val="clear" w:color="auto" w:fill="auto"/>
            <w:vAlign w:val="center"/>
          </w:tcPr>
          <w:p w14:paraId="32F938ED" w14:textId="3CBC5C14" w:rsidR="3341BD48" w:rsidRPr="00B85D62" w:rsidRDefault="3341BD48" w:rsidP="0066232B">
            <w:pPr>
              <w:rPr>
                <w:rFonts w:eastAsia="Arial" w:cs="Arial"/>
              </w:rPr>
            </w:pPr>
            <w:r w:rsidRPr="00B85D62">
              <w:rPr>
                <w:rFonts w:eastAsia="Arial" w:cs="Arial"/>
              </w:rPr>
              <w:t>1.08</w:t>
            </w:r>
          </w:p>
        </w:tc>
        <w:tc>
          <w:tcPr>
            <w:tcW w:w="0" w:type="auto"/>
            <w:shd w:val="clear" w:color="auto" w:fill="auto"/>
            <w:vAlign w:val="center"/>
          </w:tcPr>
          <w:p w14:paraId="5178229E" w14:textId="0E3FA97F" w:rsidR="3341BD48" w:rsidRPr="00B85D62" w:rsidRDefault="3341BD48" w:rsidP="0066232B">
            <w:pPr>
              <w:rPr>
                <w:rFonts w:eastAsia="Arial" w:cs="Arial"/>
              </w:rPr>
            </w:pPr>
            <w:r w:rsidRPr="00B85D62">
              <w:rPr>
                <w:rFonts w:eastAsia="Arial" w:cs="Arial"/>
              </w:rPr>
              <w:t>1.05—1.10</w:t>
            </w:r>
          </w:p>
        </w:tc>
        <w:tc>
          <w:tcPr>
            <w:tcW w:w="0" w:type="auto"/>
            <w:shd w:val="clear" w:color="auto" w:fill="auto"/>
            <w:vAlign w:val="center"/>
          </w:tcPr>
          <w:p w14:paraId="422AADFB" w14:textId="7683FE0D" w:rsidR="3341BD48" w:rsidRPr="00B85D62" w:rsidRDefault="00B85D62" w:rsidP="0066232B">
            <w:pPr>
              <w:jc w:val="right"/>
              <w:rPr>
                <w:rFonts w:eastAsia="Arial" w:cs="Arial"/>
              </w:rPr>
            </w:pPr>
            <w:r w:rsidRPr="00B85D62">
              <w:rPr>
                <w:rFonts w:eastAsia="Arial" w:cs="Arial"/>
                <w:color w:val="00B0F0"/>
              </w:rPr>
              <w:t>&lt;</w:t>
            </w:r>
            <w:r w:rsidRPr="00B85D62">
              <w:rPr>
                <w:rFonts w:eastAsia="Arial" w:cs="Arial"/>
                <w:color w:val="00B0F0"/>
              </w:rPr>
              <w:t> </w:t>
            </w:r>
            <w:r w:rsidRPr="00B85D62">
              <w:rPr>
                <w:rFonts w:eastAsia="Arial" w:cs="Arial"/>
                <w:color w:val="00B0F0"/>
              </w:rPr>
              <w:t>0</w:t>
            </w:r>
            <w:r w:rsidR="3341BD48" w:rsidRPr="00B85D62">
              <w:rPr>
                <w:rFonts w:eastAsia="Arial" w:cs="Arial"/>
              </w:rPr>
              <w:t>.001</w:t>
            </w:r>
          </w:p>
        </w:tc>
      </w:tr>
      <w:tr w:rsidR="3341BD48" w:rsidRPr="00B85D62" w14:paraId="77B89BC4" w14:textId="77777777" w:rsidTr="00B85D62">
        <w:trPr>
          <w:cantSplit/>
        </w:trPr>
        <w:tc>
          <w:tcPr>
            <w:tcW w:w="0" w:type="auto"/>
            <w:shd w:val="clear" w:color="auto" w:fill="auto"/>
          </w:tcPr>
          <w:p w14:paraId="1CB240A7" w14:textId="7EA06FF7" w:rsidR="3341BD48" w:rsidRPr="00B85D62" w:rsidRDefault="3341BD48" w:rsidP="0066232B">
            <w:pPr>
              <w:rPr>
                <w:rFonts w:eastAsia="Arial" w:cs="Arial"/>
              </w:rPr>
            </w:pPr>
            <w:r w:rsidRPr="00B85D62">
              <w:rPr>
                <w:rFonts w:eastAsia="Arial" w:cs="Arial"/>
              </w:rPr>
              <w:t>Gender (male)</w:t>
            </w:r>
          </w:p>
        </w:tc>
        <w:tc>
          <w:tcPr>
            <w:tcW w:w="0" w:type="auto"/>
            <w:shd w:val="clear" w:color="auto" w:fill="auto"/>
            <w:vAlign w:val="center"/>
          </w:tcPr>
          <w:p w14:paraId="315A7E56" w14:textId="6E6B5175" w:rsidR="3341BD48" w:rsidRPr="00B85D62" w:rsidRDefault="3341BD48" w:rsidP="0066232B">
            <w:pPr>
              <w:rPr>
                <w:rFonts w:eastAsia="Arial" w:cs="Arial"/>
              </w:rPr>
            </w:pPr>
            <w:r w:rsidRPr="00B85D62">
              <w:rPr>
                <w:rFonts w:eastAsia="Arial" w:cs="Arial"/>
              </w:rPr>
              <w:t>2.19</w:t>
            </w:r>
          </w:p>
        </w:tc>
        <w:tc>
          <w:tcPr>
            <w:tcW w:w="0" w:type="auto"/>
            <w:shd w:val="clear" w:color="auto" w:fill="auto"/>
            <w:vAlign w:val="center"/>
          </w:tcPr>
          <w:p w14:paraId="2BAC3FDD" w14:textId="75B366D8" w:rsidR="3341BD48" w:rsidRPr="00B85D62" w:rsidRDefault="3341BD48" w:rsidP="0066232B">
            <w:pPr>
              <w:rPr>
                <w:rFonts w:eastAsia="Arial" w:cs="Arial"/>
              </w:rPr>
            </w:pPr>
            <w:r w:rsidRPr="00B85D62">
              <w:rPr>
                <w:rFonts w:eastAsia="Arial" w:cs="Arial"/>
              </w:rPr>
              <w:t>1.53—3.14</w:t>
            </w:r>
          </w:p>
        </w:tc>
        <w:tc>
          <w:tcPr>
            <w:tcW w:w="0" w:type="auto"/>
            <w:shd w:val="clear" w:color="auto" w:fill="auto"/>
            <w:vAlign w:val="center"/>
          </w:tcPr>
          <w:p w14:paraId="643CE5E2" w14:textId="3FFFFA4E" w:rsidR="3341BD48" w:rsidRPr="00B85D62" w:rsidRDefault="00B85D62" w:rsidP="0066232B">
            <w:pPr>
              <w:jc w:val="right"/>
              <w:rPr>
                <w:rFonts w:eastAsia="Arial" w:cs="Arial"/>
              </w:rPr>
            </w:pPr>
            <w:r w:rsidRPr="00B85D62">
              <w:rPr>
                <w:rFonts w:eastAsia="Arial" w:cs="Arial"/>
                <w:color w:val="00B0F0"/>
              </w:rPr>
              <w:t>&lt;</w:t>
            </w:r>
            <w:r w:rsidRPr="00B85D62">
              <w:rPr>
                <w:rFonts w:eastAsia="Arial" w:cs="Arial"/>
                <w:color w:val="00B0F0"/>
              </w:rPr>
              <w:t> </w:t>
            </w:r>
            <w:r w:rsidRPr="00B85D62">
              <w:rPr>
                <w:rFonts w:eastAsia="Arial" w:cs="Arial"/>
                <w:color w:val="00B0F0"/>
              </w:rPr>
              <w:t>0</w:t>
            </w:r>
            <w:r w:rsidR="3341BD48" w:rsidRPr="00B85D62">
              <w:rPr>
                <w:rFonts w:eastAsia="Arial" w:cs="Arial"/>
              </w:rPr>
              <w:t>.001</w:t>
            </w:r>
          </w:p>
        </w:tc>
        <w:tc>
          <w:tcPr>
            <w:tcW w:w="0" w:type="auto"/>
            <w:vMerge/>
            <w:shd w:val="clear" w:color="auto" w:fill="auto"/>
            <w:vAlign w:val="center"/>
          </w:tcPr>
          <w:p w14:paraId="2E651429" w14:textId="77777777" w:rsidR="003F1F7A" w:rsidRPr="00B85D62" w:rsidRDefault="003F1F7A" w:rsidP="0066232B">
            <w:pPr>
              <w:rPr>
                <w:rFonts w:cs="Arial"/>
              </w:rPr>
            </w:pPr>
          </w:p>
        </w:tc>
        <w:tc>
          <w:tcPr>
            <w:tcW w:w="0" w:type="auto"/>
            <w:shd w:val="clear" w:color="auto" w:fill="auto"/>
            <w:vAlign w:val="center"/>
          </w:tcPr>
          <w:p w14:paraId="1EDCD3B7" w14:textId="31C1B209" w:rsidR="3341BD48" w:rsidRPr="00B85D62" w:rsidRDefault="3341BD48" w:rsidP="0066232B">
            <w:pPr>
              <w:rPr>
                <w:rFonts w:eastAsia="Arial" w:cs="Arial"/>
              </w:rPr>
            </w:pPr>
            <w:r w:rsidRPr="00B85D62">
              <w:rPr>
                <w:rFonts w:eastAsia="Arial" w:cs="Arial"/>
              </w:rPr>
              <w:t>3.35</w:t>
            </w:r>
          </w:p>
        </w:tc>
        <w:tc>
          <w:tcPr>
            <w:tcW w:w="0" w:type="auto"/>
            <w:shd w:val="clear" w:color="auto" w:fill="auto"/>
            <w:vAlign w:val="center"/>
          </w:tcPr>
          <w:p w14:paraId="1C5B3B05" w14:textId="42EFF45B" w:rsidR="3341BD48" w:rsidRPr="00B85D62" w:rsidRDefault="3341BD48" w:rsidP="0066232B">
            <w:pPr>
              <w:rPr>
                <w:rFonts w:eastAsia="Arial" w:cs="Arial"/>
              </w:rPr>
            </w:pPr>
            <w:r w:rsidRPr="00B85D62">
              <w:rPr>
                <w:rFonts w:eastAsia="Arial" w:cs="Arial"/>
              </w:rPr>
              <w:t>1.86—6.03</w:t>
            </w:r>
          </w:p>
        </w:tc>
        <w:tc>
          <w:tcPr>
            <w:tcW w:w="0" w:type="auto"/>
            <w:shd w:val="clear" w:color="auto" w:fill="auto"/>
            <w:vAlign w:val="center"/>
          </w:tcPr>
          <w:p w14:paraId="0E8387FE" w14:textId="156BEEBC" w:rsidR="3341BD48" w:rsidRPr="00B85D62" w:rsidRDefault="00B85D62" w:rsidP="0066232B">
            <w:pPr>
              <w:jc w:val="right"/>
              <w:rPr>
                <w:rFonts w:eastAsia="Arial" w:cs="Arial"/>
              </w:rPr>
            </w:pPr>
            <w:r w:rsidRPr="00B85D62">
              <w:rPr>
                <w:rFonts w:eastAsia="Arial" w:cs="Arial"/>
                <w:color w:val="00B0F0"/>
              </w:rPr>
              <w:t>&lt;</w:t>
            </w:r>
            <w:r w:rsidRPr="00B85D62">
              <w:rPr>
                <w:rFonts w:eastAsia="Arial" w:cs="Arial"/>
                <w:color w:val="00B0F0"/>
              </w:rPr>
              <w:t> </w:t>
            </w:r>
            <w:r w:rsidRPr="00B85D62">
              <w:rPr>
                <w:rFonts w:eastAsia="Arial" w:cs="Arial"/>
                <w:color w:val="00B0F0"/>
              </w:rPr>
              <w:t>0</w:t>
            </w:r>
            <w:r w:rsidR="3341BD48" w:rsidRPr="00B85D62">
              <w:rPr>
                <w:rFonts w:eastAsia="Arial" w:cs="Arial"/>
              </w:rPr>
              <w:t>.001</w:t>
            </w:r>
          </w:p>
        </w:tc>
      </w:tr>
      <w:tr w:rsidR="3341BD48" w:rsidRPr="00B85D62" w14:paraId="448463F8" w14:textId="77777777" w:rsidTr="00B85D62">
        <w:trPr>
          <w:cantSplit/>
        </w:trPr>
        <w:tc>
          <w:tcPr>
            <w:tcW w:w="0" w:type="auto"/>
            <w:shd w:val="clear" w:color="auto" w:fill="auto"/>
            <w:vAlign w:val="center"/>
          </w:tcPr>
          <w:p w14:paraId="5FA770BC" w14:textId="08E93768" w:rsidR="3341BD48" w:rsidRPr="00B85D62" w:rsidRDefault="3341BD48" w:rsidP="0066232B">
            <w:pPr>
              <w:rPr>
                <w:rFonts w:eastAsia="Arial" w:cs="Arial"/>
              </w:rPr>
            </w:pPr>
            <w:r w:rsidRPr="00B85D62">
              <w:rPr>
                <w:rFonts w:eastAsia="Arial" w:cs="Arial"/>
              </w:rPr>
              <w:t>History of CVD</w:t>
            </w:r>
          </w:p>
        </w:tc>
        <w:tc>
          <w:tcPr>
            <w:tcW w:w="0" w:type="auto"/>
            <w:shd w:val="clear" w:color="auto" w:fill="auto"/>
            <w:vAlign w:val="center"/>
          </w:tcPr>
          <w:p w14:paraId="400ADEE5" w14:textId="283186A6" w:rsidR="3341BD48" w:rsidRPr="00B85D62" w:rsidRDefault="3341BD48" w:rsidP="0066232B">
            <w:pPr>
              <w:rPr>
                <w:rFonts w:eastAsia="Arial" w:cs="Arial"/>
              </w:rPr>
            </w:pPr>
            <w:r w:rsidRPr="00B85D62">
              <w:rPr>
                <w:rFonts w:eastAsia="Arial" w:cs="Arial"/>
              </w:rPr>
              <w:t>4.36</w:t>
            </w:r>
          </w:p>
        </w:tc>
        <w:tc>
          <w:tcPr>
            <w:tcW w:w="0" w:type="auto"/>
            <w:shd w:val="clear" w:color="auto" w:fill="auto"/>
            <w:vAlign w:val="center"/>
          </w:tcPr>
          <w:p w14:paraId="4D28394D" w14:textId="1C40E1A2" w:rsidR="3341BD48" w:rsidRPr="00B85D62" w:rsidRDefault="3341BD48" w:rsidP="0066232B">
            <w:pPr>
              <w:rPr>
                <w:rFonts w:eastAsia="Arial" w:cs="Arial"/>
              </w:rPr>
            </w:pPr>
            <w:r w:rsidRPr="00B85D62">
              <w:rPr>
                <w:rFonts w:eastAsia="Arial" w:cs="Arial"/>
              </w:rPr>
              <w:t>2.77—6.88</w:t>
            </w:r>
          </w:p>
        </w:tc>
        <w:tc>
          <w:tcPr>
            <w:tcW w:w="0" w:type="auto"/>
            <w:shd w:val="clear" w:color="auto" w:fill="auto"/>
            <w:vAlign w:val="center"/>
          </w:tcPr>
          <w:p w14:paraId="559A1507" w14:textId="517A61AC" w:rsidR="3341BD48" w:rsidRPr="00B85D62" w:rsidRDefault="00B85D62" w:rsidP="0066232B">
            <w:pPr>
              <w:jc w:val="right"/>
              <w:rPr>
                <w:rFonts w:eastAsia="Arial" w:cs="Arial"/>
              </w:rPr>
            </w:pPr>
            <w:r w:rsidRPr="00B85D62">
              <w:rPr>
                <w:rFonts w:eastAsia="Arial" w:cs="Arial"/>
                <w:color w:val="00B0F0"/>
              </w:rPr>
              <w:t>&lt;</w:t>
            </w:r>
            <w:r w:rsidRPr="00B85D62">
              <w:rPr>
                <w:rFonts w:eastAsia="Arial" w:cs="Arial"/>
                <w:color w:val="00B0F0"/>
              </w:rPr>
              <w:t> </w:t>
            </w:r>
            <w:r w:rsidRPr="00B85D62">
              <w:rPr>
                <w:rFonts w:eastAsia="Arial" w:cs="Arial"/>
                <w:color w:val="00B0F0"/>
              </w:rPr>
              <w:t>0</w:t>
            </w:r>
            <w:r w:rsidR="3341BD48" w:rsidRPr="00B85D62">
              <w:rPr>
                <w:rFonts w:eastAsia="Arial" w:cs="Arial"/>
              </w:rPr>
              <w:t>.001</w:t>
            </w:r>
          </w:p>
        </w:tc>
        <w:tc>
          <w:tcPr>
            <w:tcW w:w="0" w:type="auto"/>
            <w:vMerge/>
            <w:shd w:val="clear" w:color="auto" w:fill="auto"/>
            <w:vAlign w:val="center"/>
          </w:tcPr>
          <w:p w14:paraId="00033CCF" w14:textId="77777777" w:rsidR="003F1F7A" w:rsidRPr="00B85D62" w:rsidRDefault="003F1F7A" w:rsidP="0066232B">
            <w:pPr>
              <w:rPr>
                <w:rFonts w:cs="Arial"/>
              </w:rPr>
            </w:pPr>
          </w:p>
        </w:tc>
        <w:tc>
          <w:tcPr>
            <w:tcW w:w="0" w:type="auto"/>
            <w:shd w:val="clear" w:color="auto" w:fill="auto"/>
            <w:vAlign w:val="center"/>
          </w:tcPr>
          <w:p w14:paraId="1F365481" w14:textId="6B77D0A5" w:rsidR="3341BD48" w:rsidRPr="00B85D62" w:rsidRDefault="3341BD48" w:rsidP="0066232B">
            <w:pPr>
              <w:rPr>
                <w:rFonts w:eastAsia="Arial" w:cs="Arial"/>
              </w:rPr>
            </w:pPr>
            <w:r w:rsidRPr="00B85D62">
              <w:rPr>
                <w:rFonts w:eastAsia="Arial" w:cs="Arial"/>
              </w:rPr>
              <w:t>13.13</w:t>
            </w:r>
          </w:p>
        </w:tc>
        <w:tc>
          <w:tcPr>
            <w:tcW w:w="0" w:type="auto"/>
            <w:shd w:val="clear" w:color="auto" w:fill="auto"/>
            <w:vAlign w:val="center"/>
          </w:tcPr>
          <w:p w14:paraId="2C444274" w14:textId="03E588C8" w:rsidR="3341BD48" w:rsidRPr="00B85D62" w:rsidRDefault="3341BD48" w:rsidP="0066232B">
            <w:pPr>
              <w:rPr>
                <w:rFonts w:eastAsia="Arial" w:cs="Arial"/>
              </w:rPr>
            </w:pPr>
            <w:r w:rsidRPr="00B85D62">
              <w:rPr>
                <w:rFonts w:eastAsia="Arial" w:cs="Arial"/>
              </w:rPr>
              <w:t>4.14—41.65</w:t>
            </w:r>
          </w:p>
        </w:tc>
        <w:tc>
          <w:tcPr>
            <w:tcW w:w="0" w:type="auto"/>
            <w:shd w:val="clear" w:color="auto" w:fill="auto"/>
            <w:vAlign w:val="center"/>
          </w:tcPr>
          <w:p w14:paraId="7F28812A" w14:textId="251413E7" w:rsidR="3341BD48" w:rsidRPr="00B85D62" w:rsidRDefault="00B85D62" w:rsidP="0066232B">
            <w:pPr>
              <w:jc w:val="right"/>
              <w:rPr>
                <w:rFonts w:eastAsia="Arial" w:cs="Arial"/>
              </w:rPr>
            </w:pPr>
            <w:r w:rsidRPr="00B85D62">
              <w:rPr>
                <w:rFonts w:eastAsia="Arial" w:cs="Arial"/>
                <w:color w:val="00B0F0"/>
              </w:rPr>
              <w:t>&lt;</w:t>
            </w:r>
            <w:r w:rsidRPr="00B85D62">
              <w:rPr>
                <w:rFonts w:eastAsia="Arial" w:cs="Arial"/>
                <w:color w:val="00B0F0"/>
              </w:rPr>
              <w:t> </w:t>
            </w:r>
            <w:r w:rsidRPr="00B85D62">
              <w:rPr>
                <w:rFonts w:eastAsia="Arial" w:cs="Arial"/>
                <w:color w:val="00B0F0"/>
              </w:rPr>
              <w:t>0</w:t>
            </w:r>
            <w:r w:rsidR="3341BD48" w:rsidRPr="00B85D62">
              <w:rPr>
                <w:rFonts w:eastAsia="Arial" w:cs="Arial"/>
              </w:rPr>
              <w:t>.001</w:t>
            </w:r>
          </w:p>
        </w:tc>
      </w:tr>
      <w:tr w:rsidR="3341BD48" w:rsidRPr="00B85D62" w14:paraId="7DB85E9D" w14:textId="77777777" w:rsidTr="00B85D62">
        <w:trPr>
          <w:cantSplit/>
        </w:trPr>
        <w:tc>
          <w:tcPr>
            <w:tcW w:w="0" w:type="auto"/>
            <w:shd w:val="clear" w:color="auto" w:fill="auto"/>
            <w:vAlign w:val="center"/>
          </w:tcPr>
          <w:p w14:paraId="6187D1DD" w14:textId="51BB10B5" w:rsidR="3341BD48" w:rsidRPr="00B85D62" w:rsidRDefault="3341BD48" w:rsidP="0066232B">
            <w:pPr>
              <w:rPr>
                <w:rFonts w:eastAsia="Arial" w:cs="Arial"/>
              </w:rPr>
            </w:pPr>
            <w:r w:rsidRPr="00B85D62">
              <w:rPr>
                <w:rFonts w:eastAsia="Arial" w:cs="Arial"/>
              </w:rPr>
              <w:t>Pre-treatment LDL-C* (mmol/L)</w:t>
            </w:r>
          </w:p>
        </w:tc>
        <w:tc>
          <w:tcPr>
            <w:tcW w:w="0" w:type="auto"/>
            <w:shd w:val="clear" w:color="auto" w:fill="auto"/>
            <w:vAlign w:val="center"/>
          </w:tcPr>
          <w:p w14:paraId="1A03A218" w14:textId="7BEA1417" w:rsidR="3341BD48" w:rsidRPr="00B85D62" w:rsidRDefault="3341BD48" w:rsidP="0066232B">
            <w:pPr>
              <w:rPr>
                <w:rFonts w:eastAsia="Arial" w:cs="Arial"/>
              </w:rPr>
            </w:pPr>
            <w:r w:rsidRPr="00B85D62">
              <w:rPr>
                <w:rFonts w:eastAsia="Arial" w:cs="Arial"/>
              </w:rPr>
              <w:t>1.33</w:t>
            </w:r>
          </w:p>
        </w:tc>
        <w:tc>
          <w:tcPr>
            <w:tcW w:w="0" w:type="auto"/>
            <w:shd w:val="clear" w:color="auto" w:fill="auto"/>
            <w:vAlign w:val="center"/>
          </w:tcPr>
          <w:p w14:paraId="17A228B3" w14:textId="44C1E845" w:rsidR="3341BD48" w:rsidRPr="00B85D62" w:rsidRDefault="3341BD48" w:rsidP="0066232B">
            <w:pPr>
              <w:rPr>
                <w:rFonts w:eastAsia="Arial" w:cs="Arial"/>
              </w:rPr>
            </w:pPr>
            <w:r w:rsidRPr="00B85D62">
              <w:rPr>
                <w:rFonts w:eastAsia="Arial" w:cs="Arial"/>
              </w:rPr>
              <w:t>1.20—1.47</w:t>
            </w:r>
          </w:p>
        </w:tc>
        <w:tc>
          <w:tcPr>
            <w:tcW w:w="0" w:type="auto"/>
            <w:shd w:val="clear" w:color="auto" w:fill="auto"/>
            <w:vAlign w:val="center"/>
          </w:tcPr>
          <w:p w14:paraId="68549B75" w14:textId="22338B01" w:rsidR="3341BD48" w:rsidRPr="00B85D62" w:rsidRDefault="00B85D62" w:rsidP="0066232B">
            <w:pPr>
              <w:jc w:val="right"/>
              <w:rPr>
                <w:rFonts w:eastAsia="Arial" w:cs="Arial"/>
              </w:rPr>
            </w:pPr>
            <w:r w:rsidRPr="00B85D62">
              <w:rPr>
                <w:rFonts w:eastAsia="Arial" w:cs="Arial"/>
                <w:color w:val="00B0F0"/>
              </w:rPr>
              <w:t>&lt;</w:t>
            </w:r>
            <w:r w:rsidRPr="00B85D62">
              <w:rPr>
                <w:rFonts w:eastAsia="Arial" w:cs="Arial"/>
                <w:color w:val="00B0F0"/>
              </w:rPr>
              <w:t> </w:t>
            </w:r>
            <w:r w:rsidRPr="00B85D62">
              <w:rPr>
                <w:rFonts w:eastAsia="Arial" w:cs="Arial"/>
                <w:color w:val="00B0F0"/>
              </w:rPr>
              <w:t>0</w:t>
            </w:r>
            <w:r w:rsidR="3341BD48" w:rsidRPr="00B85D62">
              <w:rPr>
                <w:rFonts w:eastAsia="Arial" w:cs="Arial"/>
              </w:rPr>
              <w:t>.001</w:t>
            </w:r>
          </w:p>
        </w:tc>
        <w:tc>
          <w:tcPr>
            <w:tcW w:w="0" w:type="auto"/>
            <w:vMerge/>
            <w:shd w:val="clear" w:color="auto" w:fill="auto"/>
            <w:vAlign w:val="center"/>
          </w:tcPr>
          <w:p w14:paraId="4CBFE1C9" w14:textId="77777777" w:rsidR="003F1F7A" w:rsidRPr="00B85D62" w:rsidRDefault="003F1F7A" w:rsidP="0066232B">
            <w:pPr>
              <w:rPr>
                <w:rFonts w:cs="Arial"/>
              </w:rPr>
            </w:pPr>
          </w:p>
        </w:tc>
        <w:tc>
          <w:tcPr>
            <w:tcW w:w="0" w:type="auto"/>
            <w:shd w:val="clear" w:color="auto" w:fill="auto"/>
            <w:vAlign w:val="center"/>
          </w:tcPr>
          <w:p w14:paraId="5C03F145" w14:textId="5CC364EF" w:rsidR="3341BD48" w:rsidRPr="00B85D62" w:rsidRDefault="3341BD48" w:rsidP="0066232B">
            <w:pPr>
              <w:rPr>
                <w:rFonts w:eastAsia="Arial" w:cs="Arial"/>
              </w:rPr>
            </w:pPr>
            <w:r w:rsidRPr="00B85D62">
              <w:rPr>
                <w:rFonts w:eastAsia="Arial" w:cs="Arial"/>
              </w:rPr>
              <w:t>1.56</w:t>
            </w:r>
          </w:p>
        </w:tc>
        <w:tc>
          <w:tcPr>
            <w:tcW w:w="0" w:type="auto"/>
            <w:shd w:val="clear" w:color="auto" w:fill="auto"/>
            <w:vAlign w:val="center"/>
          </w:tcPr>
          <w:p w14:paraId="698EAE29" w14:textId="51CF4776" w:rsidR="3341BD48" w:rsidRPr="00B85D62" w:rsidRDefault="3341BD48" w:rsidP="0066232B">
            <w:pPr>
              <w:rPr>
                <w:rFonts w:eastAsia="Arial" w:cs="Arial"/>
              </w:rPr>
            </w:pPr>
            <w:r w:rsidRPr="00B85D62">
              <w:rPr>
                <w:rFonts w:eastAsia="Arial" w:cs="Arial"/>
              </w:rPr>
              <w:t>1.29—1.88</w:t>
            </w:r>
          </w:p>
        </w:tc>
        <w:tc>
          <w:tcPr>
            <w:tcW w:w="0" w:type="auto"/>
            <w:shd w:val="clear" w:color="auto" w:fill="auto"/>
            <w:vAlign w:val="center"/>
          </w:tcPr>
          <w:p w14:paraId="3970C714" w14:textId="21036BF6" w:rsidR="3341BD48" w:rsidRPr="00B85D62" w:rsidRDefault="00B85D62" w:rsidP="0066232B">
            <w:pPr>
              <w:jc w:val="right"/>
              <w:rPr>
                <w:rFonts w:eastAsia="Arial" w:cs="Arial"/>
              </w:rPr>
            </w:pPr>
            <w:r w:rsidRPr="00B85D62">
              <w:rPr>
                <w:rFonts w:eastAsia="Arial" w:cs="Arial"/>
                <w:color w:val="00B0F0"/>
              </w:rPr>
              <w:t>&lt;</w:t>
            </w:r>
            <w:r w:rsidRPr="00B85D62">
              <w:rPr>
                <w:rFonts w:eastAsia="Arial" w:cs="Arial"/>
                <w:color w:val="00B0F0"/>
              </w:rPr>
              <w:t> </w:t>
            </w:r>
            <w:r w:rsidRPr="00B85D62">
              <w:rPr>
                <w:rFonts w:eastAsia="Arial" w:cs="Arial"/>
                <w:color w:val="00B0F0"/>
              </w:rPr>
              <w:t>0</w:t>
            </w:r>
            <w:r w:rsidR="3341BD48" w:rsidRPr="00B85D62">
              <w:rPr>
                <w:rFonts w:eastAsia="Arial" w:cs="Arial"/>
              </w:rPr>
              <w:t>.001</w:t>
            </w:r>
          </w:p>
        </w:tc>
      </w:tr>
      <w:tr w:rsidR="3341BD48" w:rsidRPr="00B85D62" w14:paraId="64DA96BC" w14:textId="77777777" w:rsidTr="00B85D62">
        <w:trPr>
          <w:cantSplit/>
        </w:trPr>
        <w:tc>
          <w:tcPr>
            <w:tcW w:w="0" w:type="auto"/>
            <w:shd w:val="clear" w:color="auto" w:fill="auto"/>
            <w:vAlign w:val="center"/>
          </w:tcPr>
          <w:p w14:paraId="1EF918A2" w14:textId="67E4C9B1" w:rsidR="3341BD48" w:rsidRPr="00B85D62" w:rsidRDefault="3341BD48" w:rsidP="0066232B">
            <w:pPr>
              <w:rPr>
                <w:rFonts w:eastAsia="Arial" w:cs="Arial"/>
              </w:rPr>
            </w:pPr>
            <w:r w:rsidRPr="00B85D62">
              <w:rPr>
                <w:rFonts w:eastAsia="Arial" w:cs="Arial"/>
              </w:rPr>
              <w:t>Mu</w:t>
            </w:r>
          </w:p>
        </w:tc>
        <w:tc>
          <w:tcPr>
            <w:tcW w:w="0" w:type="auto"/>
            <w:shd w:val="clear" w:color="auto" w:fill="auto"/>
            <w:vAlign w:val="center"/>
          </w:tcPr>
          <w:p w14:paraId="1688B58B" w14:textId="7BD79F1F" w:rsidR="3341BD48" w:rsidRPr="00B85D62" w:rsidRDefault="3341BD48" w:rsidP="0066232B">
            <w:pPr>
              <w:rPr>
                <w:rFonts w:eastAsia="Arial" w:cs="Arial"/>
              </w:rPr>
            </w:pPr>
            <w:r w:rsidRPr="00B85D62">
              <w:rPr>
                <w:rFonts w:eastAsia="Arial" w:cs="Arial"/>
              </w:rPr>
              <w:t>—</w:t>
            </w:r>
          </w:p>
        </w:tc>
        <w:tc>
          <w:tcPr>
            <w:tcW w:w="0" w:type="auto"/>
            <w:shd w:val="clear" w:color="auto" w:fill="auto"/>
            <w:vAlign w:val="center"/>
          </w:tcPr>
          <w:p w14:paraId="613DEEA8" w14:textId="23C9D928" w:rsidR="3341BD48" w:rsidRPr="00B85D62" w:rsidRDefault="3341BD48" w:rsidP="0066232B">
            <w:pPr>
              <w:rPr>
                <w:rFonts w:eastAsia="Arial" w:cs="Arial"/>
              </w:rPr>
            </w:pPr>
            <w:r w:rsidRPr="00B85D62">
              <w:rPr>
                <w:rFonts w:eastAsia="Arial" w:cs="Arial"/>
              </w:rPr>
              <w:t>—</w:t>
            </w:r>
          </w:p>
        </w:tc>
        <w:tc>
          <w:tcPr>
            <w:tcW w:w="0" w:type="auto"/>
            <w:shd w:val="clear" w:color="auto" w:fill="auto"/>
            <w:vAlign w:val="center"/>
          </w:tcPr>
          <w:p w14:paraId="13177253" w14:textId="6AFC95A5" w:rsidR="3341BD48" w:rsidRPr="00B85D62" w:rsidRDefault="3341BD48" w:rsidP="0066232B">
            <w:pPr>
              <w:jc w:val="right"/>
              <w:rPr>
                <w:rFonts w:eastAsia="Arial" w:cs="Arial"/>
              </w:rPr>
            </w:pPr>
            <w:r w:rsidRPr="00B85D62">
              <w:rPr>
                <w:rFonts w:eastAsia="Arial" w:cs="Arial"/>
              </w:rPr>
              <w:t>—</w:t>
            </w:r>
          </w:p>
        </w:tc>
        <w:tc>
          <w:tcPr>
            <w:tcW w:w="0" w:type="auto"/>
            <w:vMerge/>
            <w:shd w:val="clear" w:color="auto" w:fill="auto"/>
            <w:vAlign w:val="center"/>
          </w:tcPr>
          <w:p w14:paraId="250CE023" w14:textId="77777777" w:rsidR="003F1F7A" w:rsidRPr="00B85D62" w:rsidRDefault="003F1F7A" w:rsidP="0066232B">
            <w:pPr>
              <w:rPr>
                <w:rFonts w:cs="Arial"/>
              </w:rPr>
            </w:pPr>
          </w:p>
        </w:tc>
        <w:tc>
          <w:tcPr>
            <w:tcW w:w="0" w:type="auto"/>
            <w:shd w:val="clear" w:color="auto" w:fill="auto"/>
            <w:vAlign w:val="center"/>
          </w:tcPr>
          <w:p w14:paraId="7EB16A8C" w14:textId="02349DE4" w:rsidR="3341BD48" w:rsidRPr="00B85D62" w:rsidRDefault="3341BD48" w:rsidP="0066232B">
            <w:pPr>
              <w:rPr>
                <w:rFonts w:eastAsia="Arial" w:cs="Arial"/>
              </w:rPr>
            </w:pPr>
            <w:r w:rsidRPr="00B85D62">
              <w:rPr>
                <w:rFonts w:eastAsia="Arial" w:cs="Arial"/>
              </w:rPr>
              <w:t>13.19</w:t>
            </w:r>
          </w:p>
        </w:tc>
        <w:tc>
          <w:tcPr>
            <w:tcW w:w="0" w:type="auto"/>
            <w:shd w:val="clear" w:color="auto" w:fill="auto"/>
            <w:vAlign w:val="center"/>
          </w:tcPr>
          <w:p w14:paraId="4F02D4EF" w14:textId="1518B978" w:rsidR="3341BD48" w:rsidRPr="00B85D62" w:rsidRDefault="3341BD48" w:rsidP="0066232B">
            <w:pPr>
              <w:rPr>
                <w:rFonts w:eastAsia="Arial" w:cs="Arial"/>
              </w:rPr>
            </w:pPr>
            <w:r w:rsidRPr="00B85D62">
              <w:rPr>
                <w:rFonts w:eastAsia="Arial" w:cs="Arial"/>
              </w:rPr>
              <w:t>10.54—15.84</w:t>
            </w:r>
          </w:p>
        </w:tc>
        <w:tc>
          <w:tcPr>
            <w:tcW w:w="0" w:type="auto"/>
            <w:shd w:val="clear" w:color="auto" w:fill="auto"/>
            <w:vAlign w:val="center"/>
          </w:tcPr>
          <w:p w14:paraId="557F444A" w14:textId="4C26CC65" w:rsidR="3341BD48" w:rsidRPr="00B85D62" w:rsidRDefault="3341BD48" w:rsidP="0066232B">
            <w:pPr>
              <w:jc w:val="right"/>
              <w:rPr>
                <w:rFonts w:eastAsia="Arial" w:cs="Arial"/>
              </w:rPr>
            </w:pPr>
            <w:r w:rsidRPr="00B85D62">
              <w:rPr>
                <w:rFonts w:eastAsia="Arial" w:cs="Arial"/>
              </w:rPr>
              <w:t>—</w:t>
            </w:r>
          </w:p>
        </w:tc>
      </w:tr>
      <w:tr w:rsidR="3341BD48" w:rsidRPr="00B85D62" w14:paraId="5F0BDD8D" w14:textId="77777777" w:rsidTr="00B85D62">
        <w:trPr>
          <w:cantSplit/>
        </w:trPr>
        <w:tc>
          <w:tcPr>
            <w:tcW w:w="0" w:type="auto"/>
            <w:shd w:val="clear" w:color="auto" w:fill="auto"/>
            <w:vAlign w:val="center"/>
          </w:tcPr>
          <w:p w14:paraId="3BFA57D7" w14:textId="7AEABE7C" w:rsidR="3341BD48" w:rsidRPr="00B85D62" w:rsidRDefault="3341BD48" w:rsidP="0066232B">
            <w:pPr>
              <w:rPr>
                <w:rFonts w:eastAsia="Arial" w:cs="Arial"/>
              </w:rPr>
            </w:pPr>
            <w:r w:rsidRPr="00B85D62">
              <w:rPr>
                <w:rFonts w:eastAsia="Arial" w:cs="Arial"/>
              </w:rPr>
              <w:t>Sigma</w:t>
            </w:r>
          </w:p>
        </w:tc>
        <w:tc>
          <w:tcPr>
            <w:tcW w:w="0" w:type="auto"/>
            <w:shd w:val="clear" w:color="auto" w:fill="auto"/>
            <w:vAlign w:val="center"/>
          </w:tcPr>
          <w:p w14:paraId="7AB13CDA" w14:textId="4CBD1EF2" w:rsidR="3341BD48" w:rsidRPr="00B85D62" w:rsidRDefault="3341BD48" w:rsidP="0066232B">
            <w:pPr>
              <w:rPr>
                <w:rFonts w:eastAsia="Arial" w:cs="Arial"/>
              </w:rPr>
            </w:pPr>
            <w:r w:rsidRPr="00B85D62">
              <w:rPr>
                <w:rFonts w:eastAsia="Arial" w:cs="Arial"/>
              </w:rPr>
              <w:t>—</w:t>
            </w:r>
          </w:p>
        </w:tc>
        <w:tc>
          <w:tcPr>
            <w:tcW w:w="0" w:type="auto"/>
            <w:shd w:val="clear" w:color="auto" w:fill="auto"/>
            <w:vAlign w:val="center"/>
          </w:tcPr>
          <w:p w14:paraId="625B08B9" w14:textId="38C6378C" w:rsidR="3341BD48" w:rsidRPr="00B85D62" w:rsidRDefault="3341BD48" w:rsidP="0066232B">
            <w:pPr>
              <w:rPr>
                <w:rFonts w:eastAsia="Arial" w:cs="Arial"/>
              </w:rPr>
            </w:pPr>
            <w:r w:rsidRPr="00B85D62">
              <w:rPr>
                <w:rFonts w:eastAsia="Arial" w:cs="Arial"/>
              </w:rPr>
              <w:t>—</w:t>
            </w:r>
          </w:p>
        </w:tc>
        <w:tc>
          <w:tcPr>
            <w:tcW w:w="0" w:type="auto"/>
            <w:shd w:val="clear" w:color="auto" w:fill="auto"/>
            <w:vAlign w:val="center"/>
          </w:tcPr>
          <w:p w14:paraId="780742DE" w14:textId="77F1728E" w:rsidR="3341BD48" w:rsidRPr="00B85D62" w:rsidRDefault="3341BD48" w:rsidP="0066232B">
            <w:pPr>
              <w:jc w:val="right"/>
              <w:rPr>
                <w:rFonts w:eastAsia="Arial" w:cs="Arial"/>
              </w:rPr>
            </w:pPr>
            <w:r w:rsidRPr="00B85D62">
              <w:rPr>
                <w:rFonts w:eastAsia="Arial" w:cs="Arial"/>
              </w:rPr>
              <w:t>—</w:t>
            </w:r>
          </w:p>
        </w:tc>
        <w:tc>
          <w:tcPr>
            <w:tcW w:w="0" w:type="auto"/>
            <w:vMerge/>
            <w:shd w:val="clear" w:color="auto" w:fill="auto"/>
            <w:vAlign w:val="center"/>
          </w:tcPr>
          <w:p w14:paraId="2A047B05" w14:textId="77777777" w:rsidR="003F1F7A" w:rsidRPr="00B85D62" w:rsidRDefault="003F1F7A" w:rsidP="0066232B">
            <w:pPr>
              <w:rPr>
                <w:rFonts w:cs="Arial"/>
              </w:rPr>
            </w:pPr>
          </w:p>
        </w:tc>
        <w:tc>
          <w:tcPr>
            <w:tcW w:w="0" w:type="auto"/>
            <w:shd w:val="clear" w:color="auto" w:fill="auto"/>
            <w:vAlign w:val="center"/>
          </w:tcPr>
          <w:p w14:paraId="09075C65" w14:textId="6A1EEA2D" w:rsidR="3341BD48" w:rsidRPr="00B85D62" w:rsidRDefault="3341BD48" w:rsidP="0066232B">
            <w:pPr>
              <w:rPr>
                <w:rFonts w:eastAsia="Arial" w:cs="Arial"/>
              </w:rPr>
            </w:pPr>
            <w:r w:rsidRPr="00B85D62">
              <w:rPr>
                <w:rFonts w:eastAsia="Arial" w:cs="Arial"/>
              </w:rPr>
              <w:t>0.79</w:t>
            </w:r>
          </w:p>
        </w:tc>
        <w:tc>
          <w:tcPr>
            <w:tcW w:w="0" w:type="auto"/>
            <w:shd w:val="clear" w:color="auto" w:fill="auto"/>
            <w:vAlign w:val="center"/>
          </w:tcPr>
          <w:p w14:paraId="7F74637C" w14:textId="2D3C03F1" w:rsidR="3341BD48" w:rsidRPr="00B85D62" w:rsidRDefault="3341BD48" w:rsidP="0066232B">
            <w:pPr>
              <w:rPr>
                <w:rFonts w:eastAsia="Arial" w:cs="Arial"/>
              </w:rPr>
            </w:pPr>
            <w:r w:rsidRPr="00B85D62">
              <w:rPr>
                <w:rFonts w:eastAsia="Arial" w:cs="Arial"/>
              </w:rPr>
              <w:t>0.19—1.40</w:t>
            </w:r>
          </w:p>
        </w:tc>
        <w:tc>
          <w:tcPr>
            <w:tcW w:w="0" w:type="auto"/>
            <w:shd w:val="clear" w:color="auto" w:fill="auto"/>
            <w:vAlign w:val="center"/>
          </w:tcPr>
          <w:p w14:paraId="32502654" w14:textId="1ADD3A72" w:rsidR="3341BD48" w:rsidRPr="00B85D62" w:rsidRDefault="3341BD48" w:rsidP="0066232B">
            <w:pPr>
              <w:jc w:val="right"/>
              <w:rPr>
                <w:rFonts w:eastAsia="Arial" w:cs="Arial"/>
              </w:rPr>
            </w:pPr>
            <w:r w:rsidRPr="00B85D62">
              <w:rPr>
                <w:rFonts w:eastAsia="Arial" w:cs="Arial"/>
              </w:rPr>
              <w:t>—</w:t>
            </w:r>
          </w:p>
        </w:tc>
      </w:tr>
      <w:tr w:rsidR="005C074D" w:rsidRPr="00B85D62" w14:paraId="20A2A475" w14:textId="77777777" w:rsidTr="00B85D62">
        <w:trPr>
          <w:cantSplit/>
        </w:trPr>
        <w:tc>
          <w:tcPr>
            <w:tcW w:w="0" w:type="auto"/>
            <w:shd w:val="clear" w:color="auto" w:fill="auto"/>
            <w:vAlign w:val="center"/>
          </w:tcPr>
          <w:p w14:paraId="4600270F" w14:textId="6436CC93" w:rsidR="3341BD48" w:rsidRPr="00B85D62" w:rsidRDefault="3341BD48" w:rsidP="0066232B">
            <w:pPr>
              <w:rPr>
                <w:rFonts w:eastAsia="Arial" w:cs="Arial"/>
              </w:rPr>
            </w:pPr>
            <w:r w:rsidRPr="00B85D62">
              <w:rPr>
                <w:rFonts w:eastAsia="Arial" w:cs="Arial"/>
              </w:rPr>
              <w:t>Q</w:t>
            </w:r>
          </w:p>
        </w:tc>
        <w:tc>
          <w:tcPr>
            <w:tcW w:w="0" w:type="auto"/>
            <w:shd w:val="clear" w:color="auto" w:fill="auto"/>
            <w:vAlign w:val="center"/>
          </w:tcPr>
          <w:p w14:paraId="63995A1B" w14:textId="7E8CD358" w:rsidR="3341BD48" w:rsidRPr="00B85D62" w:rsidRDefault="3341BD48" w:rsidP="0066232B">
            <w:pPr>
              <w:rPr>
                <w:rFonts w:eastAsia="Arial" w:cs="Arial"/>
              </w:rPr>
            </w:pPr>
            <w:r w:rsidRPr="00B85D62">
              <w:rPr>
                <w:rFonts w:eastAsia="Arial" w:cs="Arial"/>
              </w:rPr>
              <w:t>—</w:t>
            </w:r>
          </w:p>
        </w:tc>
        <w:tc>
          <w:tcPr>
            <w:tcW w:w="0" w:type="auto"/>
            <w:shd w:val="clear" w:color="auto" w:fill="auto"/>
            <w:vAlign w:val="center"/>
          </w:tcPr>
          <w:p w14:paraId="1AB115A3" w14:textId="2E4E1157" w:rsidR="3341BD48" w:rsidRPr="00B85D62" w:rsidRDefault="3341BD48" w:rsidP="0066232B">
            <w:pPr>
              <w:rPr>
                <w:rFonts w:eastAsia="Arial" w:cs="Arial"/>
              </w:rPr>
            </w:pPr>
            <w:r w:rsidRPr="00B85D62">
              <w:rPr>
                <w:rFonts w:eastAsia="Arial" w:cs="Arial"/>
              </w:rPr>
              <w:t>—</w:t>
            </w:r>
          </w:p>
        </w:tc>
        <w:tc>
          <w:tcPr>
            <w:tcW w:w="0" w:type="auto"/>
            <w:shd w:val="clear" w:color="auto" w:fill="auto"/>
            <w:vAlign w:val="center"/>
          </w:tcPr>
          <w:p w14:paraId="268AB7B0" w14:textId="4517CB5E" w:rsidR="3341BD48" w:rsidRPr="00B85D62" w:rsidRDefault="3341BD48" w:rsidP="0066232B">
            <w:pPr>
              <w:jc w:val="right"/>
              <w:rPr>
                <w:rFonts w:eastAsia="Arial" w:cs="Arial"/>
              </w:rPr>
            </w:pPr>
            <w:r w:rsidRPr="00B85D62">
              <w:rPr>
                <w:rFonts w:eastAsia="Arial" w:cs="Arial"/>
              </w:rPr>
              <w:t>—</w:t>
            </w:r>
          </w:p>
        </w:tc>
        <w:tc>
          <w:tcPr>
            <w:tcW w:w="0" w:type="auto"/>
            <w:vMerge/>
            <w:shd w:val="clear" w:color="auto" w:fill="auto"/>
            <w:vAlign w:val="center"/>
          </w:tcPr>
          <w:p w14:paraId="12797255" w14:textId="77777777" w:rsidR="003F1F7A" w:rsidRPr="00B85D62" w:rsidRDefault="003F1F7A" w:rsidP="0066232B">
            <w:pPr>
              <w:rPr>
                <w:rFonts w:cs="Arial"/>
              </w:rPr>
            </w:pPr>
          </w:p>
        </w:tc>
        <w:tc>
          <w:tcPr>
            <w:tcW w:w="0" w:type="auto"/>
            <w:shd w:val="clear" w:color="auto" w:fill="auto"/>
            <w:vAlign w:val="center"/>
          </w:tcPr>
          <w:p w14:paraId="35368C02" w14:textId="46DCA199" w:rsidR="3341BD48" w:rsidRPr="00B85D62" w:rsidRDefault="3341BD48" w:rsidP="0066232B">
            <w:pPr>
              <w:rPr>
                <w:rFonts w:eastAsia="Arial" w:cs="Arial"/>
              </w:rPr>
            </w:pPr>
            <w:r w:rsidRPr="00B85D62">
              <w:rPr>
                <w:rFonts w:eastAsia="Arial" w:cs="Arial"/>
              </w:rPr>
              <w:t>0.50</w:t>
            </w:r>
          </w:p>
        </w:tc>
        <w:tc>
          <w:tcPr>
            <w:tcW w:w="0" w:type="auto"/>
            <w:shd w:val="clear" w:color="auto" w:fill="auto"/>
            <w:vAlign w:val="center"/>
          </w:tcPr>
          <w:p w14:paraId="5B9D3E25" w14:textId="0D2EC194" w:rsidR="3341BD48" w:rsidRPr="00B85D62" w:rsidRDefault="00B85D62" w:rsidP="0066232B">
            <w:pPr>
              <w:rPr>
                <w:rFonts w:eastAsia="Arial" w:cs="Arial"/>
              </w:rPr>
            </w:pPr>
            <w:r w:rsidRPr="00B85D62">
              <w:rPr>
                <w:rFonts w:eastAsia="Arial" w:cs="Arial"/>
                <w:color w:val="00B0F0"/>
              </w:rPr>
              <w:t>–</w:t>
            </w:r>
            <w:r w:rsidRPr="00B85D62">
              <w:rPr>
                <w:rFonts w:eastAsia="Arial" w:cs="Arial"/>
                <w:color w:val="00B0F0"/>
              </w:rPr>
              <w:t>0</w:t>
            </w:r>
            <w:r w:rsidR="3341BD48" w:rsidRPr="00B85D62">
              <w:rPr>
                <w:rFonts w:eastAsia="Arial" w:cs="Arial"/>
              </w:rPr>
              <w:t>.25—1.24</w:t>
            </w:r>
          </w:p>
        </w:tc>
        <w:tc>
          <w:tcPr>
            <w:tcW w:w="0" w:type="auto"/>
            <w:shd w:val="clear" w:color="auto" w:fill="auto"/>
            <w:vAlign w:val="center"/>
          </w:tcPr>
          <w:p w14:paraId="775D3EDA" w14:textId="0E6A3D40" w:rsidR="3341BD48" w:rsidRPr="00B85D62" w:rsidRDefault="3341BD48" w:rsidP="0066232B">
            <w:pPr>
              <w:jc w:val="right"/>
              <w:rPr>
                <w:rFonts w:eastAsia="Arial" w:cs="Arial"/>
              </w:rPr>
            </w:pPr>
            <w:r w:rsidRPr="00B85D62">
              <w:rPr>
                <w:rFonts w:eastAsia="Arial" w:cs="Arial"/>
              </w:rPr>
              <w:t>—</w:t>
            </w:r>
          </w:p>
        </w:tc>
      </w:tr>
    </w:tbl>
    <w:p w14:paraId="3C5026D1" w14:textId="77777777" w:rsidR="00B85D62" w:rsidRPr="00B85D62" w:rsidRDefault="0732252A" w:rsidP="0066232B">
      <w:pPr>
        <w:rPr>
          <w:rFonts w:eastAsia="Arial" w:cs="Arial"/>
          <w:color w:val="000000" w:themeColor="text1"/>
        </w:rPr>
      </w:pPr>
      <w:r w:rsidRPr="00B85D62">
        <w:rPr>
          <w:rFonts w:eastAsia="Arial" w:cs="Arial"/>
          <w:color w:val="000000" w:themeColor="text1"/>
        </w:rPr>
        <w:t>HR: hazard ratio; CI: confidence interval</w:t>
      </w:r>
    </w:p>
    <w:p w14:paraId="335048F5" w14:textId="546831ED" w:rsidR="0732252A" w:rsidRPr="00B85D62" w:rsidRDefault="0732252A" w:rsidP="006C7E71">
      <w:pPr>
        <w:pStyle w:val="Heading4"/>
        <w:numPr>
          <w:ilvl w:val="0"/>
          <w:numId w:val="0"/>
        </w:numPr>
        <w:rPr>
          <w:rFonts w:eastAsiaTheme="minorEastAsia"/>
        </w:rPr>
      </w:pPr>
      <w:r w:rsidRPr="00B85D62">
        <w:t>Mortality following non-fatal CVD events</w:t>
      </w:r>
    </w:p>
    <w:p w14:paraId="6868B353" w14:textId="77777777" w:rsidR="00B85D62" w:rsidRPr="00B85D62" w:rsidRDefault="2F06F1AA" w:rsidP="0066232B">
      <w:pPr>
        <w:rPr>
          <w:rFonts w:eastAsia="Arial" w:cs="Arial"/>
          <w:color w:val="000000" w:themeColor="text1"/>
        </w:rPr>
      </w:pPr>
      <w:r w:rsidRPr="00B85D62">
        <w:rPr>
          <w:rFonts w:eastAsia="Arial" w:cs="Arial"/>
          <w:color w:val="000000" w:themeColor="text1"/>
        </w:rPr>
        <w:t xml:space="preserve">Following a non-fatal ACS event, few deaths were observed with just 5 (5.5%) and 7 (7.7%) FH patients (out of 91) dying for CVD related and non-related reasons, respectively. Similar findings were observed following a </w:t>
      </w:r>
      <w:r w:rsidRPr="00B85D62">
        <w:rPr>
          <w:rFonts w:eastAsia="Arial" w:cs="Arial"/>
          <w:color w:val="000000" w:themeColor="text1"/>
        </w:rPr>
        <w:lastRenderedPageBreak/>
        <w:t>non-fatal TIA/Stroke event, with 2 (5.7%) and 2 (5.7%) FH patients (out of 35) dying for CVD related and non-related reasons, respectively. This reflects both the relatively small number of individuals experiencing non-fatal events and the limited follow-up of these individuals. Please see</w:t>
      </w:r>
      <w:r w:rsidR="4C81A757" w:rsidRPr="00B85D62">
        <w:rPr>
          <w:rFonts w:eastAsia="Arial" w:cs="Arial"/>
          <w:color w:val="000000" w:themeColor="text1"/>
        </w:rPr>
        <w:t xml:space="preserve"> </w:t>
      </w:r>
      <w:r w:rsidR="00633D0D" w:rsidRPr="00B85D62">
        <w:rPr>
          <w:rFonts w:eastAsia="Arial" w:cs="Arial"/>
          <w:i/>
          <w:color w:val="000000" w:themeColor="text1"/>
        </w:rPr>
        <w:t>Online Supplementary file 2 (CPRD technical report)</w:t>
      </w:r>
      <w:r w:rsidR="00B85D62" w:rsidRPr="00B85D62">
        <w:rPr>
          <w:rFonts w:eastAsia="Arial" w:cs="Arial"/>
          <w:color w:val="000000" w:themeColor="text1"/>
        </w:rPr>
        <w:t xml:space="preserve"> </w:t>
      </w:r>
      <w:r w:rsidR="4C81A757" w:rsidRPr="00B85D62">
        <w:rPr>
          <w:rFonts w:eastAsia="Arial" w:cs="Arial"/>
          <w:color w:val="000000" w:themeColor="text1"/>
        </w:rPr>
        <w:t>for further details</w:t>
      </w:r>
      <w:r w:rsidRPr="00B85D62">
        <w:rPr>
          <w:rFonts w:eastAsia="Arial" w:cs="Arial"/>
          <w:color w:val="000000" w:themeColor="text1"/>
        </w:rPr>
        <w:t>.</w:t>
      </w:r>
    </w:p>
    <w:p w14:paraId="523A1B09" w14:textId="69EDF1F8" w:rsidR="00B85D62" w:rsidRPr="00B85D62" w:rsidRDefault="000731D6" w:rsidP="006C7E71">
      <w:pPr>
        <w:pStyle w:val="Heading3"/>
      </w:pPr>
      <w:bookmarkStart w:id="175" w:name="_Toc107157482"/>
      <w:r w:rsidRPr="00B85D62">
        <w:t>Summary of Results and Study limitations</w:t>
      </w:r>
      <w:bookmarkEnd w:id="175"/>
    </w:p>
    <w:p w14:paraId="24B8C517" w14:textId="55FB03F5" w:rsidR="00B85D62" w:rsidRPr="00B85D62" w:rsidRDefault="0732252A">
      <w:pPr>
        <w:rPr>
          <w:rFonts w:eastAsia="Arial" w:cs="Arial"/>
          <w:color w:val="000000" w:themeColor="text1"/>
        </w:rPr>
      </w:pPr>
      <w:r w:rsidRPr="00B85D62">
        <w:rPr>
          <w:rFonts w:eastAsia="Arial" w:cs="Arial"/>
          <w:color w:val="000000" w:themeColor="text1"/>
        </w:rPr>
        <w:t xml:space="preserve">The analysis shows that individuals with a recorded diagnosis of FH in primary care are often not treated with LLT within two-years of their diagnosis, and </w:t>
      </w:r>
      <w:r w:rsidR="00B85D62" w:rsidRPr="00B85D62">
        <w:rPr>
          <w:rFonts w:eastAsia="Arial" w:cs="Arial"/>
          <w:color w:val="00B0F0"/>
        </w:rPr>
        <w:t>among</w:t>
      </w:r>
      <w:r w:rsidRPr="00B85D62">
        <w:rPr>
          <w:rFonts w:eastAsia="Arial" w:cs="Arial"/>
          <w:color w:val="000000" w:themeColor="text1"/>
        </w:rPr>
        <w:t xml:space="preserve"> those that are receiving LLT, less than 30% achieve the recommended reductions in LDL-C. </w:t>
      </w:r>
      <w:r w:rsidR="000731D6" w:rsidRPr="00B85D62">
        <w:rPr>
          <w:rFonts w:eastAsia="Arial" w:cs="Arial"/>
          <w:color w:val="000000" w:themeColor="text1"/>
        </w:rPr>
        <w:t xml:space="preserve">We also noted </w:t>
      </w:r>
      <w:r w:rsidRPr="00B85D62">
        <w:rPr>
          <w:rFonts w:eastAsia="Arial" w:cs="Arial"/>
          <w:color w:val="000000" w:themeColor="text1"/>
          <w:shd w:val="clear" w:color="auto" w:fill="E6E6E6"/>
        </w:rPr>
        <w:t>that at 10 years of follow-up</w:t>
      </w:r>
      <w:r w:rsidRPr="00B85D62">
        <w:rPr>
          <w:rFonts w:eastAsia="Arial" w:cs="Arial"/>
          <w:color w:val="000000" w:themeColor="text1"/>
        </w:rPr>
        <w:t xml:space="preserve">, the average risk of a first major non-fatal CV event or CV-related death is 11% for the treated cohort as a whole, with similar or higher estimates in men </w:t>
      </w:r>
      <w:r w:rsidRPr="00B85D62">
        <w:rPr>
          <w:rFonts w:eastAsia="Arial" w:cs="Arial"/>
          <w:color w:val="000000" w:themeColor="text1"/>
          <w:highlight w:val="magenta"/>
        </w:rPr>
        <w:t>compared to</w:t>
      </w:r>
      <w:r w:rsidRPr="00B85D62">
        <w:rPr>
          <w:rFonts w:eastAsia="Arial" w:cs="Arial"/>
          <w:color w:val="000000" w:themeColor="text1"/>
        </w:rPr>
        <w:t xml:space="preserve"> women.</w:t>
      </w:r>
    </w:p>
    <w:p w14:paraId="54BE97EF" w14:textId="22150998" w:rsidR="00B85D62" w:rsidRPr="00B85D62" w:rsidRDefault="2F06F1AA" w:rsidP="0066232B">
      <w:pPr>
        <w:rPr>
          <w:rFonts w:eastAsia="Arial" w:cs="Arial"/>
          <w:color w:val="000000" w:themeColor="text1"/>
        </w:rPr>
      </w:pPr>
      <w:r w:rsidRPr="00B85D62">
        <w:rPr>
          <w:rFonts w:eastAsia="Arial" w:cs="Arial"/>
          <w:color w:val="000000" w:themeColor="text1"/>
        </w:rPr>
        <w:t xml:space="preserve">Our analysis used the CPRD cohort which reflects the treatment and management of FH patients as recorded within primary care in the UK. The use of </w:t>
      </w:r>
      <w:r w:rsidR="00B85D62" w:rsidRPr="00B85D62">
        <w:rPr>
          <w:rFonts w:eastAsia="Arial" w:cs="Arial"/>
          <w:color w:val="00B0F0"/>
        </w:rPr>
        <w:t>t</w:t>
      </w:r>
      <w:r w:rsidR="00B85D62" w:rsidRPr="00B85D62">
        <w:rPr>
          <w:rFonts w:eastAsia="Arial" w:cs="Arial"/>
          <w:color w:val="00B0F0"/>
        </w:rPr>
        <w:t xml:space="preserve">hese </w:t>
      </w:r>
      <w:r w:rsidR="00B85D62" w:rsidRPr="00B85D62">
        <w:rPr>
          <w:rFonts w:eastAsia="Arial" w:cs="Arial"/>
          <w:color w:val="00B0F0"/>
          <w:highlight w:val="magenta"/>
        </w:rPr>
        <w:t>data</w:t>
      </w:r>
      <w:r w:rsidR="00B85D62" w:rsidRPr="00B85D62">
        <w:rPr>
          <w:rFonts w:eastAsia="Arial" w:cs="Arial"/>
          <w:color w:val="00B0F0"/>
        </w:rPr>
        <w:t xml:space="preserve"> set</w:t>
      </w:r>
      <w:r w:rsidRPr="00B85D62">
        <w:rPr>
          <w:rFonts w:eastAsia="Arial" w:cs="Arial"/>
          <w:color w:val="000000" w:themeColor="text1"/>
        </w:rPr>
        <w:t xml:space="preserve"> has its caveats, as it might not have correctly coded individuals with FH, the cohort might not be representative of the UK FH population as a whole or of patients identified via cascade testing who are expected to have </w:t>
      </w:r>
      <w:r w:rsidR="3C87C8AA" w:rsidRPr="00B85D62">
        <w:rPr>
          <w:rFonts w:eastAsia="Arial" w:cs="Arial"/>
          <w:color w:val="000000" w:themeColor="text1"/>
        </w:rPr>
        <w:t xml:space="preserve">genetically-confirmed </w:t>
      </w:r>
      <w:r w:rsidRPr="00B85D62">
        <w:rPr>
          <w:rFonts w:eastAsia="Arial" w:cs="Arial"/>
          <w:color w:val="000000" w:themeColor="text1"/>
        </w:rPr>
        <w:t>FH rather than a diagnosis</w:t>
      </w:r>
      <w:r w:rsidR="40889EC2" w:rsidRPr="00B85D62">
        <w:rPr>
          <w:rFonts w:eastAsia="Arial" w:cs="Arial"/>
          <w:color w:val="000000" w:themeColor="text1"/>
        </w:rPr>
        <w:t xml:space="preserve"> based on clinical phenotype</w:t>
      </w:r>
      <w:r w:rsidRPr="00B85D62">
        <w:rPr>
          <w:rFonts w:eastAsia="Arial" w:cs="Arial"/>
          <w:color w:val="000000" w:themeColor="text1"/>
        </w:rPr>
        <w:t>. Furthermore, this cohort is unlikely to characterise the current clinical practices in tertiary speciali</w:t>
      </w:r>
      <w:r w:rsidR="054F24F7" w:rsidRPr="00B85D62">
        <w:rPr>
          <w:rFonts w:eastAsia="Arial" w:cs="Arial"/>
          <w:color w:val="000000" w:themeColor="text1"/>
        </w:rPr>
        <w:t>s</w:t>
      </w:r>
      <w:r w:rsidRPr="00B85D62">
        <w:rPr>
          <w:rFonts w:eastAsia="Arial" w:cs="Arial"/>
          <w:color w:val="000000" w:themeColor="text1"/>
        </w:rPr>
        <w:t xml:space="preserve">ed care, such as lipid clinics, where FH patients are closely followed and managed </w:t>
      </w:r>
      <w:r w:rsidR="00F80015" w:rsidRPr="00B85D62">
        <w:rPr>
          <w:rFonts w:eastAsia="Arial" w:cs="Arial"/>
          <w:noProof/>
          <w:color w:val="000000" w:themeColor="text1"/>
          <w:vertAlign w:val="superscript"/>
        </w:rPr>
        <w:t>8</w:t>
      </w:r>
      <w:r w:rsidRPr="00B85D62">
        <w:rPr>
          <w:rFonts w:eastAsia="Arial" w:cs="Arial"/>
          <w:color w:val="000000" w:themeColor="text1"/>
        </w:rPr>
        <w:t xml:space="preserve"> (though some patients in CPRD may also be managed in lipid</w:t>
      </w:r>
      <w:r w:rsidR="005611BD" w:rsidRPr="00B85D62">
        <w:rPr>
          <w:rFonts w:eastAsia="Arial" w:cs="Arial"/>
          <w:color w:val="000000" w:themeColor="text1"/>
        </w:rPr>
        <w:t xml:space="preserve"> clinics)</w:t>
      </w:r>
      <w:r w:rsidR="00B85D62" w:rsidRPr="00B85D62">
        <w:rPr>
          <w:rFonts w:eastAsia="Arial" w:cs="Arial"/>
          <w:color w:val="00B0F0"/>
        </w:rPr>
        <w:t>.</w:t>
      </w:r>
      <w:r w:rsidR="004D7370" w:rsidRPr="00B85D62">
        <w:rPr>
          <w:rFonts w:eastAsia="Arial" w:cs="Arial"/>
          <w:color w:val="000000" w:themeColor="text1"/>
        </w:rPr>
        <w:t xml:space="preserve"> </w:t>
      </w:r>
      <w:r w:rsidRPr="00B85D62">
        <w:rPr>
          <w:rFonts w:eastAsia="Arial" w:cs="Arial"/>
          <w:color w:val="000000" w:themeColor="text1"/>
        </w:rPr>
        <w:t xml:space="preserve">Finally, the CPRD cohort presented a relatively long follow-up of up to 20 years, though event </w:t>
      </w:r>
      <w:r w:rsidR="00B85D62" w:rsidRPr="00B85D62">
        <w:rPr>
          <w:rFonts w:eastAsia="Arial" w:cs="Arial"/>
          <w:color w:val="00B0F0"/>
          <w:highlight w:val="magenta"/>
        </w:rPr>
        <w:t>data</w:t>
      </w:r>
      <w:r w:rsidR="00B85D62" w:rsidRPr="00B85D62">
        <w:rPr>
          <w:rFonts w:eastAsia="Arial" w:cs="Arial"/>
          <w:color w:val="00B0F0"/>
        </w:rPr>
        <w:t xml:space="preserve"> were</w:t>
      </w:r>
      <w:r w:rsidRPr="00B85D62">
        <w:rPr>
          <w:rFonts w:eastAsia="Arial" w:cs="Arial"/>
          <w:color w:val="000000" w:themeColor="text1"/>
        </w:rPr>
        <w:t xml:space="preserve"> sparse from around year 10.</w:t>
      </w:r>
    </w:p>
    <w:p w14:paraId="450E2936" w14:textId="02D8DDB8" w:rsidR="00B85D62" w:rsidRPr="00B85D62" w:rsidRDefault="41BBD09B" w:rsidP="006C7E71">
      <w:pPr>
        <w:pStyle w:val="Heading2"/>
      </w:pPr>
      <w:bookmarkStart w:id="176" w:name="_Toc107157483"/>
      <w:r w:rsidRPr="00B85D62">
        <w:t xml:space="preserve">Service </w:t>
      </w:r>
      <w:r w:rsidRPr="00B85D62">
        <w:rPr>
          <w:highlight w:val="magenta"/>
        </w:rPr>
        <w:t>data</w:t>
      </w:r>
      <w:r w:rsidRPr="00B85D62">
        <w:t xml:space="preserve"> analysis</w:t>
      </w:r>
      <w:bookmarkEnd w:id="176"/>
    </w:p>
    <w:p w14:paraId="6869DF64" w14:textId="77777777" w:rsidR="00B85D62" w:rsidRPr="00B85D62" w:rsidRDefault="004945A6" w:rsidP="006C7E71">
      <w:pPr>
        <w:pStyle w:val="Heading3"/>
      </w:pPr>
      <w:bookmarkStart w:id="177" w:name="_Toc107157484"/>
      <w:r w:rsidRPr="00B85D62">
        <w:t>Background and Motivation</w:t>
      </w:r>
      <w:bookmarkEnd w:id="177"/>
    </w:p>
    <w:p w14:paraId="1DDC1F98" w14:textId="67CF3BFD" w:rsidR="00B85D62" w:rsidRPr="00B85D62" w:rsidRDefault="75DE676D" w:rsidP="0066232B">
      <w:pPr>
        <w:rPr>
          <w:rFonts w:cs="Arial"/>
        </w:rPr>
      </w:pPr>
      <w:r w:rsidRPr="00B85D62">
        <w:rPr>
          <w:rFonts w:cs="Arial"/>
        </w:rPr>
        <w:t>Cascade testing offers the opportunity to expand FH diagnoses by systematically testing family members (relatives) of affected individuals (index</w:t>
      </w:r>
      <w:r w:rsidR="591A9399" w:rsidRPr="00B85D62">
        <w:rPr>
          <w:rFonts w:cs="Arial"/>
        </w:rPr>
        <w:t xml:space="preserve"> cas</w:t>
      </w:r>
      <w:r w:rsidRPr="00B85D62">
        <w:rPr>
          <w:rFonts w:cs="Arial"/>
        </w:rPr>
        <w:t xml:space="preserve">es). It has been shown to markedly enhance FH identification and to be cost-effective in the UK healthcare setting relative to an absence of cascade testing </w:t>
      </w:r>
      <w:r w:rsidR="00C35B5E" w:rsidRPr="00B85D62">
        <w:rPr>
          <w:rFonts w:cs="Arial"/>
          <w:noProof/>
          <w:color w:val="2B579A"/>
          <w:shd w:val="clear" w:color="auto" w:fill="E6E6E6"/>
          <w:vertAlign w:val="superscript"/>
        </w:rPr>
        <w:t>118, 133</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35</w:t>
      </w:r>
      <w:r w:rsidRPr="00B85D62">
        <w:rPr>
          <w:rFonts w:cs="Arial"/>
        </w:rPr>
        <w:t>.</w:t>
      </w:r>
    </w:p>
    <w:p w14:paraId="4518613F" w14:textId="40ABE77B" w:rsidR="004945A6" w:rsidRPr="00B85D62" w:rsidRDefault="75DE676D" w:rsidP="0066232B">
      <w:pPr>
        <w:rPr>
          <w:rFonts w:cs="Arial"/>
        </w:rPr>
      </w:pPr>
      <w:r w:rsidRPr="00B85D62">
        <w:rPr>
          <w:rFonts w:cs="Arial"/>
        </w:rPr>
        <w:t>To evaluate the benefits and costs of alternative ways to design a cascade service, it is important to understand how different features of the cascade service impact on the yield of FH cases. This chapter reports the analysis of a large sample of index</w:t>
      </w:r>
      <w:r w:rsidR="61D2FA32" w:rsidRPr="00B85D62">
        <w:rPr>
          <w:rFonts w:cs="Arial"/>
        </w:rPr>
        <w:t xml:space="preserve"> cas</w:t>
      </w:r>
      <w:r w:rsidRPr="00B85D62">
        <w:rPr>
          <w:rFonts w:cs="Arial"/>
        </w:rPr>
        <w:t xml:space="preserve">es and relatives considered for genetic testing within the Welsh and Wessex FH services (see </w:t>
      </w:r>
      <w:r w:rsidR="71E67F67" w:rsidRPr="00B85D62">
        <w:rPr>
          <w:rFonts w:cs="Arial"/>
        </w:rPr>
        <w:t xml:space="preserve">Section </w:t>
      </w:r>
      <w:r w:rsidR="0038243F" w:rsidRPr="00B85D62">
        <w:rPr>
          <w:rFonts w:cs="Arial"/>
        </w:rPr>
        <w:t>6</w:t>
      </w:r>
      <w:r w:rsidR="71E67F67" w:rsidRPr="00B85D62">
        <w:rPr>
          <w:rFonts w:cs="Arial"/>
        </w:rPr>
        <w:t>.4</w:t>
      </w:r>
      <w:r w:rsidRPr="00B85D62">
        <w:rPr>
          <w:rFonts w:cs="Arial"/>
        </w:rPr>
        <w:t xml:space="preserve"> for a description of the services). All available records within PASS for each service were made available for this analysis. Though designed to support the operational needs of FH cascade services, PASS provides a rich source of information on the characteristics of the service and the index</w:t>
      </w:r>
      <w:r w:rsidR="0038243F" w:rsidRPr="00B85D62">
        <w:rPr>
          <w:rFonts w:cs="Arial"/>
        </w:rPr>
        <w:t xml:space="preserve"> cas</w:t>
      </w:r>
      <w:r w:rsidRPr="00B85D62">
        <w:rPr>
          <w:rFonts w:cs="Arial"/>
        </w:rPr>
        <w:t>es and relatives engaging with the service. The specific research questions this analysis seeks to inform within a UK context are:</w:t>
      </w:r>
    </w:p>
    <w:p w14:paraId="53577CA3" w14:textId="77777777" w:rsidR="004945A6" w:rsidRPr="00B85D62" w:rsidRDefault="004945A6" w:rsidP="000F7121">
      <w:pPr>
        <w:pStyle w:val="ListParagraph"/>
        <w:numPr>
          <w:ilvl w:val="0"/>
          <w:numId w:val="18"/>
        </w:numPr>
        <w:spacing w:after="200"/>
        <w:rPr>
          <w:rFonts w:cs="Arial"/>
        </w:rPr>
      </w:pPr>
      <w:r w:rsidRPr="00B85D62">
        <w:rPr>
          <w:rFonts w:cs="Arial"/>
        </w:rPr>
        <w:t>What are the characteristics and diagnoses of tested index cases?</w:t>
      </w:r>
    </w:p>
    <w:p w14:paraId="5392E82B" w14:textId="77777777" w:rsidR="00B85D62" w:rsidRPr="00B85D62" w:rsidRDefault="004945A6" w:rsidP="000F7121">
      <w:pPr>
        <w:pStyle w:val="ListParagraph"/>
        <w:numPr>
          <w:ilvl w:val="0"/>
          <w:numId w:val="18"/>
        </w:numPr>
        <w:spacing w:after="200"/>
        <w:rPr>
          <w:rFonts w:cs="Arial"/>
        </w:rPr>
      </w:pPr>
      <w:r w:rsidRPr="00B85D62">
        <w:rPr>
          <w:rFonts w:cs="Arial"/>
        </w:rPr>
        <w:t>How well do the clinical criteria used to select index cases for genetic testing perform?</w:t>
      </w:r>
    </w:p>
    <w:p w14:paraId="09D33819" w14:textId="20B4CFC1" w:rsidR="004945A6" w:rsidRPr="00B85D62" w:rsidRDefault="004945A6" w:rsidP="000F7121">
      <w:pPr>
        <w:pStyle w:val="ListParagraph"/>
        <w:numPr>
          <w:ilvl w:val="0"/>
          <w:numId w:val="18"/>
        </w:numPr>
        <w:spacing w:after="200"/>
        <w:rPr>
          <w:rFonts w:cs="Arial"/>
        </w:rPr>
      </w:pPr>
      <w:r w:rsidRPr="00B85D62">
        <w:rPr>
          <w:rFonts w:cs="Arial"/>
        </w:rPr>
        <w:t>How many relatives complete cascade testing, how many relatives could potentially be reached by cascade services, and what service or patient factors might explain participation by relatives?</w:t>
      </w:r>
    </w:p>
    <w:p w14:paraId="071BD43A" w14:textId="77777777" w:rsidR="004945A6" w:rsidRPr="00B85D62" w:rsidRDefault="004945A6" w:rsidP="000F7121">
      <w:pPr>
        <w:pStyle w:val="ListParagraph"/>
        <w:numPr>
          <w:ilvl w:val="0"/>
          <w:numId w:val="18"/>
        </w:numPr>
        <w:spacing w:after="200"/>
        <w:rPr>
          <w:rFonts w:cs="Arial"/>
        </w:rPr>
      </w:pPr>
      <w:r w:rsidRPr="00B85D62">
        <w:rPr>
          <w:rFonts w:cs="Arial"/>
        </w:rPr>
        <w:t>What are the characteristics of relatives who complete the cascade and for whom cascade testing offers the opportunity for improved management and outcomes?</w:t>
      </w:r>
    </w:p>
    <w:p w14:paraId="51A970F0" w14:textId="7E16B0BD" w:rsidR="004945A6" w:rsidRPr="00B85D62" w:rsidRDefault="004945A6" w:rsidP="0066232B">
      <w:pPr>
        <w:rPr>
          <w:rFonts w:cs="Arial"/>
        </w:rPr>
      </w:pPr>
      <w:r w:rsidRPr="00B85D62">
        <w:rPr>
          <w:rFonts w:cs="Arial"/>
        </w:rPr>
        <w:t xml:space="preserve">Results from this chapter inform the cost-effectiveness model comparing cascade testing protocols presented in </w:t>
      </w:r>
      <w:r w:rsidR="000224D9" w:rsidRPr="00B85D62">
        <w:rPr>
          <w:rFonts w:cs="Arial"/>
        </w:rPr>
        <w:t xml:space="preserve">Section </w:t>
      </w:r>
      <w:r w:rsidR="009E0E4F" w:rsidRPr="00B85D62">
        <w:rPr>
          <w:rFonts w:cs="Arial"/>
        </w:rPr>
        <w:t>8</w:t>
      </w:r>
      <w:r w:rsidR="000224D9" w:rsidRPr="00B85D62">
        <w:rPr>
          <w:rFonts w:cs="Arial"/>
        </w:rPr>
        <w:t>.5</w:t>
      </w:r>
      <w:r w:rsidRPr="00B85D62">
        <w:rPr>
          <w:rFonts w:cs="Arial"/>
        </w:rPr>
        <w:t>.</w:t>
      </w:r>
    </w:p>
    <w:p w14:paraId="6C5E860B" w14:textId="0B16BBEC" w:rsidR="004945A6" w:rsidRPr="00B85D62" w:rsidRDefault="004945A6" w:rsidP="006C7E71">
      <w:pPr>
        <w:pStyle w:val="Heading3"/>
      </w:pPr>
      <w:bookmarkStart w:id="178" w:name="_Toc52445674"/>
      <w:bookmarkStart w:id="179" w:name="_Toc107157485"/>
      <w:r w:rsidRPr="00B85D62">
        <w:t>Methods</w:t>
      </w:r>
      <w:bookmarkEnd w:id="178"/>
      <w:bookmarkEnd w:id="179"/>
    </w:p>
    <w:p w14:paraId="0149528E" w14:textId="095F014B" w:rsidR="004945A6" w:rsidRPr="00B85D62" w:rsidRDefault="004945A6" w:rsidP="006C7E71">
      <w:pPr>
        <w:pStyle w:val="Heading4"/>
        <w:numPr>
          <w:ilvl w:val="0"/>
          <w:numId w:val="0"/>
        </w:numPr>
      </w:pPr>
      <w:bookmarkStart w:id="180" w:name="_Ref64980488"/>
      <w:r w:rsidRPr="00B85D62">
        <w:rPr>
          <w:highlight w:val="magenta"/>
        </w:rPr>
        <w:t>Data</w:t>
      </w:r>
      <w:r w:rsidRPr="00B85D62">
        <w:t xml:space="preserve"> sources and study population</w:t>
      </w:r>
      <w:bookmarkEnd w:id="180"/>
    </w:p>
    <w:p w14:paraId="74F0BD1E" w14:textId="01509F1F" w:rsidR="004945A6" w:rsidRPr="00B85D62" w:rsidRDefault="75DE676D" w:rsidP="0066232B">
      <w:pPr>
        <w:rPr>
          <w:rFonts w:cs="Arial"/>
        </w:rPr>
      </w:pPr>
      <w:r w:rsidRPr="00B85D62">
        <w:rPr>
          <w:rFonts w:cs="Arial"/>
        </w:rPr>
        <w:t xml:space="preserve">Four </w:t>
      </w:r>
      <w:r w:rsidRPr="00B85D62">
        <w:rPr>
          <w:rFonts w:cs="Arial"/>
          <w:highlight w:val="magenta"/>
        </w:rPr>
        <w:t>data</w:t>
      </w:r>
      <w:r w:rsidRPr="00B85D62">
        <w:rPr>
          <w:rFonts w:cs="Arial"/>
        </w:rPr>
        <w:t xml:space="preserve"> extractions from the PASS database in Wales and Wessex informed the current analysis: i) Welsh index cases; ii) Welsh relative entries; iii) Wessex index cases; iv) Wessex relative entries. Welsh and Wessex extractions comprised all patient records within the Welsh national FH cascading service, and those within the Southampton, Hampshire, Isle of Wight and Portsmouth (SHIP) Wessex FH cascade testing service at the time of extraction, respectively. </w:t>
      </w:r>
      <w:r w:rsidR="0E98D597" w:rsidRPr="00B85D62">
        <w:rPr>
          <w:rFonts w:cs="Arial"/>
        </w:rPr>
        <w:t>E</w:t>
      </w:r>
      <w:r w:rsidRPr="00B85D62">
        <w:rPr>
          <w:rFonts w:cs="Arial"/>
        </w:rPr>
        <w:t>xtractions</w:t>
      </w:r>
      <w:r w:rsidR="1341F862" w:rsidRPr="00B85D62">
        <w:rPr>
          <w:rFonts w:cs="Arial"/>
        </w:rPr>
        <w:t xml:space="preserve"> of index cases</w:t>
      </w:r>
      <w:r w:rsidRPr="00B85D62">
        <w:rPr>
          <w:rFonts w:cs="Arial"/>
        </w:rPr>
        <w:t xml:space="preserve"> included patients assessed for genetic testing by their service.</w:t>
      </w:r>
      <w:r w:rsidR="00895586" w:rsidRPr="00B85D62">
        <w:rPr>
          <w:rFonts w:cs="Arial"/>
        </w:rPr>
        <w:t xml:space="preserve"> </w:t>
      </w:r>
      <w:r w:rsidR="5701C956" w:rsidRPr="00B85D62">
        <w:rPr>
          <w:rFonts w:cs="Arial"/>
        </w:rPr>
        <w:t>E</w:t>
      </w:r>
      <w:r w:rsidRPr="00B85D62">
        <w:rPr>
          <w:rFonts w:cs="Arial"/>
        </w:rPr>
        <w:t>xtraction</w:t>
      </w:r>
      <w:r w:rsidR="0E8FAD13" w:rsidRPr="00B85D62">
        <w:rPr>
          <w:rFonts w:cs="Arial"/>
        </w:rPr>
        <w:t xml:space="preserve"> of relatives </w:t>
      </w:r>
      <w:r w:rsidRPr="00B85D62">
        <w:rPr>
          <w:rFonts w:cs="Arial"/>
        </w:rPr>
        <w:t>included every relative case documented by each service.</w:t>
      </w:r>
    </w:p>
    <w:p w14:paraId="52941631" w14:textId="77777777" w:rsidR="004945A6" w:rsidRPr="00B85D62" w:rsidRDefault="004945A6" w:rsidP="0066232B">
      <w:pPr>
        <w:rPr>
          <w:rFonts w:cs="Arial"/>
          <w:b/>
          <w:bCs/>
        </w:rPr>
      </w:pPr>
      <w:bookmarkStart w:id="181" w:name="_Ref57199248"/>
      <w:r w:rsidRPr="00B85D62">
        <w:rPr>
          <w:rFonts w:cs="Arial"/>
          <w:b/>
          <w:bCs/>
        </w:rPr>
        <w:t xml:space="preserve">Index </w:t>
      </w:r>
      <w:r w:rsidRPr="00B85D62">
        <w:rPr>
          <w:rFonts w:cs="Arial"/>
          <w:b/>
          <w:bCs/>
          <w:highlight w:val="magenta"/>
        </w:rPr>
        <w:t>data</w:t>
      </w:r>
      <w:r w:rsidRPr="00B85D62">
        <w:rPr>
          <w:rFonts w:cs="Arial"/>
          <w:b/>
          <w:bCs/>
        </w:rPr>
        <w:t xml:space="preserve"> extraction and inclusion criteria</w:t>
      </w:r>
      <w:bookmarkEnd w:id="181"/>
    </w:p>
    <w:p w14:paraId="7A7580F1" w14:textId="33E2F949" w:rsidR="00B85D62" w:rsidRPr="00B85D62" w:rsidRDefault="75DE676D" w:rsidP="0066232B">
      <w:pPr>
        <w:rPr>
          <w:rFonts w:cs="Arial"/>
        </w:rPr>
      </w:pPr>
      <w:r w:rsidRPr="00B85D62">
        <w:rPr>
          <w:rFonts w:cs="Arial"/>
        </w:rPr>
        <w:t xml:space="preserve">Index </w:t>
      </w:r>
      <w:r w:rsidR="73ABED4F" w:rsidRPr="00B85D62">
        <w:rPr>
          <w:rFonts w:cs="Arial"/>
        </w:rPr>
        <w:t xml:space="preserve">case </w:t>
      </w:r>
      <w:r w:rsidR="00B85D62" w:rsidRPr="00B85D62">
        <w:rPr>
          <w:rFonts w:cs="Arial"/>
          <w:color w:val="00B0F0"/>
          <w:highlight w:val="magenta"/>
        </w:rPr>
        <w:t>data</w:t>
      </w:r>
      <w:r w:rsidR="00B85D62" w:rsidRPr="00B85D62">
        <w:rPr>
          <w:rFonts w:cs="Arial"/>
          <w:color w:val="00B0F0"/>
        </w:rPr>
        <w:t xml:space="preserve"> were</w:t>
      </w:r>
      <w:r w:rsidRPr="00B85D62">
        <w:rPr>
          <w:rFonts w:cs="Arial"/>
        </w:rPr>
        <w:t xml:space="preserve"> extracted from the PASS system in Wales and the Wessex region of England on the </w:t>
      </w:r>
      <w:r w:rsidR="00B85D62" w:rsidRPr="00B85D62">
        <w:rPr>
          <w:rFonts w:cs="Arial"/>
          <w:color w:val="00B0F0"/>
        </w:rPr>
        <w:t>9th</w:t>
      </w:r>
      <w:r w:rsidRPr="00B85D62">
        <w:rPr>
          <w:rFonts w:cs="Arial"/>
        </w:rPr>
        <w:t xml:space="preserve"> October 2019 and the 2</w:t>
      </w:r>
      <w:r w:rsidR="00B85D62" w:rsidRPr="00B85D62">
        <w:rPr>
          <w:rFonts w:cs="Arial"/>
          <w:color w:val="00B0F0"/>
        </w:rPr>
        <w:t>0th</w:t>
      </w:r>
      <w:r w:rsidRPr="00B85D62">
        <w:rPr>
          <w:rFonts w:cs="Arial"/>
        </w:rPr>
        <w:t xml:space="preserve"> November 2019, respectively. The Welsh index </w:t>
      </w:r>
      <w:r w:rsidR="45F0FC1F" w:rsidRPr="00B85D62">
        <w:rPr>
          <w:rFonts w:cs="Arial"/>
        </w:rPr>
        <w:t xml:space="preserve">case </w:t>
      </w:r>
      <w:r w:rsidRPr="00B85D62">
        <w:rPr>
          <w:rFonts w:cs="Arial"/>
        </w:rPr>
        <w:t xml:space="preserve">extraction included 2,717 index cases, while the Wessex extraction included 1,122 </w:t>
      </w:r>
      <w:r w:rsidR="5C815657" w:rsidRPr="00B85D62">
        <w:rPr>
          <w:rFonts w:cs="Arial"/>
        </w:rPr>
        <w:t>cases</w:t>
      </w:r>
      <w:r w:rsidRPr="00B85D62">
        <w:rPr>
          <w:rFonts w:cs="Arial"/>
        </w:rPr>
        <w:t>. For index</w:t>
      </w:r>
      <w:r w:rsidR="10A4E47F" w:rsidRPr="00B85D62">
        <w:rPr>
          <w:rFonts w:cs="Arial"/>
        </w:rPr>
        <w:t xml:space="preserve"> cas</w:t>
      </w:r>
      <w:r w:rsidRPr="00B85D62">
        <w:rPr>
          <w:rFonts w:cs="Arial"/>
        </w:rPr>
        <w:t xml:space="preserve">es, </w:t>
      </w:r>
      <w:r w:rsidRPr="00B85D62">
        <w:rPr>
          <w:rFonts w:cs="Arial"/>
          <w:highlight w:val="magenta"/>
        </w:rPr>
        <w:t>data</w:t>
      </w:r>
      <w:r w:rsidRPr="00B85D62">
        <w:rPr>
          <w:rFonts w:cs="Arial"/>
        </w:rPr>
        <w:t xml:space="preserve"> extracted from the PASS system included: health board, lower layer super output area (LSOA), number of relatives that have been entered relating to an index, year of birth, gender, date of genetic test request/result, genetic diagnosis (</w:t>
      </w:r>
      <w:r w:rsidR="54639E13" w:rsidRPr="00B85D62">
        <w:rPr>
          <w:rFonts w:cs="Arial"/>
        </w:rPr>
        <w:t xml:space="preserve">genetically-confirmed </w:t>
      </w:r>
      <w:r w:rsidRPr="00B85D62">
        <w:rPr>
          <w:rFonts w:cs="Arial"/>
        </w:rPr>
        <w:t xml:space="preserve">FH, VUS or neither), FH mutation, </w:t>
      </w:r>
      <w:r w:rsidR="00D55D23" w:rsidRPr="00B85D62">
        <w:rPr>
          <w:rFonts w:cs="Arial"/>
        </w:rPr>
        <w:t xml:space="preserve">cardiovascular </w:t>
      </w:r>
      <w:r w:rsidRPr="00B85D62">
        <w:rPr>
          <w:rFonts w:cs="Arial"/>
        </w:rPr>
        <w:t>event history, LLT, cholesterol level, scoring criteria used for determining eligibility for genetic testing, and a family number used to link indexes with relative cases.</w:t>
      </w:r>
    </w:p>
    <w:p w14:paraId="293F473F" w14:textId="2DADB2AF" w:rsidR="00B85D62" w:rsidRPr="00B85D62" w:rsidRDefault="2685F7A3" w:rsidP="0066232B">
      <w:pPr>
        <w:rPr>
          <w:rFonts w:cs="Arial"/>
        </w:rPr>
      </w:pPr>
      <w:r w:rsidRPr="00B85D62">
        <w:rPr>
          <w:rFonts w:cs="Arial"/>
        </w:rPr>
        <w:lastRenderedPageBreak/>
        <w:t>To ensure that the analysis sample represented the index population of each service, index</w:t>
      </w:r>
      <w:r w:rsidR="08AFA122" w:rsidRPr="00B85D62">
        <w:rPr>
          <w:rFonts w:cs="Arial"/>
        </w:rPr>
        <w:t xml:space="preserve"> cas</w:t>
      </w:r>
      <w:r w:rsidRPr="00B85D62">
        <w:rPr>
          <w:rFonts w:cs="Arial"/>
        </w:rPr>
        <w:t xml:space="preserve">es were excluded if they resided outside the catchment area of the cascade service (henceforth referred to as </w:t>
      </w:r>
      <w:r w:rsidR="00B85D62" w:rsidRPr="00B85D62">
        <w:rPr>
          <w:rFonts w:cs="Arial"/>
        </w:rPr>
        <w:t>“</w:t>
      </w:r>
      <w:r w:rsidRPr="00B85D62">
        <w:rPr>
          <w:rFonts w:cs="Arial"/>
        </w:rPr>
        <w:t>out-of-area</w:t>
      </w:r>
      <w:r w:rsidR="00B85D62" w:rsidRPr="00B85D62">
        <w:rPr>
          <w:rFonts w:cs="Arial"/>
        </w:rPr>
        <w:t>”</w:t>
      </w:r>
      <w:r w:rsidRPr="00B85D62">
        <w:rPr>
          <w:rFonts w:cs="Arial"/>
        </w:rPr>
        <w:t xml:space="preserve"> as </w:t>
      </w:r>
      <w:r w:rsidR="00282E46" w:rsidRPr="00B85D62">
        <w:rPr>
          <w:rFonts w:cs="Arial"/>
        </w:rPr>
        <w:t>opposed</w:t>
      </w:r>
      <w:r w:rsidRPr="00B85D62">
        <w:rPr>
          <w:rFonts w:cs="Arial"/>
        </w:rPr>
        <w:t xml:space="preserve"> to </w:t>
      </w:r>
      <w:r w:rsidR="00B85D62" w:rsidRPr="00B85D62">
        <w:rPr>
          <w:rFonts w:cs="Arial"/>
        </w:rPr>
        <w:t>“</w:t>
      </w:r>
      <w:r w:rsidRPr="00B85D62">
        <w:rPr>
          <w:rFonts w:cs="Arial"/>
        </w:rPr>
        <w:t>within-area</w:t>
      </w:r>
      <w:r w:rsidR="00B85D62" w:rsidRPr="00B85D62">
        <w:rPr>
          <w:rFonts w:cs="Arial"/>
        </w:rPr>
        <w:t>”</w:t>
      </w:r>
      <w:r w:rsidRPr="00B85D62">
        <w:rPr>
          <w:rFonts w:cs="Arial"/>
        </w:rPr>
        <w:t>)</w:t>
      </w:r>
      <w:bookmarkStart w:id="182" w:name="_Hlk58242528"/>
      <w:r w:rsidRPr="00B85D62">
        <w:rPr>
          <w:rFonts w:cs="Arial"/>
        </w:rPr>
        <w:t>.</w:t>
      </w:r>
      <w:bookmarkEnd w:id="182"/>
    </w:p>
    <w:p w14:paraId="39F126CF" w14:textId="08E08AF3" w:rsidR="004945A6" w:rsidRPr="00B85D62" w:rsidRDefault="004945A6" w:rsidP="0066232B">
      <w:pPr>
        <w:rPr>
          <w:rFonts w:cs="Arial"/>
          <w:b/>
          <w:bCs/>
        </w:rPr>
      </w:pPr>
      <w:bookmarkStart w:id="183" w:name="_Ref57228772"/>
      <w:r w:rsidRPr="00B85D62">
        <w:rPr>
          <w:rFonts w:cs="Arial"/>
          <w:b/>
          <w:bCs/>
        </w:rPr>
        <w:t xml:space="preserve">Relative </w:t>
      </w:r>
      <w:r w:rsidRPr="00B85D62">
        <w:rPr>
          <w:rFonts w:cs="Arial"/>
          <w:b/>
          <w:bCs/>
          <w:highlight w:val="magenta"/>
        </w:rPr>
        <w:t>data</w:t>
      </w:r>
      <w:r w:rsidRPr="00B85D62">
        <w:rPr>
          <w:rFonts w:cs="Arial"/>
          <w:b/>
          <w:bCs/>
        </w:rPr>
        <w:t xml:space="preserve"> extraction and inclusion criteria</w:t>
      </w:r>
      <w:bookmarkEnd w:id="183"/>
    </w:p>
    <w:p w14:paraId="736AAFF5" w14:textId="68F7C23F" w:rsidR="004945A6" w:rsidRPr="00B85D62" w:rsidRDefault="75DE676D" w:rsidP="0066232B">
      <w:pPr>
        <w:rPr>
          <w:rFonts w:cs="Arial"/>
        </w:rPr>
      </w:pPr>
      <w:r w:rsidRPr="00B85D62">
        <w:rPr>
          <w:rFonts w:cs="Arial"/>
        </w:rPr>
        <w:t>Relative</w:t>
      </w:r>
      <w:r w:rsidR="00D55D23" w:rsidRPr="00B85D62">
        <w:rPr>
          <w:rFonts w:cs="Arial"/>
        </w:rPr>
        <w:t>s</w:t>
      </w:r>
      <w:r w:rsidR="00B85D62" w:rsidRPr="00B85D62">
        <w:rPr>
          <w:rFonts w:cs="Arial"/>
        </w:rPr>
        <w:t>’</w:t>
      </w:r>
      <w:r w:rsidRPr="00B85D62">
        <w:rPr>
          <w:rFonts w:cs="Arial"/>
        </w:rPr>
        <w:t xml:space="preserve"> </w:t>
      </w:r>
      <w:r w:rsidRPr="00B85D62">
        <w:rPr>
          <w:rFonts w:cs="Arial"/>
          <w:highlight w:val="magenta"/>
        </w:rPr>
        <w:t>data</w:t>
      </w:r>
      <w:r w:rsidRPr="00B85D62">
        <w:rPr>
          <w:rFonts w:cs="Arial"/>
        </w:rPr>
        <w:t xml:space="preserve"> were extracted from the PASS system in Wales and Wessex on the </w:t>
      </w:r>
      <w:r w:rsidR="00B85D62" w:rsidRPr="00B85D62">
        <w:rPr>
          <w:rFonts w:cs="Arial"/>
          <w:color w:val="00B0F0"/>
        </w:rPr>
        <w:t>9th</w:t>
      </w:r>
      <w:r w:rsidRPr="00B85D62">
        <w:rPr>
          <w:rFonts w:cs="Arial"/>
        </w:rPr>
        <w:t xml:space="preserve"> October 2019 and the 2</w:t>
      </w:r>
      <w:r w:rsidR="00B85D62" w:rsidRPr="00B85D62">
        <w:rPr>
          <w:rFonts w:cs="Arial"/>
          <w:color w:val="00B0F0"/>
        </w:rPr>
        <w:t>0th</w:t>
      </w:r>
      <w:r w:rsidRPr="00B85D62">
        <w:rPr>
          <w:rFonts w:cs="Arial"/>
        </w:rPr>
        <w:t xml:space="preserve"> November 2019, respectively. The Welsh extraction provided 8,577 relative records, and the Wessex extraction 6,374. Entries without a family number were superseded records and were removed to leave only linkable unique cases. Variables extracted for relatives included: health board, LSOA code, year of birth, gender, genetic test request/result date, genetic diagnosis (FH or not FH), FH mutation, </w:t>
      </w:r>
      <w:r w:rsidR="00D55D23" w:rsidRPr="00B85D62">
        <w:rPr>
          <w:rFonts w:cs="Arial"/>
        </w:rPr>
        <w:t xml:space="preserve">cardiovascular </w:t>
      </w:r>
      <w:r w:rsidRPr="00B85D62">
        <w:rPr>
          <w:rFonts w:cs="Arial"/>
        </w:rPr>
        <w:t xml:space="preserve">event history, LLT and medication history, cholesterol level, the method used to contact each relative, and a family number used to link relatives to their index case. Index patients formed the upper hierarchy of the </w:t>
      </w:r>
      <w:r w:rsidRPr="00B85D62">
        <w:rPr>
          <w:rFonts w:cs="Arial"/>
          <w:highlight w:val="magenta"/>
        </w:rPr>
        <w:t>data</w:t>
      </w:r>
      <w:r w:rsidRPr="00B85D62">
        <w:rPr>
          <w:rFonts w:cs="Arial"/>
        </w:rPr>
        <w:t xml:space="preserve"> structure, which related relatives were nested within. In rare instances where relatives were nested within two index cases, relatives were linked to both index cases representing the largest feasible number of family members associated to each index case. This results in marginal inflation of the number of relatives per index.</w:t>
      </w:r>
    </w:p>
    <w:p w14:paraId="1265BB7F" w14:textId="77777777" w:rsidR="00B85D62" w:rsidRPr="00B85D62" w:rsidRDefault="004945A6" w:rsidP="0066232B">
      <w:pPr>
        <w:rPr>
          <w:rFonts w:cs="Arial"/>
        </w:rPr>
      </w:pPr>
      <w:r w:rsidRPr="00B85D62">
        <w:rPr>
          <w:rFonts w:cs="Arial"/>
        </w:rPr>
        <w:t>Relative-related analyses were conducted using three alternative analysis sets:</w:t>
      </w:r>
    </w:p>
    <w:p w14:paraId="3DCF1589" w14:textId="77777777" w:rsidR="00B85D62" w:rsidRPr="00B85D62" w:rsidRDefault="75DE676D" w:rsidP="0066232B">
      <w:pPr>
        <w:rPr>
          <w:rFonts w:cs="Arial"/>
        </w:rPr>
      </w:pPr>
      <w:r w:rsidRPr="00B85D62">
        <w:rPr>
          <w:rFonts w:cs="Arial"/>
        </w:rPr>
        <w:t xml:space="preserve">Analysis set (1): included all relatives that could be linked to </w:t>
      </w:r>
      <w:r w:rsidRPr="00B85D62">
        <w:rPr>
          <w:rFonts w:cs="Arial"/>
          <w:highlight w:val="magenta"/>
        </w:rPr>
        <w:t>an F</w:t>
      </w:r>
      <w:r w:rsidRPr="00B85D62">
        <w:rPr>
          <w:rFonts w:cs="Arial"/>
        </w:rPr>
        <w:t>H-positive in-area index</w:t>
      </w:r>
      <w:r w:rsidR="00954489" w:rsidRPr="00B85D62">
        <w:rPr>
          <w:rFonts w:cs="Arial"/>
        </w:rPr>
        <w:t xml:space="preserve"> case</w:t>
      </w:r>
      <w:r w:rsidRPr="00B85D62">
        <w:rPr>
          <w:rFonts w:cs="Arial"/>
        </w:rPr>
        <w:t>; used to investigate the proportion of relatives who reside outside the catchment area of each service and who may therefore not have access to the cascade process.</w:t>
      </w:r>
    </w:p>
    <w:p w14:paraId="7DFCC0C6" w14:textId="77777777" w:rsidR="00B85D62" w:rsidRPr="00B85D62" w:rsidRDefault="004945A6" w:rsidP="0066232B">
      <w:pPr>
        <w:rPr>
          <w:rFonts w:cs="Arial"/>
        </w:rPr>
      </w:pPr>
      <w:r w:rsidRPr="00B85D62">
        <w:rPr>
          <w:rFonts w:cs="Arial"/>
        </w:rPr>
        <w:t xml:space="preserve">Analysis set (2): comprised relatives in analysis set (1) that were accessible to each </w:t>
      </w:r>
      <w:r w:rsidRPr="00B85D62">
        <w:rPr>
          <w:rFonts w:cs="Arial"/>
          <w:highlight w:val="magenta"/>
        </w:rPr>
        <w:t>respective</w:t>
      </w:r>
      <w:r w:rsidRPr="00B85D62">
        <w:rPr>
          <w:rFonts w:cs="Arial"/>
        </w:rPr>
        <w:t xml:space="preserve"> cascade service; used to assess patient- and service-level predictors of cascade completion. Relatives deemed out-of-area and/or those that were not contacted by their cascade service were determined to be inaccessible.</w:t>
      </w:r>
    </w:p>
    <w:p w14:paraId="4D11D325" w14:textId="4C79F6C5" w:rsidR="004945A6" w:rsidRPr="00B85D62" w:rsidRDefault="004945A6" w:rsidP="0066232B">
      <w:pPr>
        <w:rPr>
          <w:rFonts w:cs="Arial"/>
        </w:rPr>
      </w:pPr>
      <w:r w:rsidRPr="00B85D62">
        <w:rPr>
          <w:rFonts w:cs="Arial"/>
        </w:rPr>
        <w:t>Analysis set (3): contains only those relatives from analysis set (2) that completed the cascade; used to assess the characteristics of relatives who underwent genetic testing.</w:t>
      </w:r>
    </w:p>
    <w:p w14:paraId="3FDE00D1" w14:textId="77777777" w:rsidR="004945A6" w:rsidRPr="00B85D62" w:rsidRDefault="004945A6" w:rsidP="006C7E71">
      <w:pPr>
        <w:pStyle w:val="Heading4"/>
        <w:numPr>
          <w:ilvl w:val="0"/>
          <w:numId w:val="0"/>
        </w:numPr>
      </w:pPr>
      <w:bookmarkStart w:id="184" w:name="_Ref64539761"/>
      <w:r w:rsidRPr="00B85D62">
        <w:t>Variable creation and database assumptions</w:t>
      </w:r>
      <w:bookmarkEnd w:id="184"/>
    </w:p>
    <w:p w14:paraId="1413A8B0" w14:textId="3D665CF5" w:rsidR="00B85D62" w:rsidRPr="00B85D62" w:rsidRDefault="75DE676D" w:rsidP="0066232B">
      <w:pPr>
        <w:rPr>
          <w:rFonts w:cs="Arial"/>
        </w:rPr>
      </w:pPr>
      <w:r w:rsidRPr="00B85D62">
        <w:rPr>
          <w:rFonts w:cs="Arial"/>
        </w:rPr>
        <w:t xml:space="preserve">To best utilise the PASS service </w:t>
      </w:r>
      <w:r w:rsidRPr="00B85D62">
        <w:rPr>
          <w:rFonts w:cs="Arial"/>
          <w:highlight w:val="magenta"/>
        </w:rPr>
        <w:t>data</w:t>
      </w:r>
      <w:r w:rsidRPr="00B85D62">
        <w:rPr>
          <w:rFonts w:cs="Arial"/>
        </w:rPr>
        <w:t>, and generate those variables necessary for our analysis, a variety of database assumptions were required and were informed by discussions with the Stakeholder Group</w:t>
      </w:r>
      <w:r w:rsidR="00954489" w:rsidRPr="00B85D62">
        <w:rPr>
          <w:rFonts w:cs="Arial"/>
        </w:rPr>
        <w:t xml:space="preserve"> (including PPIE representatives)</w:t>
      </w:r>
      <w:r w:rsidRPr="00B85D62">
        <w:rPr>
          <w:rFonts w:cs="Arial"/>
        </w:rPr>
        <w:t xml:space="preserve">. Specialist FH nurses manually updated scoring criteria, diagnostic, medication, method of contact and clinical event entries in the PASS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for analysis. A patients</w:t>
      </w:r>
      <w:r w:rsidR="00B85D62" w:rsidRPr="00B85D62">
        <w:rPr>
          <w:rFonts w:cs="Arial"/>
        </w:rPr>
        <w:t>’</w:t>
      </w:r>
      <w:r w:rsidRPr="00B85D62">
        <w:rPr>
          <w:rFonts w:cs="Arial"/>
        </w:rPr>
        <w:t xml:space="preserve"> genetic diagnosis was defined by the corresponding genetic mutation classification used by the services as of 15/04/2020. Details relating to other database assumptions are provided in </w:t>
      </w:r>
      <w:r w:rsidR="00633D0D" w:rsidRPr="00B85D62">
        <w:rPr>
          <w:rFonts w:eastAsia="Arial" w:cs="Arial"/>
          <w:i/>
          <w:color w:val="000000" w:themeColor="text1"/>
        </w:rPr>
        <w:t>Online Supplementary file 3</w:t>
      </w:r>
      <w:r w:rsidR="00633D0D" w:rsidRPr="00B85D62">
        <w:rPr>
          <w:rFonts w:eastAsia="Arial" w:cs="Arial"/>
          <w:color w:val="000000" w:themeColor="text1"/>
        </w:rPr>
        <w:t xml:space="preserve"> </w:t>
      </w:r>
      <w:r w:rsidR="00173900" w:rsidRPr="00B85D62">
        <w:rPr>
          <w:rFonts w:cs="Arial"/>
          <w:i/>
        </w:rPr>
        <w:t>(Additional information)</w:t>
      </w:r>
      <w:r w:rsidRPr="00B85D62">
        <w:rPr>
          <w:rFonts w:cs="Arial"/>
          <w:i/>
        </w:rPr>
        <w:t>.</w:t>
      </w:r>
    </w:p>
    <w:p w14:paraId="13E01023" w14:textId="647C6AA2" w:rsidR="004945A6" w:rsidRPr="00B85D62" w:rsidRDefault="004945A6" w:rsidP="006C7E71">
      <w:pPr>
        <w:pStyle w:val="Heading4"/>
        <w:numPr>
          <w:ilvl w:val="0"/>
          <w:numId w:val="0"/>
        </w:numPr>
      </w:pPr>
      <w:r w:rsidRPr="00B85D62">
        <w:t>Index-related analyses</w:t>
      </w:r>
    </w:p>
    <w:p w14:paraId="656C0E19" w14:textId="77777777" w:rsidR="00B85D62" w:rsidRPr="00B85D62" w:rsidRDefault="75DE676D" w:rsidP="0066232B">
      <w:pPr>
        <w:rPr>
          <w:rFonts w:cs="Arial"/>
        </w:rPr>
      </w:pPr>
      <w:r w:rsidRPr="00B85D62">
        <w:rPr>
          <w:rFonts w:cs="Arial"/>
        </w:rPr>
        <w:t>Index characteristics and test results were compiled descriptively for each service and included age at diagnosis, gender, LDL-C, genetic diagnosis (FH, VUS or neither) and FH mutation genotype.</w:t>
      </w:r>
    </w:p>
    <w:p w14:paraId="43B4A5B9" w14:textId="77777777" w:rsidR="00B85D62" w:rsidRPr="00B85D62" w:rsidRDefault="75DE676D" w:rsidP="0066232B">
      <w:pPr>
        <w:shd w:val="clear" w:color="auto" w:fill="FFFFFF" w:themeFill="background1"/>
        <w:rPr>
          <w:rFonts w:cs="Arial"/>
        </w:rPr>
      </w:pPr>
      <w:r w:rsidRPr="00B85D62">
        <w:rPr>
          <w:rFonts w:cs="Arial"/>
        </w:rPr>
        <w:t xml:space="preserve">Several criteria exist that are designed to select those patients with hypercholesterolaemia who are most likely to have FH genetic mutations. In Wales, FH nurses assess whether index patients are eligible for testing according to a scoring system based on a modification of the Dutch Lipid Clinic Network (DLCN) scoring criteria </w:t>
      </w:r>
      <w:r w:rsidR="00F80015" w:rsidRPr="00B85D62">
        <w:rPr>
          <w:rFonts w:cs="Arial"/>
          <w:noProof/>
          <w:vertAlign w:val="superscript"/>
        </w:rPr>
        <w:t>10</w:t>
      </w:r>
      <w:r w:rsidRPr="00B85D62">
        <w:rPr>
          <w:rFonts w:cs="Arial"/>
        </w:rPr>
        <w:t xml:space="preserve"> (the unadjusted Welsh-DLCN score). An updated version of the Welsh scoring system includes an age-adjustment factor applied to cholesterol-related scoring (the age-adjusted Welsh-DLCN score). The unadjusted Welsh-DLCN score and the age-adjusted Welsh-DLCN score are henceforth referred to as the Welsh scores. In Wessex, a modified version of the Simon Broome Criteria </w:t>
      </w:r>
      <w:r w:rsidR="00F80015" w:rsidRPr="00B85D62">
        <w:rPr>
          <w:rFonts w:cs="Arial"/>
          <w:noProof/>
          <w:vertAlign w:val="superscript"/>
        </w:rPr>
        <w:t>16</w:t>
      </w:r>
      <w:r w:rsidRPr="00B85D62">
        <w:rPr>
          <w:rFonts w:cs="Arial"/>
        </w:rPr>
        <w:t xml:space="preserve"> is used for patient referral. Patients in Wales with a DLCN score of 6 or above, and patients in Wessex deemed possible or definite FH on SB criteria, are offered genetic testing. Both services have provided referrals below these thresholds in circumstances where other individual factors might make FH more likely in a patient (e.g. a family history of early CHD in the absence of smoking or other risk factors). It should therefore be noted that index</w:t>
      </w:r>
      <w:r w:rsidR="3DD7C556" w:rsidRPr="00B85D62">
        <w:rPr>
          <w:rFonts w:cs="Arial"/>
        </w:rPr>
        <w:t xml:space="preserve"> cas</w:t>
      </w:r>
      <w:r w:rsidRPr="00B85D62">
        <w:rPr>
          <w:rFonts w:cs="Arial"/>
        </w:rPr>
        <w:t xml:space="preserve">es recorded in PASS with scores below service referral thresholds risk being unrepresentative of the population ineligible for testing. </w:t>
      </w:r>
      <w:bookmarkStart w:id="185" w:name="_Hlk73446548"/>
      <w:r w:rsidR="0F32463F" w:rsidRPr="00B85D62">
        <w:rPr>
          <w:rFonts w:cs="Arial"/>
        </w:rPr>
        <w:t xml:space="preserve">For this analysis </w:t>
      </w:r>
      <w:r w:rsidRPr="00B85D62">
        <w:rPr>
          <w:rFonts w:cs="Arial"/>
        </w:rPr>
        <w:t xml:space="preserve">unmodified Simon-Broome scores were compiled and presented for Wessex index cases, deviating from the criteria used in </w:t>
      </w:r>
      <w:r w:rsidR="48D8C18D" w:rsidRPr="00B85D62">
        <w:rPr>
          <w:rFonts w:cs="Arial"/>
        </w:rPr>
        <w:t xml:space="preserve">current </w:t>
      </w:r>
      <w:r w:rsidRPr="00B85D62">
        <w:rPr>
          <w:rFonts w:cs="Arial"/>
          <w:highlight w:val="magenta"/>
        </w:rPr>
        <w:t>practice</w:t>
      </w:r>
      <w:r w:rsidR="50D391C4" w:rsidRPr="00B85D62">
        <w:rPr>
          <w:rFonts w:cs="Arial"/>
        </w:rPr>
        <w:t xml:space="preserve"> in Wessex</w:t>
      </w:r>
      <w:r w:rsidRPr="00B85D62">
        <w:rPr>
          <w:rFonts w:cs="Arial"/>
        </w:rPr>
        <w:t>.</w:t>
      </w:r>
      <w:bookmarkEnd w:id="185"/>
    </w:p>
    <w:p w14:paraId="1E61A7C3" w14:textId="40017CDC" w:rsidR="00B85D62" w:rsidRPr="00B85D62" w:rsidRDefault="75DE676D" w:rsidP="00D07BF3">
      <w:pPr>
        <w:rPr>
          <w:rFonts w:cs="Arial"/>
          <w:i/>
        </w:rPr>
      </w:pPr>
      <w:r w:rsidRPr="00B85D62">
        <w:rPr>
          <w:rFonts w:cs="Arial"/>
        </w:rPr>
        <w:t xml:space="preserve">As the age-adjusted Welsh-DLCN score is relatively new and not available for all patients, it had a high degree of missing </w:t>
      </w:r>
      <w:r w:rsidRPr="00B85D62">
        <w:rPr>
          <w:rFonts w:cs="Arial"/>
          <w:highlight w:val="magenta"/>
        </w:rPr>
        <w:t>data</w:t>
      </w:r>
      <w:r w:rsidRPr="00B85D62">
        <w:rPr>
          <w:rFonts w:cs="Arial"/>
        </w:rPr>
        <w:t>. An inferred age-adjusted Welsh-DLCN score was also therefore calculated. For this inferred score, the age-adjusted Welsh-DLCN score was used where available, where it was not available it was inferred using information on the unadjusted Welsh-DLCN score and patients</w:t>
      </w:r>
      <w:r w:rsidR="00B85D62" w:rsidRPr="00B85D62">
        <w:rPr>
          <w:rFonts w:cs="Arial"/>
        </w:rPr>
        <w:t>’</w:t>
      </w:r>
      <w:r w:rsidRPr="00B85D62">
        <w:rPr>
          <w:rFonts w:cs="Arial"/>
        </w:rPr>
        <w:t xml:space="preserve"> LDL-C. The adjustment used is described in </w:t>
      </w:r>
      <w:r w:rsidR="00633D0D" w:rsidRPr="00B85D62">
        <w:rPr>
          <w:rFonts w:eastAsia="Arial" w:cs="Arial"/>
          <w:i/>
          <w:color w:val="000000" w:themeColor="text1"/>
        </w:rPr>
        <w:t>Online Supplementary file 3</w:t>
      </w:r>
      <w:r w:rsidR="00633D0D" w:rsidRPr="00B85D62">
        <w:rPr>
          <w:rFonts w:eastAsia="Arial" w:cs="Arial"/>
          <w:color w:val="000000" w:themeColor="text1"/>
        </w:rPr>
        <w:t xml:space="preserve"> </w:t>
      </w:r>
      <w:r w:rsidR="00633D0D" w:rsidRPr="00B85D62">
        <w:rPr>
          <w:rFonts w:cs="Arial"/>
          <w:i/>
        </w:rPr>
        <w:t>(Additional information).</w:t>
      </w:r>
    </w:p>
    <w:p w14:paraId="3E868DC5" w14:textId="3F39AC5A" w:rsidR="00B85D62" w:rsidRPr="00B85D62" w:rsidRDefault="75DE676D" w:rsidP="0066232B">
      <w:pPr>
        <w:rPr>
          <w:rFonts w:cs="Arial"/>
        </w:rPr>
      </w:pPr>
      <w:r w:rsidRPr="00B85D62">
        <w:rPr>
          <w:rFonts w:cs="Arial"/>
        </w:rPr>
        <w:t xml:space="preserve">The rates of FH and VUS were compared across scores. The sensitivity and specificity of using different clinical thresholds were considered for the Welsh scores. These measures of diagnostic performance reflect the performance of the Welsh scores in individuals who met the screening criteria of having scores </w:t>
      </w:r>
      <w:r w:rsidR="00B85D62" w:rsidRPr="00B85D62">
        <w:rPr>
          <w:rFonts w:cs="Arial"/>
          <w:color w:val="00B0F0"/>
        </w:rPr>
        <w:t>≥</w:t>
      </w:r>
      <w:r w:rsidR="00B85D62" w:rsidRPr="00B85D62">
        <w:rPr>
          <w:rFonts w:cs="Arial"/>
          <w:color w:val="00B0F0"/>
        </w:rPr>
        <w:t> </w:t>
      </w:r>
      <w:r w:rsidR="00B85D62" w:rsidRPr="00B85D62">
        <w:rPr>
          <w:rFonts w:cs="Arial"/>
          <w:color w:val="00B0F0"/>
        </w:rPr>
        <w:t>6</w:t>
      </w:r>
      <w:r w:rsidRPr="00B85D62">
        <w:rPr>
          <w:rFonts w:cs="Arial"/>
        </w:rPr>
        <w:t xml:space="preserve">. They therefore reflect the sensitivity and specificity </w:t>
      </w:r>
      <w:r w:rsidR="00B85D62" w:rsidRPr="00B85D62">
        <w:rPr>
          <w:rFonts w:cs="Arial"/>
          <w:color w:val="00B0F0"/>
        </w:rPr>
        <w:t>among</w:t>
      </w:r>
      <w:r w:rsidRPr="00B85D62">
        <w:rPr>
          <w:rFonts w:cs="Arial"/>
        </w:rPr>
        <w:t xml:space="preserve"> this subpopulation of index cases only.</w:t>
      </w:r>
    </w:p>
    <w:p w14:paraId="6C930E13" w14:textId="236D98AB" w:rsidR="004945A6" w:rsidRPr="00B85D62" w:rsidRDefault="004945A6" w:rsidP="006C7E71">
      <w:pPr>
        <w:pStyle w:val="Heading4"/>
        <w:numPr>
          <w:ilvl w:val="0"/>
          <w:numId w:val="0"/>
        </w:numPr>
      </w:pPr>
      <w:r w:rsidRPr="00B85D62">
        <w:lastRenderedPageBreak/>
        <w:t>Relative-related analyses</w:t>
      </w:r>
    </w:p>
    <w:p w14:paraId="64A91BD4" w14:textId="77777777" w:rsidR="00B85D62" w:rsidRPr="00B85D62" w:rsidRDefault="75DE676D" w:rsidP="0066232B">
      <w:pPr>
        <w:rPr>
          <w:rFonts w:cs="Arial"/>
        </w:rPr>
      </w:pPr>
      <w:r w:rsidRPr="00B85D62">
        <w:rPr>
          <w:rFonts w:cs="Arial"/>
        </w:rPr>
        <w:t>To explicate the retention levels achieved between an index</w:t>
      </w:r>
      <w:r w:rsidR="3B14E610" w:rsidRPr="00B85D62">
        <w:rPr>
          <w:rFonts w:cs="Arial"/>
        </w:rPr>
        <w:t xml:space="preserve"> cas</w:t>
      </w:r>
      <w:r w:rsidRPr="00B85D62">
        <w:rPr>
          <w:rFonts w:cs="Arial"/>
        </w:rPr>
        <w:t xml:space="preserve">es pedigree and the final number of relatives eventually cascaded, the average number of relatives per FH index </w:t>
      </w:r>
      <w:r w:rsidR="00D50BF9" w:rsidRPr="00B85D62">
        <w:rPr>
          <w:rFonts w:cs="Arial"/>
        </w:rPr>
        <w:t xml:space="preserve">case </w:t>
      </w:r>
      <w:r w:rsidRPr="00B85D62">
        <w:rPr>
          <w:rFonts w:cs="Arial"/>
        </w:rPr>
        <w:t>were calculated in the following descended sub-samples: 1) relatives within the pedigree and linked to an index; 2) within-area relatives; 3) contacted relatives; 4) cascaded (genetically tested) relatives; 5) FH relatives identified.</w:t>
      </w:r>
    </w:p>
    <w:p w14:paraId="262F3B50" w14:textId="77777777" w:rsidR="00B85D62" w:rsidRPr="00B85D62" w:rsidRDefault="004945A6" w:rsidP="0066232B">
      <w:pPr>
        <w:rPr>
          <w:rFonts w:cs="Arial"/>
        </w:rPr>
      </w:pPr>
      <w:r w:rsidRPr="00B85D62">
        <w:rPr>
          <w:rFonts w:cs="Arial"/>
        </w:rPr>
        <w:t xml:space="preserve">To better explore patient- and service-level factors which contribute to a relative completing the cascade (i.e. the transition between subsamples 3) and 4)), the probabilities of a relative completing the cascade in each cascading service were calculated using logistic regression. Covariate selection was informed by known predictors of cascade completion in the literature and included gender, relative degree and method of contact </w:t>
      </w:r>
      <w:r w:rsidR="00F80015" w:rsidRPr="00B85D62">
        <w:rPr>
          <w:rFonts w:cs="Arial"/>
          <w:noProof/>
          <w:vertAlign w:val="superscript"/>
        </w:rPr>
        <w:t>42</w:t>
      </w:r>
      <w:r w:rsidRPr="00B85D62">
        <w:rPr>
          <w:rFonts w:cs="Arial"/>
        </w:rPr>
        <w:t>. Age was not considered as this was typically unavailable for those relatives who did not complete the cascade.</w:t>
      </w:r>
    </w:p>
    <w:p w14:paraId="6A505472" w14:textId="77777777" w:rsidR="00B85D62" w:rsidRPr="00B85D62" w:rsidRDefault="004945A6" w:rsidP="0066232B">
      <w:pPr>
        <w:rPr>
          <w:rFonts w:cs="Arial"/>
        </w:rPr>
      </w:pPr>
      <w:bookmarkStart w:id="186" w:name="_Hlk64555090"/>
      <w:r w:rsidRPr="00B85D62">
        <w:rPr>
          <w:rFonts w:cs="Arial"/>
        </w:rPr>
        <w:t xml:space="preserve">The method used by each service to contact relatives was informed by PASS accounts, and for Wales, a complementary assessment of relative records provided by a specialist FH nurse. </w:t>
      </w:r>
      <w:bookmarkEnd w:id="186"/>
      <w:r w:rsidRPr="00B85D62">
        <w:rPr>
          <w:rFonts w:cs="Arial"/>
        </w:rPr>
        <w:t>The method of cascading is selected on a case-by-case basis by health-care professionals involved in the cascade.</w:t>
      </w:r>
    </w:p>
    <w:p w14:paraId="5C7A5445" w14:textId="77777777" w:rsidR="00B85D62" w:rsidRPr="00B85D62" w:rsidRDefault="004945A6" w:rsidP="0066232B">
      <w:pPr>
        <w:rPr>
          <w:rFonts w:cs="Arial"/>
        </w:rPr>
      </w:pPr>
      <w:r w:rsidRPr="00B85D62">
        <w:rPr>
          <w:rFonts w:cs="Arial"/>
        </w:rPr>
        <w:t>Methods were assigned to one of five categories:</w:t>
      </w:r>
    </w:p>
    <w:p w14:paraId="7183F072" w14:textId="26C486F6" w:rsidR="004945A6" w:rsidRPr="00B85D62" w:rsidRDefault="004945A6" w:rsidP="000F7121">
      <w:pPr>
        <w:pStyle w:val="ListParagraph"/>
        <w:numPr>
          <w:ilvl w:val="0"/>
          <w:numId w:val="17"/>
        </w:numPr>
        <w:spacing w:after="200"/>
        <w:rPr>
          <w:rFonts w:cs="Arial"/>
        </w:rPr>
      </w:pPr>
      <w:bookmarkStart w:id="187" w:name="_Hlk64555028"/>
      <w:r w:rsidRPr="00B85D62">
        <w:rPr>
          <w:rFonts w:cs="Arial"/>
        </w:rPr>
        <w:t>Indirect contact: mediated by patients who pass on personalised clinic letters/information to identified relatives</w:t>
      </w:r>
    </w:p>
    <w:p w14:paraId="6DAC4B4F" w14:textId="77777777" w:rsidR="004945A6" w:rsidRPr="00B85D62" w:rsidRDefault="004945A6" w:rsidP="000F7121">
      <w:pPr>
        <w:pStyle w:val="ListParagraph"/>
        <w:numPr>
          <w:ilvl w:val="0"/>
          <w:numId w:val="17"/>
        </w:numPr>
        <w:spacing w:after="200"/>
        <w:rPr>
          <w:rFonts w:cs="Arial"/>
        </w:rPr>
      </w:pPr>
      <w:r w:rsidRPr="00B85D62">
        <w:rPr>
          <w:rFonts w:cs="Arial"/>
        </w:rPr>
        <w:t>Direct contact: contacted directly by the FH service using telephone calls or letters</w:t>
      </w:r>
    </w:p>
    <w:p w14:paraId="05D20652" w14:textId="77777777" w:rsidR="004945A6" w:rsidRPr="00B85D62" w:rsidRDefault="004945A6" w:rsidP="000F7121">
      <w:pPr>
        <w:pStyle w:val="ListParagraph"/>
        <w:numPr>
          <w:ilvl w:val="0"/>
          <w:numId w:val="17"/>
        </w:numPr>
        <w:spacing w:after="200"/>
        <w:rPr>
          <w:rFonts w:cs="Arial"/>
        </w:rPr>
      </w:pPr>
      <w:r w:rsidRPr="00B85D62">
        <w:rPr>
          <w:rFonts w:cs="Arial"/>
        </w:rPr>
        <w:t>Other contact: contacts to adults made beside direct or indirect methods (e.g. appointments scheduled by a family member or consultant, cases with both direct and indirect contact, etc.)</w:t>
      </w:r>
    </w:p>
    <w:p w14:paraId="65492B90" w14:textId="2BB98AE8" w:rsidR="004945A6" w:rsidRPr="00B85D62" w:rsidRDefault="004945A6" w:rsidP="000F7121">
      <w:pPr>
        <w:pStyle w:val="ListParagraph"/>
        <w:numPr>
          <w:ilvl w:val="0"/>
          <w:numId w:val="17"/>
        </w:numPr>
        <w:spacing w:after="200"/>
        <w:rPr>
          <w:rFonts w:cs="Arial"/>
        </w:rPr>
      </w:pPr>
      <w:r w:rsidRPr="00B85D62">
        <w:rPr>
          <w:rFonts w:cs="Arial"/>
        </w:rPr>
        <w:t xml:space="preserve">Paediatric contact: patients </w:t>
      </w:r>
      <w:r w:rsidR="00B85D62" w:rsidRPr="00B85D62">
        <w:rPr>
          <w:rFonts w:cs="Arial"/>
          <w:color w:val="00B0F0"/>
        </w:rPr>
        <w:t>&lt;</w:t>
      </w:r>
      <w:r w:rsidR="00B85D62" w:rsidRPr="00B85D62">
        <w:rPr>
          <w:rFonts w:cs="Arial"/>
          <w:color w:val="00B0F0"/>
        </w:rPr>
        <w:t> </w:t>
      </w:r>
      <w:r w:rsidR="00B85D62" w:rsidRPr="00B85D62">
        <w:rPr>
          <w:rFonts w:cs="Arial"/>
          <w:color w:val="00B0F0"/>
        </w:rPr>
        <w:t>1</w:t>
      </w:r>
      <w:r w:rsidRPr="00B85D62">
        <w:rPr>
          <w:rFonts w:cs="Arial"/>
        </w:rPr>
        <w:t>8 years of age and/or with a contact record involving paediatric services</w:t>
      </w:r>
    </w:p>
    <w:p w14:paraId="431920DC" w14:textId="367E856B" w:rsidR="004945A6" w:rsidRPr="00B85D62" w:rsidRDefault="004945A6" w:rsidP="000F7121">
      <w:pPr>
        <w:pStyle w:val="ListParagraph"/>
        <w:numPr>
          <w:ilvl w:val="0"/>
          <w:numId w:val="17"/>
        </w:numPr>
        <w:spacing w:after="200"/>
        <w:rPr>
          <w:rFonts w:cs="Arial"/>
        </w:rPr>
      </w:pPr>
      <w:r w:rsidRPr="00B85D62">
        <w:rPr>
          <w:rFonts w:cs="Arial"/>
        </w:rPr>
        <w:t xml:space="preserve">Unknown contact: relatives with a contact record denoted as </w:t>
      </w:r>
      <w:r w:rsidR="00B85D62" w:rsidRPr="00B85D62">
        <w:rPr>
          <w:rFonts w:cs="Arial"/>
        </w:rPr>
        <w:t>“</w:t>
      </w:r>
      <w:r w:rsidRPr="00B85D62">
        <w:rPr>
          <w:rFonts w:cs="Arial"/>
        </w:rPr>
        <w:t>unknown</w:t>
      </w:r>
      <w:r w:rsidR="00B85D62" w:rsidRPr="00B85D62">
        <w:rPr>
          <w:rFonts w:cs="Arial"/>
        </w:rPr>
        <w:t>”</w:t>
      </w:r>
    </w:p>
    <w:bookmarkEnd w:id="187"/>
    <w:p w14:paraId="6EEE753B" w14:textId="77777777" w:rsidR="00B85D62" w:rsidRPr="00B85D62" w:rsidRDefault="75DE676D" w:rsidP="0066232B">
      <w:pPr>
        <w:rPr>
          <w:rFonts w:cs="Arial"/>
        </w:rPr>
      </w:pPr>
      <w:r w:rsidRPr="00B85D62">
        <w:rPr>
          <w:rFonts w:cs="Arial"/>
        </w:rPr>
        <w:t xml:space="preserve">Marginal probabilities of completing the cascade were calculated for each combined gender, relative degree and direct/indirect method of contact profile. Since the Wessex service does not directly contact relatives, probabilities for profiles with direct contact were only calculable for the Welsh service. Given the range of contextual factors relevant to each service, comparisons </w:t>
      </w:r>
      <w:r w:rsidR="58ACB825" w:rsidRPr="00B85D62">
        <w:rPr>
          <w:rFonts w:cs="Arial"/>
        </w:rPr>
        <w:t>c</w:t>
      </w:r>
      <w:r w:rsidRPr="00B85D62">
        <w:rPr>
          <w:rFonts w:cs="Arial"/>
        </w:rPr>
        <w:t>ould only be made within services, not between. Relatives were considered as having completed the cascade if they received a genetic test.</w:t>
      </w:r>
    </w:p>
    <w:p w14:paraId="1E4ED159" w14:textId="77777777" w:rsidR="00B85D62" w:rsidRPr="00B85D62" w:rsidRDefault="75DE676D" w:rsidP="0066232B">
      <w:pPr>
        <w:rPr>
          <w:rFonts w:cs="Arial"/>
        </w:rPr>
      </w:pPr>
      <w:r w:rsidRPr="00B85D62">
        <w:rPr>
          <w:rFonts w:cs="Arial"/>
        </w:rPr>
        <w:t>Relative characteristics were assessed in those that completed the cascade and included age, gender and LDL-C. Rates of CV</w:t>
      </w:r>
      <w:r w:rsidR="56EB9304" w:rsidRPr="00B85D62">
        <w:rPr>
          <w:rFonts w:cs="Arial"/>
        </w:rPr>
        <w:t>D</w:t>
      </w:r>
      <w:r w:rsidRPr="00B85D62">
        <w:rPr>
          <w:rFonts w:cs="Arial"/>
        </w:rPr>
        <w:t xml:space="preserve"> and LLT history prior to the cascade were assessed descriptively by tabulating histories by age group with and without </w:t>
      </w:r>
      <w:r w:rsidRPr="00B85D62">
        <w:rPr>
          <w:rFonts w:cs="Arial"/>
          <w:highlight w:val="magenta"/>
        </w:rPr>
        <w:t>an F</w:t>
      </w:r>
      <w:r w:rsidRPr="00B85D62">
        <w:rPr>
          <w:rFonts w:cs="Arial"/>
        </w:rPr>
        <w:t>H mutation.</w:t>
      </w:r>
    </w:p>
    <w:p w14:paraId="467C5AB0" w14:textId="4D14495A" w:rsidR="004945A6" w:rsidRPr="00B85D62" w:rsidRDefault="004945A6" w:rsidP="0066232B">
      <w:pPr>
        <w:rPr>
          <w:rFonts w:cs="Arial"/>
        </w:rPr>
      </w:pPr>
      <w:r w:rsidRPr="00B85D62">
        <w:rPr>
          <w:rFonts w:cs="Arial"/>
        </w:rPr>
        <w:t>All statistical analyses were performed using Stata version 16.1.</w:t>
      </w:r>
    </w:p>
    <w:p w14:paraId="3CA1CF50" w14:textId="77777777" w:rsidR="00B85D62" w:rsidRPr="00B85D62" w:rsidRDefault="004945A6" w:rsidP="006C7E71">
      <w:pPr>
        <w:pStyle w:val="Heading3"/>
      </w:pPr>
      <w:bookmarkStart w:id="188" w:name="_Toc107157486"/>
      <w:r w:rsidRPr="00B85D62">
        <w:t>Results</w:t>
      </w:r>
      <w:bookmarkEnd w:id="188"/>
    </w:p>
    <w:p w14:paraId="21373E5D" w14:textId="77777777" w:rsidR="00B85D62" w:rsidRPr="00B85D62" w:rsidRDefault="004945A6" w:rsidP="006C7E71">
      <w:pPr>
        <w:pStyle w:val="Heading4"/>
        <w:numPr>
          <w:ilvl w:val="0"/>
          <w:numId w:val="0"/>
        </w:numPr>
      </w:pPr>
      <w:r w:rsidRPr="00B85D62">
        <w:t>Index and relative database exclusions</w:t>
      </w:r>
    </w:p>
    <w:p w14:paraId="0B0CB39F" w14:textId="17F511F8" w:rsidR="00B85D62" w:rsidRPr="00B85D62" w:rsidRDefault="75DE676D" w:rsidP="0066232B">
      <w:pPr>
        <w:rPr>
          <w:rFonts w:cs="Arial"/>
        </w:rPr>
      </w:pPr>
      <w:r w:rsidRPr="00B85D62">
        <w:rPr>
          <w:rFonts w:cs="Arial"/>
        </w:rPr>
        <w:t>In the Welsh index extraction 99 cases were deemed out-of-area, the majority of which were cases reported from health boards in close proximity to the Welsh border, leaving a primary analysis set with a sample of 2,618 Welsh indexes. From the Wessex index extraction only 6 cases were deemed out-of-area, leaving a sample of 1,116 within-area index cases (</w:t>
      </w:r>
      <w:r w:rsidR="00B85D62" w:rsidRPr="00B85D62">
        <w:rPr>
          <w:rFonts w:cs="Arial"/>
          <w:i/>
          <w:color w:val="FF0000"/>
        </w:rPr>
        <w:t>F</w:t>
      </w:r>
      <w:r w:rsidR="00B85D62" w:rsidRPr="00B85D62">
        <w:rPr>
          <w:rFonts w:cs="Arial"/>
          <w:i/>
          <w:color w:val="FF0000"/>
        </w:rPr>
        <w:t>igure</w:t>
      </w:r>
      <w:r w:rsidR="00B85D62" w:rsidRPr="00B85D62">
        <w:rPr>
          <w:rFonts w:cs="Arial"/>
          <w:i/>
          <w:color w:val="FF0000"/>
        </w:rPr>
        <w:t xml:space="preserve"> </w:t>
      </w:r>
      <w:r w:rsidR="00B85D62" w:rsidRPr="00B85D62">
        <w:rPr>
          <w:rFonts w:cs="Arial"/>
          <w:i/>
          <w:color w:val="FF0000"/>
        </w:rPr>
        <w:t>9</w:t>
      </w:r>
      <w:r w:rsidRPr="00B85D62">
        <w:rPr>
          <w:rFonts w:cs="Arial"/>
        </w:rPr>
        <w:t>).</w:t>
      </w:r>
    </w:p>
    <w:p w14:paraId="4FF2A109" w14:textId="77777777" w:rsidR="00B85D62" w:rsidRPr="00B85D62" w:rsidRDefault="75DE676D" w:rsidP="0066232B">
      <w:pPr>
        <w:rPr>
          <w:rFonts w:cs="Arial"/>
        </w:rPr>
      </w:pPr>
      <w:r w:rsidRPr="00B85D62">
        <w:rPr>
          <w:rFonts w:cs="Arial"/>
        </w:rPr>
        <w:t xml:space="preserve">The number of relative entries without a family number totalled 6 and 101 in Wales and Wessex, leaving 8,571 and 6,273 unique and potentially linkable relative cases in each service, respectively. Of these cases, 3,815 Welsh and 2,143 Wessex relatives were linked to </w:t>
      </w:r>
      <w:r w:rsidRPr="00B85D62">
        <w:rPr>
          <w:rFonts w:cs="Arial"/>
          <w:highlight w:val="magenta"/>
        </w:rPr>
        <w:t>an F</w:t>
      </w:r>
      <w:r w:rsidRPr="00B85D62">
        <w:rPr>
          <w:rFonts w:cs="Arial"/>
        </w:rPr>
        <w:t>H-positive within-area index and formed analysis set (1). Analysis set (2) comprised 2,020 Welsh and 1,002 Wessex relatives deemed to have been contacted and within-area from analysis set (1). From analysis set (2), 1,205 Welsh and 501 Wessex relatives successfully completed genetic cascading and informed analysis set (3).</w:t>
      </w:r>
    </w:p>
    <w:p w14:paraId="4C93E1A6" w14:textId="13A900AA" w:rsidR="00B85D62" w:rsidRPr="00B85D62" w:rsidRDefault="00B85D62" w:rsidP="0066232B">
      <w:pPr>
        <w:rPr>
          <w:rFonts w:cs="Arial"/>
          <w:b/>
          <w:bCs/>
          <w:iCs/>
        </w:rPr>
      </w:pPr>
      <w:bookmarkStart w:id="189" w:name="_Hlk57209031"/>
      <w:bookmarkStart w:id="190" w:name="_Toc79740228"/>
      <w:bookmarkStart w:id="191" w:name="_Toc107157391"/>
      <w:r w:rsidRPr="00B85D62">
        <w:rPr>
          <w:rFonts w:cs="Arial"/>
          <w:i/>
          <w:iCs/>
          <w:color w:val="FF0000"/>
        </w:rPr>
        <w:t>F</w:t>
      </w:r>
      <w:r w:rsidRPr="00B85D62">
        <w:rPr>
          <w:rFonts w:cs="Arial"/>
          <w:i/>
          <w:iCs/>
          <w:color w:val="FF0000"/>
        </w:rPr>
        <w:t>igure</w:t>
      </w:r>
      <w:r w:rsidRPr="00B85D62">
        <w:rPr>
          <w:rFonts w:cs="Arial"/>
          <w:i/>
          <w:iCs/>
          <w:color w:val="FF0000"/>
        </w:rPr>
        <w:t xml:space="preserve"> </w:t>
      </w:r>
      <w:r w:rsidRPr="00B85D62">
        <w:rPr>
          <w:rFonts w:cs="Arial"/>
          <w:i/>
          <w:iCs/>
          <w:noProof/>
          <w:color w:val="FF0000"/>
        </w:rPr>
        <w:t>9</w:t>
      </w:r>
      <w:r w:rsidR="00E26BF7" w:rsidRPr="00B85D62">
        <w:rPr>
          <w:rFonts w:cs="Arial"/>
          <w:b/>
          <w:bCs/>
          <w:iCs/>
        </w:rPr>
        <w:t xml:space="preserve"> </w:t>
      </w:r>
      <w:r w:rsidR="1614A095" w:rsidRPr="00B85D62">
        <w:rPr>
          <w:rFonts w:cs="Arial"/>
        </w:rPr>
        <w:t>Index and relative selection process</w:t>
      </w:r>
      <w:bookmarkEnd w:id="189"/>
      <w:bookmarkEnd w:id="190"/>
      <w:bookmarkEnd w:id="191"/>
    </w:p>
    <w:p w14:paraId="44E7D99F" w14:textId="6510B245" w:rsidR="004945A6" w:rsidRPr="00B85D62" w:rsidRDefault="004945A6" w:rsidP="006C7E71">
      <w:pPr>
        <w:pStyle w:val="Heading4"/>
        <w:numPr>
          <w:ilvl w:val="0"/>
          <w:numId w:val="0"/>
        </w:numPr>
      </w:pPr>
      <w:r w:rsidRPr="00B85D62">
        <w:rPr>
          <w:highlight w:val="magenta"/>
        </w:rPr>
        <w:t>Data</w:t>
      </w:r>
      <w:r w:rsidRPr="00B85D62">
        <w:t xml:space="preserve"> availability</w:t>
      </w:r>
    </w:p>
    <w:p w14:paraId="210784E9" w14:textId="77777777" w:rsidR="00B85D62" w:rsidRPr="00B85D62" w:rsidRDefault="004945A6" w:rsidP="0066232B">
      <w:pPr>
        <w:rPr>
          <w:rFonts w:cs="Arial"/>
        </w:rPr>
      </w:pPr>
      <w:r w:rsidRPr="00B85D62">
        <w:rPr>
          <w:rFonts w:cs="Arial"/>
        </w:rPr>
        <w:t xml:space="preserve">Age at diagnosis, gender, area and LDL-C </w:t>
      </w:r>
      <w:r w:rsidRPr="00B85D62">
        <w:rPr>
          <w:rFonts w:cs="Arial"/>
          <w:highlight w:val="magenta"/>
        </w:rPr>
        <w:t>data</w:t>
      </w:r>
      <w:r w:rsidRPr="00B85D62">
        <w:rPr>
          <w:rFonts w:cs="Arial"/>
        </w:rPr>
        <w:t xml:space="preserve"> showed high levels of completion for within-area index cases. Unadjusted Welsh-DLCN scores were available for 97% of Welsh indexes, age-adjusted Welsh-DLCN scores were available for 38%, and inferred age-adjusted Welsh-DLCN scores were available for 88%. The Wessex modified Simon-Broome score was available for 91% of Wessex indexes.</w:t>
      </w:r>
    </w:p>
    <w:p w14:paraId="05B36F59" w14:textId="267FA885" w:rsidR="00B85D62" w:rsidRPr="00B85D62" w:rsidRDefault="75DE676D" w:rsidP="0066232B">
      <w:pPr>
        <w:rPr>
          <w:rFonts w:cs="Arial"/>
        </w:rPr>
      </w:pPr>
      <w:r w:rsidRPr="00B85D62">
        <w:rPr>
          <w:rFonts w:cs="Arial"/>
        </w:rPr>
        <w:t xml:space="preserve">Area </w:t>
      </w:r>
      <w:r w:rsidRPr="00B85D62">
        <w:rPr>
          <w:rFonts w:cs="Arial"/>
          <w:highlight w:val="magenta"/>
        </w:rPr>
        <w:t>data</w:t>
      </w:r>
      <w:r w:rsidRPr="00B85D62">
        <w:rPr>
          <w:rFonts w:cs="Arial"/>
        </w:rPr>
        <w:t xml:space="preserve"> were available for 77.1% of Welsh and 66.0% of Wessex relatives in analysis set (1). In analysis set (2), gender, relative degree to index and method of contact showed very high levels of completion. Relatives</w:t>
      </w:r>
      <w:r w:rsidR="00B85D62" w:rsidRPr="00B85D62">
        <w:rPr>
          <w:rFonts w:cs="Arial"/>
        </w:rPr>
        <w:t>’</w:t>
      </w:r>
      <w:r w:rsidRPr="00B85D62">
        <w:rPr>
          <w:rFonts w:cs="Arial"/>
        </w:rPr>
        <w:t xml:space="preserve"> age and gender </w:t>
      </w:r>
      <w:r w:rsidRPr="00B85D62">
        <w:rPr>
          <w:rFonts w:cs="Arial"/>
          <w:highlight w:val="magenta"/>
        </w:rPr>
        <w:t>data</w:t>
      </w:r>
      <w:r w:rsidRPr="00B85D62">
        <w:rPr>
          <w:rFonts w:cs="Arial"/>
        </w:rPr>
        <w:t xml:space="preserve"> were complete for cascaded relatives; whereas other variables were only available for a smaller sub-sample of cascaded relatives (LDL-C: Wales: 37.0%, Wessex 55.9%; CV history: Wales 54.4%, Wessex 41.7%; LLT history: Wales: 51.6%, Wessex 47.1%).</w:t>
      </w:r>
    </w:p>
    <w:p w14:paraId="16F9E9C9" w14:textId="77777777" w:rsidR="00B85D62" w:rsidRPr="00B85D62" w:rsidRDefault="004945A6" w:rsidP="0066232B">
      <w:pPr>
        <w:rPr>
          <w:rFonts w:cs="Arial"/>
        </w:rPr>
      </w:pPr>
      <w:r w:rsidRPr="00B85D62">
        <w:rPr>
          <w:rFonts w:cs="Arial"/>
        </w:rPr>
        <w:t>The analysis presented uses a complete-case approach.</w:t>
      </w:r>
    </w:p>
    <w:p w14:paraId="2DB75B14" w14:textId="4FC36B58" w:rsidR="004945A6" w:rsidRPr="00B85D62" w:rsidRDefault="004945A6" w:rsidP="006C7E71">
      <w:pPr>
        <w:pStyle w:val="Heading4"/>
        <w:numPr>
          <w:ilvl w:val="0"/>
          <w:numId w:val="0"/>
        </w:numPr>
      </w:pPr>
      <w:bookmarkStart w:id="192" w:name="_Hlk58246886"/>
      <w:r w:rsidRPr="00B85D62">
        <w:lastRenderedPageBreak/>
        <w:t>Findings from analysis of index cases</w:t>
      </w:r>
    </w:p>
    <w:bookmarkEnd w:id="192"/>
    <w:p w14:paraId="3993EF63" w14:textId="53E5B338" w:rsidR="00B85D62" w:rsidRPr="00B85D62" w:rsidRDefault="004945A6" w:rsidP="0066232B">
      <w:pPr>
        <w:rPr>
          <w:rFonts w:cs="Arial"/>
        </w:rPr>
      </w:pPr>
      <w:r w:rsidRPr="00B85D62">
        <w:rPr>
          <w:rFonts w:cs="Arial"/>
        </w:rPr>
        <w:t>Index cases recorded in Welsh and Wessex services were predominantly female (Wales: 60.3%; Wessex 64.7%), had elevated mean observed LDL-C levels (Wales: 5.85 mmol/L; Wessex: 5.88 mmol/L), and had an average age of 54.9 years in Wales and 51.3 years in Wessex. Index</w:t>
      </w:r>
      <w:r w:rsidR="00D26805" w:rsidRPr="00B85D62">
        <w:rPr>
          <w:rFonts w:cs="Arial"/>
        </w:rPr>
        <w:t xml:space="preserve"> cas</w:t>
      </w:r>
      <w:r w:rsidRPr="00B85D62">
        <w:rPr>
          <w:rFonts w:cs="Arial"/>
        </w:rPr>
        <w:t>es were mostly above the age of 40 (Wales: 88.9%; Wessex 81.5%) in both services; adolescent index cases (</w:t>
      </w:r>
      <w:r w:rsidR="00B85D62" w:rsidRPr="00B85D62">
        <w:rPr>
          <w:rFonts w:cs="Arial"/>
          <w:color w:val="00B0F0"/>
        </w:rPr>
        <w:t>&lt;</w:t>
      </w:r>
      <w:r w:rsidR="00B85D62" w:rsidRPr="00B85D62">
        <w:rPr>
          <w:rFonts w:cs="Arial"/>
          <w:color w:val="00B0F0"/>
        </w:rPr>
        <w:t> </w:t>
      </w:r>
      <w:r w:rsidR="00B85D62" w:rsidRPr="00B85D62">
        <w:rPr>
          <w:rFonts w:cs="Arial"/>
          <w:color w:val="00B0F0"/>
        </w:rPr>
        <w:t>1</w:t>
      </w:r>
      <w:r w:rsidRPr="00B85D62">
        <w:rPr>
          <w:rFonts w:cs="Arial"/>
        </w:rPr>
        <w:t>8 years) were rare (Wales: 0.5%; Wessex 1.7%).</w:t>
      </w:r>
    </w:p>
    <w:p w14:paraId="4DAE4BEE" w14:textId="68ECF11F" w:rsidR="00B85D62" w:rsidRPr="00B85D62" w:rsidRDefault="75DE676D" w:rsidP="0066232B">
      <w:pPr>
        <w:rPr>
          <w:rFonts w:cs="Arial"/>
        </w:rPr>
      </w:pPr>
      <w:r w:rsidRPr="00B85D62">
        <w:rPr>
          <w:rFonts w:cs="Arial"/>
        </w:rPr>
        <w:t xml:space="preserve">Overall, 552 (21.1%) </w:t>
      </w:r>
      <w:r w:rsidR="0CB98DFE" w:rsidRPr="00B85D62">
        <w:rPr>
          <w:rFonts w:cs="Arial"/>
        </w:rPr>
        <w:t>genetically-confirmed FH</w:t>
      </w:r>
      <w:r w:rsidRPr="00B85D62">
        <w:rPr>
          <w:rFonts w:cs="Arial"/>
        </w:rPr>
        <w:t xml:space="preserve"> and 103 (3.8%) VUS have been identified from 2,618 index</w:t>
      </w:r>
      <w:r w:rsidR="00D26805" w:rsidRPr="00B85D62">
        <w:rPr>
          <w:rFonts w:cs="Arial"/>
        </w:rPr>
        <w:t xml:space="preserve"> cas</w:t>
      </w:r>
      <w:r w:rsidRPr="00B85D62">
        <w:rPr>
          <w:rFonts w:cs="Arial"/>
        </w:rPr>
        <w:t xml:space="preserve">es in the Welsh service. From 215 initial variants reported as VUS in Wales, 84 (39.1%) cases were reclassified to FH and 28 (13.0%) as not pathogenic. In the Wessex service, 323 (28.9%) monogenic and 44 (3.9%) VUS were identified from 1,116 indexes. Four reclassifications (8%) were made to FH and two (4%) to not pathogenic (from 50 initial VUS diagnoses). </w:t>
      </w:r>
      <w:r w:rsidRPr="00B85D62">
        <w:rPr>
          <w:rFonts w:cs="Arial"/>
          <w:i/>
          <w:iCs/>
        </w:rPr>
        <w:t>LDLR</w:t>
      </w:r>
      <w:r w:rsidRPr="00B85D62">
        <w:rPr>
          <w:rFonts w:cs="Arial"/>
        </w:rPr>
        <w:t xml:space="preserve"> mutations were the most common in both services (Wales: 86.8%; Wessex 77.7%) followed by </w:t>
      </w:r>
      <w:r w:rsidRPr="00B85D62">
        <w:rPr>
          <w:rFonts w:cs="Arial"/>
          <w:i/>
          <w:iCs/>
        </w:rPr>
        <w:t>APOB</w:t>
      </w:r>
      <w:r w:rsidRPr="00B85D62">
        <w:rPr>
          <w:rFonts w:cs="Arial"/>
        </w:rPr>
        <w:t xml:space="preserve"> (Wales: 12.0%; Wessex 19.0%). </w:t>
      </w:r>
      <w:r w:rsidRPr="00B85D62">
        <w:rPr>
          <w:rFonts w:cs="Arial"/>
          <w:i/>
          <w:iCs/>
        </w:rPr>
        <w:t xml:space="preserve">PCSK9 </w:t>
      </w:r>
      <w:r w:rsidRPr="00B85D62">
        <w:rPr>
          <w:rFonts w:cs="Arial"/>
        </w:rPr>
        <w:t xml:space="preserve">and </w:t>
      </w:r>
      <w:r w:rsidRPr="00B85D62">
        <w:rPr>
          <w:rFonts w:cs="Arial"/>
          <w:i/>
          <w:iCs/>
        </w:rPr>
        <w:t>APOE</w:t>
      </w:r>
      <w:r w:rsidRPr="00B85D62">
        <w:rPr>
          <w:rFonts w:cs="Arial"/>
        </w:rPr>
        <w:t xml:space="preserve"> variants were rare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10</w:t>
      </w:r>
      <w:r w:rsidRPr="00B85D62">
        <w:rPr>
          <w:rFonts w:cs="Arial"/>
        </w:rPr>
        <w:t>).</w:t>
      </w:r>
    </w:p>
    <w:p w14:paraId="11B2924A" w14:textId="064B89AE" w:rsidR="00004B9A" w:rsidRPr="00B85D62" w:rsidRDefault="00B85D62" w:rsidP="00004B9A">
      <w:pPr>
        <w:pStyle w:val="Caption"/>
        <w:keepNext/>
        <w:rPr>
          <w:rFonts w:cs="Arial"/>
        </w:rPr>
      </w:pPr>
      <w:bookmarkStart w:id="193" w:name="_Toc79740205"/>
      <w:bookmarkStart w:id="194" w:name="_Toc107157364"/>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10</w:t>
      </w:r>
      <w:r w:rsidR="00004B9A" w:rsidRPr="00B85D62">
        <w:rPr>
          <w:rFonts w:cs="Arial"/>
        </w:rPr>
        <w:t xml:space="preserve"> Index patient characteristics</w:t>
      </w:r>
      <w:bookmarkEnd w:id="193"/>
      <w:bookmarkEnd w:id="194"/>
    </w:p>
    <w:tbl>
      <w:tblPr>
        <w:tblW w:w="0" w:type="auto"/>
        <w:tblCellMar>
          <w:top w:w="40" w:type="dxa"/>
          <w:left w:w="60" w:type="dxa"/>
          <w:bottom w:w="40" w:type="dxa"/>
          <w:right w:w="60" w:type="dxa"/>
        </w:tblCellMar>
        <w:tblLook w:val="0420" w:firstRow="1" w:lastRow="0" w:firstColumn="0" w:lastColumn="0" w:noHBand="0" w:noVBand="1"/>
      </w:tblPr>
      <w:tblGrid>
        <w:gridCol w:w="3011"/>
        <w:gridCol w:w="1222"/>
        <w:gridCol w:w="1756"/>
      </w:tblGrid>
      <w:tr w:rsidR="00F67557" w:rsidRPr="00B85D62" w14:paraId="70D721A6" w14:textId="77777777" w:rsidTr="00B85D62">
        <w:trPr>
          <w:cantSplit/>
        </w:trPr>
        <w:tc>
          <w:tcPr>
            <w:tcW w:w="0" w:type="auto"/>
            <w:shd w:val="clear" w:color="auto" w:fill="auto"/>
            <w:tcMar>
              <w:top w:w="72" w:type="dxa"/>
              <w:left w:w="144" w:type="dxa"/>
              <w:bottom w:w="72" w:type="dxa"/>
              <w:right w:w="144" w:type="dxa"/>
            </w:tcMar>
            <w:vAlign w:val="center"/>
            <w:hideMark/>
          </w:tcPr>
          <w:p w14:paraId="32D919B0" w14:textId="77777777" w:rsidR="00F67557" w:rsidRPr="00B85D62" w:rsidRDefault="00F67557" w:rsidP="0066232B">
            <w:pPr>
              <w:rPr>
                <w:rFonts w:cs="Arial"/>
                <w:lang w:eastAsia="en-GB"/>
              </w:rPr>
            </w:pPr>
          </w:p>
        </w:tc>
        <w:tc>
          <w:tcPr>
            <w:tcW w:w="0" w:type="auto"/>
            <w:shd w:val="clear" w:color="auto" w:fill="auto"/>
            <w:tcMar>
              <w:top w:w="72" w:type="dxa"/>
              <w:left w:w="144" w:type="dxa"/>
              <w:bottom w:w="72" w:type="dxa"/>
              <w:right w:w="144" w:type="dxa"/>
            </w:tcMar>
            <w:vAlign w:val="center"/>
          </w:tcPr>
          <w:p w14:paraId="41D0B0B8" w14:textId="77777777" w:rsidR="00B85D62"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Wales</w:t>
            </w:r>
          </w:p>
          <w:p w14:paraId="24B1B693" w14:textId="4EA5984D" w:rsidR="00F67557" w:rsidRPr="00B85D62" w:rsidRDefault="00F67557" w:rsidP="0066232B">
            <w:pPr>
              <w:jc w:val="center"/>
              <w:rPr>
                <w:rFonts w:cs="Arial"/>
                <w:lang w:eastAsia="en-GB"/>
              </w:rPr>
            </w:pPr>
            <w:r w:rsidRPr="00B85D62">
              <w:rPr>
                <w:rFonts w:cs="Arial"/>
                <w:color w:val="000000" w:themeColor="dark1"/>
                <w:kern w:val="24"/>
                <w:lang w:eastAsia="en-GB"/>
              </w:rPr>
              <w:t>(</w:t>
            </w:r>
            <w:r w:rsidRPr="00B85D62">
              <w:rPr>
                <w:rFonts w:cs="Arial"/>
                <w:i/>
                <w:color w:val="00B0F0"/>
                <w:kern w:val="24"/>
                <w:lang w:eastAsia="en-GB"/>
              </w:rPr>
              <w:t>n</w:t>
            </w:r>
            <w:r w:rsidRPr="00B85D62">
              <w:rPr>
                <w:rFonts w:cs="Arial"/>
                <w:color w:val="000000" w:themeColor="dark1"/>
                <w:kern w:val="24"/>
                <w:lang w:eastAsia="en-GB"/>
              </w:rPr>
              <w:t>=2,618)</w:t>
            </w:r>
          </w:p>
        </w:tc>
        <w:tc>
          <w:tcPr>
            <w:tcW w:w="0" w:type="auto"/>
            <w:shd w:val="clear" w:color="auto" w:fill="auto"/>
            <w:tcMar>
              <w:top w:w="72" w:type="dxa"/>
              <w:left w:w="144" w:type="dxa"/>
              <w:bottom w:w="72" w:type="dxa"/>
              <w:right w:w="144" w:type="dxa"/>
            </w:tcMar>
            <w:vAlign w:val="center"/>
          </w:tcPr>
          <w:p w14:paraId="50B5FDD1" w14:textId="77777777" w:rsidR="00F67557" w:rsidRPr="00B85D62" w:rsidRDefault="00F67557" w:rsidP="0066232B">
            <w:pPr>
              <w:jc w:val="center"/>
              <w:rPr>
                <w:rFonts w:cs="Arial"/>
                <w:lang w:eastAsia="en-GB"/>
              </w:rPr>
            </w:pPr>
            <w:r w:rsidRPr="00B85D62">
              <w:rPr>
                <w:rFonts w:cs="Arial"/>
                <w:color w:val="000000" w:themeColor="dark1"/>
                <w:kern w:val="24"/>
                <w:lang w:eastAsia="en-GB"/>
              </w:rPr>
              <w:t>Wessex (</w:t>
            </w:r>
            <w:r w:rsidRPr="00B85D62">
              <w:rPr>
                <w:rFonts w:cs="Arial"/>
                <w:i/>
                <w:color w:val="00B0F0"/>
                <w:kern w:val="24"/>
                <w:lang w:eastAsia="en-GB"/>
              </w:rPr>
              <w:t>n</w:t>
            </w:r>
            <w:r w:rsidRPr="00B85D62">
              <w:rPr>
                <w:rFonts w:cs="Arial"/>
                <w:color w:val="000000" w:themeColor="dark1"/>
                <w:kern w:val="24"/>
                <w:lang w:eastAsia="en-GB"/>
              </w:rPr>
              <w:t>=1,116)</w:t>
            </w:r>
          </w:p>
        </w:tc>
      </w:tr>
      <w:tr w:rsidR="00F67557" w:rsidRPr="00B85D62" w14:paraId="2293B41C" w14:textId="77777777" w:rsidTr="00B85D62">
        <w:trPr>
          <w:cantSplit/>
        </w:trPr>
        <w:tc>
          <w:tcPr>
            <w:tcW w:w="0" w:type="auto"/>
            <w:gridSpan w:val="3"/>
            <w:shd w:val="clear" w:color="auto" w:fill="auto"/>
            <w:tcMar>
              <w:top w:w="72" w:type="dxa"/>
              <w:left w:w="144" w:type="dxa"/>
              <w:bottom w:w="72" w:type="dxa"/>
              <w:right w:w="144" w:type="dxa"/>
            </w:tcMar>
            <w:vAlign w:val="center"/>
          </w:tcPr>
          <w:p w14:paraId="0832DEA2" w14:textId="77777777" w:rsidR="00F67557" w:rsidRPr="00B85D62" w:rsidRDefault="00F67557" w:rsidP="0066232B">
            <w:pPr>
              <w:rPr>
                <w:rFonts w:cs="Arial"/>
                <w:color w:val="000000" w:themeColor="dark1"/>
                <w:kern w:val="24"/>
                <w:lang w:eastAsia="en-GB"/>
              </w:rPr>
            </w:pPr>
            <w:r w:rsidRPr="00B85D62">
              <w:rPr>
                <w:rFonts w:cs="Arial"/>
                <w:lang w:eastAsia="en-GB"/>
              </w:rPr>
              <w:t>Characteristics</w:t>
            </w:r>
          </w:p>
        </w:tc>
      </w:tr>
      <w:tr w:rsidR="00F67557" w:rsidRPr="00B85D62" w14:paraId="2ABA18B1" w14:textId="77777777" w:rsidTr="00B85D62">
        <w:trPr>
          <w:cantSplit/>
        </w:trPr>
        <w:tc>
          <w:tcPr>
            <w:tcW w:w="0" w:type="auto"/>
            <w:shd w:val="clear" w:color="auto" w:fill="auto"/>
            <w:tcMar>
              <w:top w:w="72" w:type="dxa"/>
              <w:left w:w="144" w:type="dxa"/>
              <w:bottom w:w="72" w:type="dxa"/>
              <w:right w:w="144" w:type="dxa"/>
            </w:tcMar>
            <w:vAlign w:val="center"/>
            <w:hideMark/>
          </w:tcPr>
          <w:p w14:paraId="1771660C" w14:textId="77777777" w:rsidR="00F67557" w:rsidRPr="00B85D62" w:rsidRDefault="00F67557" w:rsidP="0066232B">
            <w:pPr>
              <w:rPr>
                <w:rFonts w:cs="Arial"/>
                <w:lang w:eastAsia="en-GB"/>
              </w:rPr>
            </w:pPr>
            <w:r w:rsidRPr="00B85D62">
              <w:rPr>
                <w:rFonts w:cs="Arial"/>
                <w:color w:val="000000" w:themeColor="dark1"/>
                <w:kern w:val="24"/>
                <w:lang w:eastAsia="en-GB"/>
              </w:rPr>
              <w:t>Age</w:t>
            </w:r>
            <w:r w:rsidRPr="00B85D62">
              <w:rPr>
                <w:rFonts w:cs="Arial"/>
                <w:color w:val="000000" w:themeColor="dark1"/>
                <w:kern w:val="24"/>
                <w:vertAlign w:val="superscript"/>
                <w:lang w:eastAsia="en-GB"/>
              </w:rPr>
              <w:t>*</w:t>
            </w:r>
            <w:r w:rsidRPr="00B85D62">
              <w:rPr>
                <w:rFonts w:cs="Arial"/>
                <w:color w:val="000000" w:themeColor="dark1"/>
                <w:kern w:val="24"/>
                <w:lang w:eastAsia="en-GB"/>
              </w:rPr>
              <w:t>, Mean (SD)</w:t>
            </w:r>
          </w:p>
        </w:tc>
        <w:tc>
          <w:tcPr>
            <w:tcW w:w="0" w:type="auto"/>
            <w:shd w:val="clear" w:color="auto" w:fill="auto"/>
            <w:tcMar>
              <w:top w:w="72" w:type="dxa"/>
              <w:left w:w="144" w:type="dxa"/>
              <w:bottom w:w="72" w:type="dxa"/>
              <w:right w:w="144" w:type="dxa"/>
            </w:tcMar>
            <w:vAlign w:val="center"/>
          </w:tcPr>
          <w:p w14:paraId="7464A5F6" w14:textId="77777777" w:rsidR="00F67557" w:rsidRPr="00B85D62" w:rsidRDefault="00F67557" w:rsidP="0066232B">
            <w:pPr>
              <w:jc w:val="center"/>
              <w:rPr>
                <w:rFonts w:cs="Arial"/>
                <w:lang w:eastAsia="en-GB"/>
              </w:rPr>
            </w:pPr>
            <w:r w:rsidRPr="00B85D62">
              <w:rPr>
                <w:rFonts w:cs="Arial"/>
                <w:lang w:eastAsia="en-GB"/>
              </w:rPr>
              <w:t>54.9 (12.3)</w:t>
            </w:r>
          </w:p>
        </w:tc>
        <w:tc>
          <w:tcPr>
            <w:tcW w:w="0" w:type="auto"/>
            <w:shd w:val="clear" w:color="auto" w:fill="auto"/>
            <w:tcMar>
              <w:top w:w="72" w:type="dxa"/>
              <w:left w:w="144" w:type="dxa"/>
              <w:bottom w:w="72" w:type="dxa"/>
              <w:right w:w="144" w:type="dxa"/>
            </w:tcMar>
            <w:vAlign w:val="center"/>
          </w:tcPr>
          <w:p w14:paraId="543FB2C5" w14:textId="77777777" w:rsidR="00F67557" w:rsidRPr="00B85D62" w:rsidRDefault="00F67557" w:rsidP="0066232B">
            <w:pPr>
              <w:jc w:val="center"/>
              <w:rPr>
                <w:rFonts w:cs="Arial"/>
                <w:lang w:eastAsia="en-GB"/>
              </w:rPr>
            </w:pPr>
            <w:r w:rsidRPr="00B85D62">
              <w:rPr>
                <w:rFonts w:cs="Arial"/>
                <w:lang w:eastAsia="en-GB"/>
              </w:rPr>
              <w:t>51.3 (13.3)</w:t>
            </w:r>
          </w:p>
        </w:tc>
      </w:tr>
      <w:tr w:rsidR="00F67557" w:rsidRPr="00B85D62" w14:paraId="452A73E1" w14:textId="77777777" w:rsidTr="00B85D62">
        <w:trPr>
          <w:cantSplit/>
        </w:trPr>
        <w:tc>
          <w:tcPr>
            <w:tcW w:w="0" w:type="auto"/>
            <w:shd w:val="clear" w:color="auto" w:fill="auto"/>
            <w:tcMar>
              <w:top w:w="72" w:type="dxa"/>
              <w:left w:w="144" w:type="dxa"/>
              <w:bottom w:w="72" w:type="dxa"/>
              <w:right w:w="144" w:type="dxa"/>
            </w:tcMar>
            <w:vAlign w:val="center"/>
          </w:tcPr>
          <w:p w14:paraId="40521212" w14:textId="22608D82" w:rsidR="00F67557" w:rsidRPr="00B85D62" w:rsidRDefault="00F67557" w:rsidP="0066232B">
            <w:pPr>
              <w:rPr>
                <w:rFonts w:cs="Arial"/>
                <w:i/>
                <w:iCs/>
                <w:lang w:eastAsia="en-GB"/>
              </w:rPr>
            </w:pPr>
            <w:r w:rsidRPr="00B85D62">
              <w:rPr>
                <w:rFonts w:cs="Arial"/>
                <w:i/>
                <w:iCs/>
                <w:lang w:eastAsia="en-GB"/>
              </w:rPr>
              <w:t>0</w:t>
            </w:r>
            <w:r w:rsidR="00B85D62" w:rsidRPr="00B85D62">
              <w:rPr>
                <w:rFonts w:cs="Arial"/>
                <w:i/>
                <w:iCs/>
                <w:color w:val="00B0F0"/>
                <w:lang w:eastAsia="en-GB"/>
              </w:rPr>
              <w:t>–</w:t>
            </w:r>
            <w:r w:rsidR="00B85D62" w:rsidRPr="00B85D62">
              <w:rPr>
                <w:rFonts w:cs="Arial"/>
                <w:i/>
                <w:iCs/>
                <w:color w:val="00B0F0"/>
                <w:lang w:eastAsia="en-GB"/>
              </w:rPr>
              <w:t>1</w:t>
            </w:r>
            <w:r w:rsidRPr="00B85D62">
              <w:rPr>
                <w:rFonts w:cs="Arial"/>
                <w:i/>
                <w:iCs/>
                <w:lang w:eastAsia="en-GB"/>
              </w:rPr>
              <w:t>7 years (%)</w:t>
            </w:r>
          </w:p>
        </w:tc>
        <w:tc>
          <w:tcPr>
            <w:tcW w:w="0" w:type="auto"/>
            <w:shd w:val="clear" w:color="auto" w:fill="auto"/>
            <w:tcMar>
              <w:top w:w="72" w:type="dxa"/>
              <w:left w:w="144" w:type="dxa"/>
              <w:bottom w:w="72" w:type="dxa"/>
              <w:right w:w="144" w:type="dxa"/>
            </w:tcMar>
            <w:vAlign w:val="center"/>
          </w:tcPr>
          <w:p w14:paraId="278C193A" w14:textId="77777777" w:rsidR="00F67557" w:rsidRPr="00B85D62" w:rsidRDefault="00F67557" w:rsidP="0066232B">
            <w:pPr>
              <w:jc w:val="center"/>
              <w:rPr>
                <w:rFonts w:cs="Arial"/>
                <w:i/>
                <w:iCs/>
                <w:lang w:eastAsia="en-GB"/>
              </w:rPr>
            </w:pPr>
            <w:r w:rsidRPr="00B85D62">
              <w:rPr>
                <w:rFonts w:cs="Arial"/>
                <w:i/>
                <w:iCs/>
                <w:lang w:eastAsia="en-GB"/>
              </w:rPr>
              <w:t>12 (0.45)</w:t>
            </w:r>
          </w:p>
        </w:tc>
        <w:tc>
          <w:tcPr>
            <w:tcW w:w="0" w:type="auto"/>
            <w:shd w:val="clear" w:color="auto" w:fill="auto"/>
            <w:tcMar>
              <w:top w:w="72" w:type="dxa"/>
              <w:left w:w="144" w:type="dxa"/>
              <w:bottom w:w="72" w:type="dxa"/>
              <w:right w:w="144" w:type="dxa"/>
            </w:tcMar>
            <w:vAlign w:val="center"/>
          </w:tcPr>
          <w:p w14:paraId="44B093FF" w14:textId="77777777" w:rsidR="00F67557" w:rsidRPr="00B85D62" w:rsidRDefault="00F67557" w:rsidP="0066232B">
            <w:pPr>
              <w:jc w:val="center"/>
              <w:rPr>
                <w:rFonts w:cs="Arial"/>
                <w:i/>
                <w:iCs/>
                <w:lang w:eastAsia="en-GB"/>
              </w:rPr>
            </w:pPr>
            <w:r w:rsidRPr="00B85D62">
              <w:rPr>
                <w:rFonts w:cs="Arial"/>
                <w:i/>
                <w:iCs/>
                <w:lang w:eastAsia="en-GB"/>
              </w:rPr>
              <w:t>19 (1.70)</w:t>
            </w:r>
          </w:p>
        </w:tc>
      </w:tr>
      <w:tr w:rsidR="00F67557" w:rsidRPr="00B85D62" w14:paraId="0C298D97" w14:textId="77777777" w:rsidTr="00B85D62">
        <w:trPr>
          <w:cantSplit/>
        </w:trPr>
        <w:tc>
          <w:tcPr>
            <w:tcW w:w="0" w:type="auto"/>
            <w:shd w:val="clear" w:color="auto" w:fill="auto"/>
            <w:tcMar>
              <w:top w:w="72" w:type="dxa"/>
              <w:left w:w="144" w:type="dxa"/>
              <w:bottom w:w="72" w:type="dxa"/>
              <w:right w:w="144" w:type="dxa"/>
            </w:tcMar>
            <w:vAlign w:val="center"/>
          </w:tcPr>
          <w:p w14:paraId="08AC5B34" w14:textId="729C8B2C" w:rsidR="00F67557" w:rsidRPr="00B85D62" w:rsidRDefault="00F67557" w:rsidP="0066232B">
            <w:pPr>
              <w:rPr>
                <w:rFonts w:cs="Arial"/>
                <w:i/>
                <w:iCs/>
                <w:lang w:eastAsia="en-GB"/>
              </w:rPr>
            </w:pPr>
            <w:r w:rsidRPr="00B85D62">
              <w:rPr>
                <w:rFonts w:cs="Arial"/>
                <w:i/>
                <w:iCs/>
                <w:lang w:eastAsia="en-GB"/>
              </w:rPr>
              <w:t>18</w:t>
            </w:r>
            <w:r w:rsidR="00B85D62" w:rsidRPr="00B85D62">
              <w:rPr>
                <w:rFonts w:cs="Arial"/>
                <w:i/>
                <w:iCs/>
                <w:color w:val="00B0F0"/>
                <w:lang w:eastAsia="en-GB"/>
              </w:rPr>
              <w:t>–</w:t>
            </w:r>
            <w:r w:rsidR="00B85D62" w:rsidRPr="00B85D62">
              <w:rPr>
                <w:rFonts w:cs="Arial"/>
                <w:i/>
                <w:iCs/>
                <w:color w:val="00B0F0"/>
                <w:lang w:eastAsia="en-GB"/>
              </w:rPr>
              <w:t>3</w:t>
            </w:r>
            <w:r w:rsidRPr="00B85D62">
              <w:rPr>
                <w:rFonts w:cs="Arial"/>
                <w:i/>
                <w:iCs/>
                <w:lang w:eastAsia="en-GB"/>
              </w:rPr>
              <w:t>9 years (%)</w:t>
            </w:r>
          </w:p>
        </w:tc>
        <w:tc>
          <w:tcPr>
            <w:tcW w:w="0" w:type="auto"/>
            <w:shd w:val="clear" w:color="auto" w:fill="auto"/>
            <w:tcMar>
              <w:top w:w="72" w:type="dxa"/>
              <w:left w:w="144" w:type="dxa"/>
              <w:bottom w:w="72" w:type="dxa"/>
              <w:right w:w="144" w:type="dxa"/>
            </w:tcMar>
            <w:vAlign w:val="center"/>
          </w:tcPr>
          <w:p w14:paraId="573392E9" w14:textId="77777777" w:rsidR="00F67557" w:rsidRPr="00B85D62" w:rsidRDefault="00F67557" w:rsidP="0066232B">
            <w:pPr>
              <w:jc w:val="center"/>
              <w:rPr>
                <w:rFonts w:cs="Arial"/>
                <w:i/>
                <w:iCs/>
                <w:lang w:eastAsia="en-GB"/>
              </w:rPr>
            </w:pPr>
            <w:r w:rsidRPr="00B85D62">
              <w:rPr>
                <w:rFonts w:cs="Arial"/>
                <w:i/>
                <w:iCs/>
                <w:lang w:eastAsia="en-GB"/>
              </w:rPr>
              <w:t>279 (10.7)</w:t>
            </w:r>
          </w:p>
        </w:tc>
        <w:tc>
          <w:tcPr>
            <w:tcW w:w="0" w:type="auto"/>
            <w:shd w:val="clear" w:color="auto" w:fill="auto"/>
            <w:tcMar>
              <w:top w:w="72" w:type="dxa"/>
              <w:left w:w="144" w:type="dxa"/>
              <w:bottom w:w="72" w:type="dxa"/>
              <w:right w:w="144" w:type="dxa"/>
            </w:tcMar>
            <w:vAlign w:val="center"/>
          </w:tcPr>
          <w:p w14:paraId="7097D73F" w14:textId="77777777" w:rsidR="00F67557" w:rsidRPr="00B85D62" w:rsidRDefault="00F67557" w:rsidP="0066232B">
            <w:pPr>
              <w:jc w:val="center"/>
              <w:rPr>
                <w:rFonts w:cs="Arial"/>
                <w:i/>
                <w:iCs/>
                <w:lang w:eastAsia="en-GB"/>
              </w:rPr>
            </w:pPr>
            <w:r w:rsidRPr="00B85D62">
              <w:rPr>
                <w:rFonts w:cs="Arial"/>
                <w:i/>
                <w:iCs/>
                <w:lang w:eastAsia="en-GB"/>
              </w:rPr>
              <w:t>187 (16.8)</w:t>
            </w:r>
          </w:p>
        </w:tc>
      </w:tr>
      <w:tr w:rsidR="00F67557" w:rsidRPr="00B85D62" w14:paraId="03DA1210" w14:textId="77777777" w:rsidTr="00B85D62">
        <w:trPr>
          <w:cantSplit/>
        </w:trPr>
        <w:tc>
          <w:tcPr>
            <w:tcW w:w="0" w:type="auto"/>
            <w:shd w:val="clear" w:color="auto" w:fill="auto"/>
            <w:tcMar>
              <w:top w:w="72" w:type="dxa"/>
              <w:left w:w="144" w:type="dxa"/>
              <w:bottom w:w="72" w:type="dxa"/>
              <w:right w:w="144" w:type="dxa"/>
            </w:tcMar>
            <w:vAlign w:val="center"/>
          </w:tcPr>
          <w:p w14:paraId="31299D84" w14:textId="4BF6EE0F" w:rsidR="00F67557" w:rsidRPr="00B85D62" w:rsidRDefault="00F67557" w:rsidP="0066232B">
            <w:pPr>
              <w:rPr>
                <w:rFonts w:cs="Arial"/>
                <w:i/>
                <w:iCs/>
                <w:lang w:eastAsia="en-GB"/>
              </w:rPr>
            </w:pPr>
            <w:r w:rsidRPr="00B85D62">
              <w:rPr>
                <w:rFonts w:cs="Arial"/>
                <w:i/>
                <w:iCs/>
                <w:lang w:eastAsia="en-GB"/>
              </w:rPr>
              <w:t>40</w:t>
            </w:r>
            <w:r w:rsidR="00B85D62" w:rsidRPr="00B85D62">
              <w:rPr>
                <w:rFonts w:cs="Arial"/>
                <w:i/>
                <w:iCs/>
                <w:color w:val="00B0F0"/>
                <w:lang w:eastAsia="en-GB"/>
              </w:rPr>
              <w:t>–</w:t>
            </w:r>
            <w:r w:rsidR="00B85D62" w:rsidRPr="00B85D62">
              <w:rPr>
                <w:rFonts w:cs="Arial"/>
                <w:i/>
                <w:iCs/>
                <w:color w:val="00B0F0"/>
                <w:lang w:eastAsia="en-GB"/>
              </w:rPr>
              <w:t>5</w:t>
            </w:r>
            <w:r w:rsidRPr="00B85D62">
              <w:rPr>
                <w:rFonts w:cs="Arial"/>
                <w:i/>
                <w:iCs/>
                <w:lang w:eastAsia="en-GB"/>
              </w:rPr>
              <w:t>9 years (%)</w:t>
            </w:r>
          </w:p>
        </w:tc>
        <w:tc>
          <w:tcPr>
            <w:tcW w:w="0" w:type="auto"/>
            <w:shd w:val="clear" w:color="auto" w:fill="auto"/>
            <w:tcMar>
              <w:top w:w="72" w:type="dxa"/>
              <w:left w:w="144" w:type="dxa"/>
              <w:bottom w:w="72" w:type="dxa"/>
              <w:right w:w="144" w:type="dxa"/>
            </w:tcMar>
            <w:vAlign w:val="center"/>
          </w:tcPr>
          <w:p w14:paraId="248CAB9E" w14:textId="77777777" w:rsidR="00F67557" w:rsidRPr="00B85D62" w:rsidRDefault="00F67557" w:rsidP="0066232B">
            <w:pPr>
              <w:jc w:val="center"/>
              <w:rPr>
                <w:rFonts w:cs="Arial"/>
                <w:i/>
                <w:iCs/>
                <w:lang w:eastAsia="en-GB"/>
              </w:rPr>
            </w:pPr>
            <w:r w:rsidRPr="00B85D62">
              <w:rPr>
                <w:rFonts w:cs="Arial"/>
                <w:i/>
                <w:iCs/>
                <w:lang w:eastAsia="en-GB"/>
              </w:rPr>
              <w:t>1378 (52.7)</w:t>
            </w:r>
          </w:p>
        </w:tc>
        <w:tc>
          <w:tcPr>
            <w:tcW w:w="0" w:type="auto"/>
            <w:shd w:val="clear" w:color="auto" w:fill="auto"/>
            <w:tcMar>
              <w:top w:w="72" w:type="dxa"/>
              <w:left w:w="144" w:type="dxa"/>
              <w:bottom w:w="72" w:type="dxa"/>
              <w:right w:w="144" w:type="dxa"/>
            </w:tcMar>
            <w:vAlign w:val="center"/>
          </w:tcPr>
          <w:p w14:paraId="43A09DFF" w14:textId="77777777" w:rsidR="00F67557" w:rsidRPr="00B85D62" w:rsidRDefault="00F67557" w:rsidP="0066232B">
            <w:pPr>
              <w:jc w:val="center"/>
              <w:rPr>
                <w:rFonts w:cs="Arial"/>
                <w:i/>
                <w:iCs/>
                <w:lang w:eastAsia="en-GB"/>
              </w:rPr>
            </w:pPr>
            <w:r w:rsidRPr="00B85D62">
              <w:rPr>
                <w:rFonts w:cs="Arial"/>
                <w:i/>
                <w:iCs/>
                <w:lang w:eastAsia="en-GB"/>
              </w:rPr>
              <w:t>595 (53.3)</w:t>
            </w:r>
          </w:p>
        </w:tc>
      </w:tr>
      <w:tr w:rsidR="00F67557" w:rsidRPr="00B85D62" w14:paraId="51AFE7C5" w14:textId="77777777" w:rsidTr="00B85D62">
        <w:trPr>
          <w:cantSplit/>
        </w:trPr>
        <w:tc>
          <w:tcPr>
            <w:tcW w:w="0" w:type="auto"/>
            <w:shd w:val="clear" w:color="auto" w:fill="auto"/>
            <w:tcMar>
              <w:top w:w="72" w:type="dxa"/>
              <w:left w:w="144" w:type="dxa"/>
              <w:bottom w:w="72" w:type="dxa"/>
              <w:right w:w="144" w:type="dxa"/>
            </w:tcMar>
            <w:vAlign w:val="center"/>
          </w:tcPr>
          <w:p w14:paraId="5FF39BCB" w14:textId="68906D96" w:rsidR="00F67557" w:rsidRPr="00B85D62" w:rsidRDefault="00F67557" w:rsidP="0066232B">
            <w:pPr>
              <w:rPr>
                <w:rFonts w:cs="Arial"/>
                <w:i/>
                <w:iCs/>
                <w:lang w:eastAsia="en-GB"/>
              </w:rPr>
            </w:pPr>
            <w:r w:rsidRPr="00B85D62">
              <w:rPr>
                <w:rFonts w:cs="Arial"/>
                <w:i/>
                <w:iCs/>
                <w:lang w:eastAsia="en-GB"/>
              </w:rPr>
              <w:t>6</w:t>
            </w:r>
            <w:r w:rsidR="00B85D62" w:rsidRPr="00B85D62">
              <w:rPr>
                <w:rFonts w:cs="Arial"/>
                <w:i/>
                <w:iCs/>
                <w:color w:val="00B0F0"/>
                <w:lang w:eastAsia="en-GB"/>
              </w:rPr>
              <w:t>0</w:t>
            </w:r>
            <w:r w:rsidR="00B85D62" w:rsidRPr="00B85D62">
              <w:rPr>
                <w:rFonts w:cs="Arial"/>
                <w:i/>
                <w:iCs/>
                <w:color w:val="00B0F0"/>
                <w:lang w:eastAsia="en-GB"/>
              </w:rPr>
              <w:t> </w:t>
            </w:r>
            <w:r w:rsidR="00B85D62" w:rsidRPr="00B85D62">
              <w:rPr>
                <w:rFonts w:cs="Arial"/>
                <w:i/>
                <w:iCs/>
                <w:color w:val="00B0F0"/>
                <w:lang w:eastAsia="en-GB"/>
              </w:rPr>
              <w:t>+</w:t>
            </w:r>
            <w:r w:rsidRPr="00B85D62">
              <w:rPr>
                <w:rFonts w:cs="Arial"/>
                <w:i/>
                <w:iCs/>
                <w:lang w:eastAsia="en-GB"/>
              </w:rPr>
              <w:t xml:space="preserve"> years (%)</w:t>
            </w:r>
          </w:p>
        </w:tc>
        <w:tc>
          <w:tcPr>
            <w:tcW w:w="0" w:type="auto"/>
            <w:shd w:val="clear" w:color="auto" w:fill="auto"/>
            <w:tcMar>
              <w:top w:w="72" w:type="dxa"/>
              <w:left w:w="144" w:type="dxa"/>
              <w:bottom w:w="72" w:type="dxa"/>
              <w:right w:w="144" w:type="dxa"/>
            </w:tcMar>
            <w:vAlign w:val="center"/>
          </w:tcPr>
          <w:p w14:paraId="1FACAC7D" w14:textId="77777777" w:rsidR="00F67557" w:rsidRPr="00B85D62" w:rsidRDefault="00F67557" w:rsidP="0066232B">
            <w:pPr>
              <w:jc w:val="center"/>
              <w:rPr>
                <w:rFonts w:cs="Arial"/>
                <w:i/>
                <w:iCs/>
                <w:lang w:eastAsia="en-GB"/>
              </w:rPr>
            </w:pPr>
            <w:r w:rsidRPr="00B85D62">
              <w:rPr>
                <w:rFonts w:cs="Arial"/>
                <w:i/>
                <w:iCs/>
                <w:lang w:eastAsia="en-GB"/>
              </w:rPr>
              <w:t>947 (36.2)</w:t>
            </w:r>
          </w:p>
        </w:tc>
        <w:tc>
          <w:tcPr>
            <w:tcW w:w="0" w:type="auto"/>
            <w:shd w:val="clear" w:color="auto" w:fill="auto"/>
            <w:tcMar>
              <w:top w:w="72" w:type="dxa"/>
              <w:left w:w="144" w:type="dxa"/>
              <w:bottom w:w="72" w:type="dxa"/>
              <w:right w:w="144" w:type="dxa"/>
            </w:tcMar>
            <w:vAlign w:val="center"/>
          </w:tcPr>
          <w:p w14:paraId="3E6206E9" w14:textId="77777777" w:rsidR="00F67557" w:rsidRPr="00B85D62" w:rsidRDefault="00F67557" w:rsidP="0066232B">
            <w:pPr>
              <w:jc w:val="center"/>
              <w:rPr>
                <w:rFonts w:cs="Arial"/>
                <w:i/>
                <w:iCs/>
                <w:lang w:eastAsia="en-GB"/>
              </w:rPr>
            </w:pPr>
            <w:r w:rsidRPr="00B85D62">
              <w:rPr>
                <w:rFonts w:cs="Arial"/>
                <w:i/>
                <w:iCs/>
                <w:lang w:eastAsia="en-GB"/>
              </w:rPr>
              <w:t>315 (28.2)</w:t>
            </w:r>
          </w:p>
        </w:tc>
      </w:tr>
      <w:tr w:rsidR="00F67557" w:rsidRPr="00B85D62" w14:paraId="1530DC2B" w14:textId="77777777" w:rsidTr="00B85D62">
        <w:trPr>
          <w:cantSplit/>
        </w:trPr>
        <w:tc>
          <w:tcPr>
            <w:tcW w:w="0" w:type="auto"/>
            <w:shd w:val="clear" w:color="auto" w:fill="auto"/>
            <w:tcMar>
              <w:top w:w="72" w:type="dxa"/>
              <w:left w:w="144" w:type="dxa"/>
              <w:bottom w:w="72" w:type="dxa"/>
              <w:right w:w="144" w:type="dxa"/>
            </w:tcMar>
            <w:vAlign w:val="center"/>
            <w:hideMark/>
          </w:tcPr>
          <w:p w14:paraId="645B4336" w14:textId="5231AE2C" w:rsidR="00F67557" w:rsidRPr="00B85D62" w:rsidRDefault="00F67557" w:rsidP="0066232B">
            <w:pPr>
              <w:rPr>
                <w:rFonts w:cs="Arial"/>
                <w:lang w:eastAsia="en-GB"/>
              </w:rPr>
            </w:pPr>
            <w:r w:rsidRPr="00B85D62">
              <w:rPr>
                <w:rFonts w:cs="Arial"/>
                <w:color w:val="000000" w:themeColor="dark1"/>
                <w:kern w:val="24"/>
                <w:lang w:eastAsia="en-GB"/>
              </w:rPr>
              <w:t>Female,</w:t>
            </w:r>
            <w:r w:rsidR="00B85D62" w:rsidRPr="00B85D62">
              <w:rPr>
                <w:rFonts w:cs="Arial"/>
                <w:color w:val="00B0F0"/>
                <w:kern w:val="24"/>
                <w:lang w:eastAsia="en-GB"/>
              </w:rPr>
              <w:t>%</w:t>
            </w:r>
            <w:r w:rsidRPr="00B85D62">
              <w:rPr>
                <w:rFonts w:cs="Arial"/>
                <w:color w:val="000000" w:themeColor="dark1"/>
                <w:kern w:val="24"/>
                <w:lang w:eastAsia="en-GB"/>
              </w:rPr>
              <w:t xml:space="preserve"> </w:t>
            </w:r>
          </w:p>
        </w:tc>
        <w:tc>
          <w:tcPr>
            <w:tcW w:w="0" w:type="auto"/>
            <w:shd w:val="clear" w:color="auto" w:fill="auto"/>
            <w:tcMar>
              <w:top w:w="72" w:type="dxa"/>
              <w:left w:w="144" w:type="dxa"/>
              <w:bottom w:w="72" w:type="dxa"/>
              <w:right w:w="144" w:type="dxa"/>
            </w:tcMar>
            <w:vAlign w:val="center"/>
          </w:tcPr>
          <w:p w14:paraId="1C2E55DF" w14:textId="77777777" w:rsidR="00F67557" w:rsidRPr="00B85D62" w:rsidRDefault="00F67557" w:rsidP="0066232B">
            <w:pPr>
              <w:jc w:val="center"/>
              <w:rPr>
                <w:rFonts w:cs="Arial"/>
                <w:lang w:eastAsia="en-GB"/>
              </w:rPr>
            </w:pPr>
            <w:r w:rsidRPr="00B85D62">
              <w:rPr>
                <w:rFonts w:cs="Arial"/>
                <w:lang w:eastAsia="en-GB"/>
              </w:rPr>
              <w:t xml:space="preserve">60.3 </w:t>
            </w:r>
          </w:p>
        </w:tc>
        <w:tc>
          <w:tcPr>
            <w:tcW w:w="0" w:type="auto"/>
            <w:shd w:val="clear" w:color="auto" w:fill="auto"/>
            <w:tcMar>
              <w:top w:w="72" w:type="dxa"/>
              <w:left w:w="144" w:type="dxa"/>
              <w:bottom w:w="72" w:type="dxa"/>
              <w:right w:w="144" w:type="dxa"/>
            </w:tcMar>
            <w:vAlign w:val="center"/>
          </w:tcPr>
          <w:p w14:paraId="38A10B07" w14:textId="77777777" w:rsidR="00F67557" w:rsidRPr="00B85D62" w:rsidRDefault="00F67557" w:rsidP="0066232B">
            <w:pPr>
              <w:jc w:val="center"/>
              <w:rPr>
                <w:rFonts w:cs="Arial"/>
                <w:lang w:eastAsia="en-GB"/>
              </w:rPr>
            </w:pPr>
            <w:r w:rsidRPr="00B85D62">
              <w:rPr>
                <w:rFonts w:cs="Arial"/>
                <w:lang w:eastAsia="en-GB"/>
              </w:rPr>
              <w:t xml:space="preserve">64.7 </w:t>
            </w:r>
          </w:p>
        </w:tc>
      </w:tr>
      <w:tr w:rsidR="00F67557" w:rsidRPr="00B85D62" w14:paraId="77828751" w14:textId="77777777" w:rsidTr="00B85D62">
        <w:trPr>
          <w:cantSplit/>
        </w:trPr>
        <w:tc>
          <w:tcPr>
            <w:tcW w:w="0" w:type="auto"/>
            <w:shd w:val="clear" w:color="auto" w:fill="auto"/>
            <w:tcMar>
              <w:top w:w="72" w:type="dxa"/>
              <w:left w:w="144" w:type="dxa"/>
              <w:bottom w:w="72" w:type="dxa"/>
              <w:right w:w="144" w:type="dxa"/>
            </w:tcMar>
            <w:vAlign w:val="center"/>
          </w:tcPr>
          <w:p w14:paraId="0E7B222F" w14:textId="77777777" w:rsidR="00F67557" w:rsidRPr="00B85D62" w:rsidRDefault="00F67557" w:rsidP="0066232B">
            <w:pPr>
              <w:rPr>
                <w:rFonts w:cs="Arial"/>
                <w:color w:val="000000" w:themeColor="dark1"/>
                <w:kern w:val="24"/>
                <w:lang w:eastAsia="en-GB"/>
              </w:rPr>
            </w:pPr>
            <w:r w:rsidRPr="00B85D62">
              <w:rPr>
                <w:rFonts w:cs="Arial"/>
                <w:color w:val="000000" w:themeColor="dark1"/>
                <w:kern w:val="24"/>
                <w:lang w:eastAsia="en-GB"/>
              </w:rPr>
              <w:t>LDL-C mmol/l</w:t>
            </w:r>
            <w:r w:rsidRPr="00B85D62">
              <w:rPr>
                <w:rFonts w:cs="Arial"/>
                <w:color w:val="000000" w:themeColor="dark1"/>
                <w:kern w:val="24"/>
                <w:vertAlign w:val="superscript"/>
                <w:lang w:eastAsia="en-GB"/>
              </w:rPr>
              <w:t>‡</w:t>
            </w:r>
            <w:r w:rsidRPr="00B85D62">
              <w:rPr>
                <w:rFonts w:cs="Arial"/>
                <w:color w:val="000000" w:themeColor="dark1"/>
                <w:kern w:val="24"/>
                <w:lang w:eastAsia="en-GB"/>
              </w:rPr>
              <w:t>, Mean (SD)</w:t>
            </w:r>
          </w:p>
        </w:tc>
        <w:tc>
          <w:tcPr>
            <w:tcW w:w="0" w:type="auto"/>
            <w:shd w:val="clear" w:color="auto" w:fill="auto"/>
            <w:tcMar>
              <w:top w:w="72" w:type="dxa"/>
              <w:left w:w="144" w:type="dxa"/>
              <w:bottom w:w="72" w:type="dxa"/>
              <w:right w:w="144" w:type="dxa"/>
            </w:tcMar>
            <w:vAlign w:val="center"/>
          </w:tcPr>
          <w:p w14:paraId="24DB2045" w14:textId="77777777" w:rsidR="00F67557" w:rsidRPr="00B85D62" w:rsidRDefault="00F67557" w:rsidP="0066232B">
            <w:pPr>
              <w:jc w:val="center"/>
              <w:rPr>
                <w:rFonts w:cs="Arial"/>
                <w:lang w:eastAsia="en-GB"/>
              </w:rPr>
            </w:pPr>
            <w:r w:rsidRPr="00B85D62">
              <w:rPr>
                <w:rFonts w:cs="Arial"/>
                <w:lang w:eastAsia="en-GB"/>
              </w:rPr>
              <w:t>5.85 (1.9)</w:t>
            </w:r>
          </w:p>
        </w:tc>
        <w:tc>
          <w:tcPr>
            <w:tcW w:w="0" w:type="auto"/>
            <w:shd w:val="clear" w:color="auto" w:fill="auto"/>
            <w:tcMar>
              <w:top w:w="72" w:type="dxa"/>
              <w:left w:w="144" w:type="dxa"/>
              <w:bottom w:w="72" w:type="dxa"/>
              <w:right w:w="144" w:type="dxa"/>
            </w:tcMar>
            <w:vAlign w:val="center"/>
          </w:tcPr>
          <w:p w14:paraId="0571BD94" w14:textId="77777777" w:rsidR="00F67557" w:rsidRPr="00B85D62" w:rsidRDefault="00F67557" w:rsidP="0066232B">
            <w:pPr>
              <w:jc w:val="center"/>
              <w:rPr>
                <w:rFonts w:cs="Arial"/>
                <w:lang w:eastAsia="en-GB"/>
              </w:rPr>
            </w:pPr>
            <w:r w:rsidRPr="00B85D62">
              <w:rPr>
                <w:rFonts w:cs="Arial"/>
                <w:lang w:eastAsia="en-GB"/>
              </w:rPr>
              <w:t>5.88 (1.6)</w:t>
            </w:r>
          </w:p>
        </w:tc>
      </w:tr>
      <w:tr w:rsidR="00F67557" w:rsidRPr="00B85D62" w14:paraId="18EABBE5" w14:textId="77777777" w:rsidTr="00B85D62">
        <w:trPr>
          <w:cantSplit/>
        </w:trPr>
        <w:tc>
          <w:tcPr>
            <w:tcW w:w="0" w:type="auto"/>
            <w:gridSpan w:val="3"/>
            <w:shd w:val="clear" w:color="auto" w:fill="auto"/>
            <w:tcMar>
              <w:top w:w="72" w:type="dxa"/>
              <w:left w:w="144" w:type="dxa"/>
              <w:bottom w:w="72" w:type="dxa"/>
              <w:right w:w="144" w:type="dxa"/>
            </w:tcMar>
            <w:vAlign w:val="center"/>
          </w:tcPr>
          <w:p w14:paraId="658E233D" w14:textId="77777777" w:rsidR="00F67557" w:rsidRPr="00B85D62" w:rsidRDefault="00F67557" w:rsidP="0066232B">
            <w:pPr>
              <w:rPr>
                <w:rFonts w:cs="Arial"/>
                <w:lang w:eastAsia="en-GB"/>
              </w:rPr>
            </w:pPr>
            <w:r w:rsidRPr="00B85D62">
              <w:rPr>
                <w:rFonts w:cs="Arial"/>
                <w:lang w:eastAsia="en-GB"/>
              </w:rPr>
              <w:t>Diagnosis</w:t>
            </w:r>
            <w:r w:rsidRPr="00B85D62">
              <w:rPr>
                <w:rFonts w:cs="Arial"/>
                <w:vertAlign w:val="superscript"/>
                <w:lang w:eastAsia="en-GB"/>
              </w:rPr>
              <w:t>†</w:t>
            </w:r>
          </w:p>
        </w:tc>
      </w:tr>
      <w:tr w:rsidR="00F67557" w:rsidRPr="00B85D62" w14:paraId="68928808" w14:textId="77777777" w:rsidTr="00B85D62">
        <w:trPr>
          <w:cantSplit/>
        </w:trPr>
        <w:tc>
          <w:tcPr>
            <w:tcW w:w="0" w:type="auto"/>
            <w:shd w:val="clear" w:color="auto" w:fill="auto"/>
            <w:tcMar>
              <w:top w:w="72" w:type="dxa"/>
              <w:left w:w="144" w:type="dxa"/>
              <w:bottom w:w="72" w:type="dxa"/>
              <w:right w:w="144" w:type="dxa"/>
            </w:tcMar>
            <w:vAlign w:val="center"/>
          </w:tcPr>
          <w:p w14:paraId="003706C7" w14:textId="77777777" w:rsidR="00F67557" w:rsidRPr="00B85D62" w:rsidRDefault="00F67557" w:rsidP="0066232B">
            <w:pPr>
              <w:rPr>
                <w:rFonts w:cs="Arial"/>
                <w:lang w:eastAsia="en-GB"/>
              </w:rPr>
            </w:pPr>
            <w:r w:rsidRPr="00B85D62">
              <w:rPr>
                <w:rFonts w:cs="Arial"/>
                <w:lang w:eastAsia="en-GB"/>
              </w:rPr>
              <w:t>Monogenic FH, N (%)</w:t>
            </w:r>
          </w:p>
        </w:tc>
        <w:tc>
          <w:tcPr>
            <w:tcW w:w="0" w:type="auto"/>
            <w:shd w:val="clear" w:color="auto" w:fill="auto"/>
            <w:tcMar>
              <w:top w:w="72" w:type="dxa"/>
              <w:left w:w="144" w:type="dxa"/>
              <w:bottom w:w="72" w:type="dxa"/>
              <w:right w:w="144" w:type="dxa"/>
            </w:tcMar>
            <w:vAlign w:val="center"/>
          </w:tcPr>
          <w:p w14:paraId="5A0BB7D0" w14:textId="77777777" w:rsidR="00F67557" w:rsidRPr="00B85D62" w:rsidRDefault="00F67557" w:rsidP="0066232B">
            <w:pPr>
              <w:jc w:val="center"/>
              <w:rPr>
                <w:rFonts w:cs="Arial"/>
                <w:lang w:eastAsia="en-GB"/>
              </w:rPr>
            </w:pPr>
            <w:r w:rsidRPr="00B85D62">
              <w:rPr>
                <w:rFonts w:cs="Arial"/>
                <w:lang w:eastAsia="en-GB"/>
              </w:rPr>
              <w:t>552 (21.1)</w:t>
            </w:r>
          </w:p>
        </w:tc>
        <w:tc>
          <w:tcPr>
            <w:tcW w:w="0" w:type="auto"/>
            <w:shd w:val="clear" w:color="auto" w:fill="auto"/>
            <w:tcMar>
              <w:top w:w="72" w:type="dxa"/>
              <w:left w:w="144" w:type="dxa"/>
              <w:bottom w:w="72" w:type="dxa"/>
              <w:right w:w="144" w:type="dxa"/>
            </w:tcMar>
            <w:vAlign w:val="center"/>
          </w:tcPr>
          <w:p w14:paraId="0E979742" w14:textId="77777777" w:rsidR="00F67557" w:rsidRPr="00B85D62" w:rsidRDefault="00F67557" w:rsidP="0066232B">
            <w:pPr>
              <w:jc w:val="center"/>
              <w:rPr>
                <w:rFonts w:cs="Arial"/>
                <w:lang w:eastAsia="en-GB"/>
              </w:rPr>
            </w:pPr>
            <w:r w:rsidRPr="00B85D62">
              <w:rPr>
                <w:rFonts w:cs="Arial"/>
                <w:lang w:eastAsia="en-GB"/>
              </w:rPr>
              <w:t>323 (28.9)</w:t>
            </w:r>
          </w:p>
        </w:tc>
      </w:tr>
      <w:tr w:rsidR="00F67557" w:rsidRPr="00B85D62" w14:paraId="4962B5AC" w14:textId="77777777" w:rsidTr="00B85D62">
        <w:trPr>
          <w:cantSplit/>
        </w:trPr>
        <w:tc>
          <w:tcPr>
            <w:tcW w:w="0" w:type="auto"/>
            <w:shd w:val="clear" w:color="auto" w:fill="auto"/>
            <w:tcMar>
              <w:top w:w="72" w:type="dxa"/>
              <w:left w:w="144" w:type="dxa"/>
              <w:bottom w:w="72" w:type="dxa"/>
              <w:right w:w="144" w:type="dxa"/>
            </w:tcMar>
            <w:vAlign w:val="center"/>
          </w:tcPr>
          <w:p w14:paraId="58797891" w14:textId="77777777" w:rsidR="00F67557" w:rsidRPr="00B85D62" w:rsidRDefault="00F67557" w:rsidP="0066232B">
            <w:pPr>
              <w:rPr>
                <w:rFonts w:cs="Arial"/>
                <w:i/>
                <w:iCs/>
                <w:lang w:eastAsia="en-GB"/>
              </w:rPr>
            </w:pPr>
            <w:r w:rsidRPr="00B85D62">
              <w:rPr>
                <w:rFonts w:cs="Arial"/>
                <w:i/>
                <w:iCs/>
                <w:lang w:eastAsia="en-GB"/>
              </w:rPr>
              <w:t>LDLR mutation, N (%)</w:t>
            </w:r>
          </w:p>
        </w:tc>
        <w:tc>
          <w:tcPr>
            <w:tcW w:w="0" w:type="auto"/>
            <w:shd w:val="clear" w:color="auto" w:fill="auto"/>
            <w:tcMar>
              <w:top w:w="72" w:type="dxa"/>
              <w:left w:w="144" w:type="dxa"/>
              <w:bottom w:w="72" w:type="dxa"/>
              <w:right w:w="144" w:type="dxa"/>
            </w:tcMar>
            <w:vAlign w:val="center"/>
          </w:tcPr>
          <w:p w14:paraId="47132E76" w14:textId="77777777" w:rsidR="00F67557" w:rsidRPr="00B85D62" w:rsidRDefault="00F67557" w:rsidP="0066232B">
            <w:pPr>
              <w:jc w:val="center"/>
              <w:rPr>
                <w:rFonts w:cs="Arial"/>
                <w:i/>
                <w:iCs/>
                <w:lang w:eastAsia="en-GB"/>
              </w:rPr>
            </w:pPr>
            <w:r w:rsidRPr="00B85D62">
              <w:rPr>
                <w:rFonts w:cs="Arial"/>
                <w:i/>
                <w:iCs/>
                <w:lang w:eastAsia="en-GB"/>
              </w:rPr>
              <w:t>479 (86.8)</w:t>
            </w:r>
          </w:p>
        </w:tc>
        <w:tc>
          <w:tcPr>
            <w:tcW w:w="0" w:type="auto"/>
            <w:shd w:val="clear" w:color="auto" w:fill="auto"/>
            <w:tcMar>
              <w:top w:w="72" w:type="dxa"/>
              <w:left w:w="144" w:type="dxa"/>
              <w:bottom w:w="72" w:type="dxa"/>
              <w:right w:w="144" w:type="dxa"/>
            </w:tcMar>
            <w:vAlign w:val="center"/>
          </w:tcPr>
          <w:p w14:paraId="45EA5243" w14:textId="77777777" w:rsidR="00F67557" w:rsidRPr="00B85D62" w:rsidRDefault="00F67557" w:rsidP="0066232B">
            <w:pPr>
              <w:jc w:val="center"/>
              <w:rPr>
                <w:rFonts w:cs="Arial"/>
                <w:i/>
                <w:iCs/>
                <w:lang w:eastAsia="en-GB"/>
              </w:rPr>
            </w:pPr>
            <w:r w:rsidRPr="00B85D62">
              <w:rPr>
                <w:rFonts w:cs="Arial"/>
                <w:i/>
                <w:iCs/>
                <w:lang w:eastAsia="en-GB"/>
              </w:rPr>
              <w:t>251 (77.7)</w:t>
            </w:r>
          </w:p>
        </w:tc>
      </w:tr>
      <w:tr w:rsidR="00F67557" w:rsidRPr="00B85D62" w14:paraId="01900507" w14:textId="77777777" w:rsidTr="00B85D62">
        <w:trPr>
          <w:cantSplit/>
        </w:trPr>
        <w:tc>
          <w:tcPr>
            <w:tcW w:w="0" w:type="auto"/>
            <w:shd w:val="clear" w:color="auto" w:fill="auto"/>
            <w:tcMar>
              <w:top w:w="72" w:type="dxa"/>
              <w:left w:w="144" w:type="dxa"/>
              <w:bottom w:w="72" w:type="dxa"/>
              <w:right w:w="144" w:type="dxa"/>
            </w:tcMar>
            <w:vAlign w:val="center"/>
          </w:tcPr>
          <w:p w14:paraId="6AE05F73" w14:textId="77777777" w:rsidR="00F67557" w:rsidRPr="00B85D62" w:rsidRDefault="00F67557" w:rsidP="0066232B">
            <w:pPr>
              <w:rPr>
                <w:rFonts w:cs="Arial"/>
                <w:i/>
                <w:iCs/>
                <w:lang w:eastAsia="en-GB"/>
              </w:rPr>
            </w:pPr>
            <w:r w:rsidRPr="00B85D62">
              <w:rPr>
                <w:rFonts w:cs="Arial"/>
                <w:i/>
                <w:iCs/>
                <w:lang w:eastAsia="en-GB"/>
              </w:rPr>
              <w:t>APOB mutation, N (%)</w:t>
            </w:r>
          </w:p>
        </w:tc>
        <w:tc>
          <w:tcPr>
            <w:tcW w:w="0" w:type="auto"/>
            <w:shd w:val="clear" w:color="auto" w:fill="auto"/>
            <w:tcMar>
              <w:top w:w="72" w:type="dxa"/>
              <w:left w:w="144" w:type="dxa"/>
              <w:bottom w:w="72" w:type="dxa"/>
              <w:right w:w="144" w:type="dxa"/>
            </w:tcMar>
            <w:vAlign w:val="center"/>
          </w:tcPr>
          <w:p w14:paraId="3CBAA20F" w14:textId="77777777" w:rsidR="00F67557" w:rsidRPr="00B85D62" w:rsidRDefault="00F67557" w:rsidP="0066232B">
            <w:pPr>
              <w:jc w:val="center"/>
              <w:rPr>
                <w:rFonts w:cs="Arial"/>
                <w:i/>
                <w:iCs/>
                <w:lang w:eastAsia="en-GB"/>
              </w:rPr>
            </w:pPr>
            <w:r w:rsidRPr="00B85D62">
              <w:rPr>
                <w:rFonts w:cs="Arial"/>
                <w:i/>
                <w:iCs/>
                <w:lang w:eastAsia="en-GB"/>
              </w:rPr>
              <w:t>66 (12.0)</w:t>
            </w:r>
          </w:p>
        </w:tc>
        <w:tc>
          <w:tcPr>
            <w:tcW w:w="0" w:type="auto"/>
            <w:shd w:val="clear" w:color="auto" w:fill="auto"/>
            <w:tcMar>
              <w:top w:w="72" w:type="dxa"/>
              <w:left w:w="144" w:type="dxa"/>
              <w:bottom w:w="72" w:type="dxa"/>
              <w:right w:w="144" w:type="dxa"/>
            </w:tcMar>
            <w:vAlign w:val="center"/>
          </w:tcPr>
          <w:p w14:paraId="5EE7E6D9" w14:textId="77777777" w:rsidR="00F67557" w:rsidRPr="00B85D62" w:rsidRDefault="00F67557" w:rsidP="0066232B">
            <w:pPr>
              <w:jc w:val="center"/>
              <w:rPr>
                <w:rFonts w:cs="Arial"/>
                <w:i/>
                <w:iCs/>
                <w:lang w:eastAsia="en-GB"/>
              </w:rPr>
            </w:pPr>
            <w:r w:rsidRPr="00B85D62">
              <w:rPr>
                <w:rFonts w:cs="Arial"/>
                <w:i/>
                <w:iCs/>
                <w:lang w:eastAsia="en-GB"/>
              </w:rPr>
              <w:t>63 (19.5)</w:t>
            </w:r>
          </w:p>
        </w:tc>
      </w:tr>
      <w:tr w:rsidR="00F67557" w:rsidRPr="00B85D62" w14:paraId="4678623B" w14:textId="77777777" w:rsidTr="00B85D62">
        <w:trPr>
          <w:cantSplit/>
        </w:trPr>
        <w:tc>
          <w:tcPr>
            <w:tcW w:w="0" w:type="auto"/>
            <w:shd w:val="clear" w:color="auto" w:fill="auto"/>
            <w:tcMar>
              <w:top w:w="72" w:type="dxa"/>
              <w:left w:w="144" w:type="dxa"/>
              <w:bottom w:w="72" w:type="dxa"/>
              <w:right w:w="144" w:type="dxa"/>
            </w:tcMar>
            <w:vAlign w:val="center"/>
          </w:tcPr>
          <w:p w14:paraId="0D1D8A21" w14:textId="77777777" w:rsidR="00F67557" w:rsidRPr="00B85D62" w:rsidRDefault="00F67557" w:rsidP="0066232B">
            <w:pPr>
              <w:rPr>
                <w:rFonts w:cs="Arial"/>
                <w:i/>
                <w:iCs/>
                <w:lang w:eastAsia="en-GB"/>
              </w:rPr>
            </w:pPr>
            <w:r w:rsidRPr="00B85D62">
              <w:rPr>
                <w:rFonts w:cs="Arial"/>
                <w:i/>
                <w:iCs/>
                <w:lang w:eastAsia="en-GB"/>
              </w:rPr>
              <w:t>PCSK9 or APOE mutation, N (%)</w:t>
            </w:r>
          </w:p>
        </w:tc>
        <w:tc>
          <w:tcPr>
            <w:tcW w:w="0" w:type="auto"/>
            <w:shd w:val="clear" w:color="auto" w:fill="auto"/>
            <w:tcMar>
              <w:top w:w="72" w:type="dxa"/>
              <w:left w:w="144" w:type="dxa"/>
              <w:bottom w:w="72" w:type="dxa"/>
              <w:right w:w="144" w:type="dxa"/>
            </w:tcMar>
            <w:vAlign w:val="center"/>
          </w:tcPr>
          <w:p w14:paraId="4148CA63" w14:textId="77777777" w:rsidR="00F67557" w:rsidRPr="00B85D62" w:rsidRDefault="00F67557" w:rsidP="0066232B">
            <w:pPr>
              <w:jc w:val="center"/>
              <w:rPr>
                <w:rFonts w:cs="Arial"/>
                <w:i/>
                <w:iCs/>
                <w:lang w:eastAsia="en-GB"/>
              </w:rPr>
            </w:pPr>
            <w:r w:rsidRPr="00B85D62">
              <w:rPr>
                <w:rFonts w:cs="Arial"/>
                <w:i/>
                <w:iCs/>
                <w:lang w:eastAsia="en-GB"/>
              </w:rPr>
              <w:t>7 (1.3)</w:t>
            </w:r>
          </w:p>
        </w:tc>
        <w:tc>
          <w:tcPr>
            <w:tcW w:w="0" w:type="auto"/>
            <w:shd w:val="clear" w:color="auto" w:fill="auto"/>
            <w:tcMar>
              <w:top w:w="72" w:type="dxa"/>
              <w:left w:w="144" w:type="dxa"/>
              <w:bottom w:w="72" w:type="dxa"/>
              <w:right w:w="144" w:type="dxa"/>
            </w:tcMar>
            <w:vAlign w:val="center"/>
          </w:tcPr>
          <w:p w14:paraId="2089185D" w14:textId="77777777" w:rsidR="00F67557" w:rsidRPr="00B85D62" w:rsidRDefault="00F67557" w:rsidP="0066232B">
            <w:pPr>
              <w:jc w:val="center"/>
              <w:rPr>
                <w:rFonts w:cs="Arial"/>
                <w:i/>
                <w:iCs/>
                <w:lang w:eastAsia="en-GB"/>
              </w:rPr>
            </w:pPr>
            <w:r w:rsidRPr="00B85D62">
              <w:rPr>
                <w:rFonts w:cs="Arial"/>
                <w:i/>
                <w:iCs/>
                <w:lang w:eastAsia="en-GB"/>
              </w:rPr>
              <w:t>9 (2.8)</w:t>
            </w:r>
          </w:p>
        </w:tc>
      </w:tr>
      <w:tr w:rsidR="00F67557" w:rsidRPr="00B85D62" w14:paraId="4F9D02CA" w14:textId="77777777" w:rsidTr="00B85D62">
        <w:trPr>
          <w:cantSplit/>
        </w:trPr>
        <w:tc>
          <w:tcPr>
            <w:tcW w:w="0" w:type="auto"/>
            <w:shd w:val="clear" w:color="auto" w:fill="auto"/>
            <w:tcMar>
              <w:top w:w="72" w:type="dxa"/>
              <w:left w:w="144" w:type="dxa"/>
              <w:bottom w:w="72" w:type="dxa"/>
              <w:right w:w="144" w:type="dxa"/>
            </w:tcMar>
            <w:vAlign w:val="center"/>
          </w:tcPr>
          <w:p w14:paraId="135D3EFD" w14:textId="77777777" w:rsidR="00F67557" w:rsidRPr="00B85D62" w:rsidRDefault="00F67557" w:rsidP="0066232B">
            <w:pPr>
              <w:rPr>
                <w:rFonts w:cs="Arial"/>
                <w:lang w:eastAsia="en-GB"/>
              </w:rPr>
            </w:pPr>
            <w:r w:rsidRPr="00B85D62">
              <w:rPr>
                <w:rFonts w:cs="Arial"/>
                <w:lang w:eastAsia="en-GB"/>
              </w:rPr>
              <w:t>VUS, N (%)</w:t>
            </w:r>
          </w:p>
        </w:tc>
        <w:tc>
          <w:tcPr>
            <w:tcW w:w="0" w:type="auto"/>
            <w:shd w:val="clear" w:color="auto" w:fill="auto"/>
            <w:tcMar>
              <w:top w:w="72" w:type="dxa"/>
              <w:left w:w="144" w:type="dxa"/>
              <w:bottom w:w="72" w:type="dxa"/>
              <w:right w:w="144" w:type="dxa"/>
            </w:tcMar>
            <w:vAlign w:val="center"/>
          </w:tcPr>
          <w:p w14:paraId="7B46234F" w14:textId="77777777" w:rsidR="00F67557" w:rsidRPr="00B85D62" w:rsidRDefault="00F67557" w:rsidP="0066232B">
            <w:pPr>
              <w:jc w:val="center"/>
              <w:rPr>
                <w:rFonts w:cs="Arial"/>
                <w:lang w:eastAsia="en-GB"/>
              </w:rPr>
            </w:pPr>
            <w:r w:rsidRPr="00B85D62">
              <w:rPr>
                <w:rFonts w:cs="Arial"/>
                <w:lang w:eastAsia="en-GB"/>
              </w:rPr>
              <w:t>103 (3.8)</w:t>
            </w:r>
          </w:p>
        </w:tc>
        <w:tc>
          <w:tcPr>
            <w:tcW w:w="0" w:type="auto"/>
            <w:shd w:val="clear" w:color="auto" w:fill="auto"/>
            <w:tcMar>
              <w:top w:w="72" w:type="dxa"/>
              <w:left w:w="144" w:type="dxa"/>
              <w:bottom w:w="72" w:type="dxa"/>
              <w:right w:w="144" w:type="dxa"/>
            </w:tcMar>
            <w:vAlign w:val="center"/>
          </w:tcPr>
          <w:p w14:paraId="4CC57EC4" w14:textId="77777777" w:rsidR="00F67557" w:rsidRPr="00B85D62" w:rsidRDefault="00F67557" w:rsidP="0066232B">
            <w:pPr>
              <w:jc w:val="center"/>
              <w:rPr>
                <w:rFonts w:cs="Arial"/>
                <w:lang w:eastAsia="en-GB"/>
              </w:rPr>
            </w:pPr>
            <w:r w:rsidRPr="00B85D62">
              <w:rPr>
                <w:rFonts w:cs="Arial"/>
                <w:lang w:eastAsia="en-GB"/>
              </w:rPr>
              <w:t>44 (3.9)</w:t>
            </w:r>
          </w:p>
        </w:tc>
      </w:tr>
      <w:tr w:rsidR="00F67557" w:rsidRPr="00B85D62" w14:paraId="04680422" w14:textId="77777777" w:rsidTr="00B85D62">
        <w:trPr>
          <w:cantSplit/>
        </w:trPr>
        <w:tc>
          <w:tcPr>
            <w:tcW w:w="0" w:type="auto"/>
            <w:shd w:val="clear" w:color="auto" w:fill="auto"/>
            <w:tcMar>
              <w:top w:w="72" w:type="dxa"/>
              <w:left w:w="144" w:type="dxa"/>
              <w:bottom w:w="72" w:type="dxa"/>
              <w:right w:w="144" w:type="dxa"/>
            </w:tcMar>
            <w:vAlign w:val="center"/>
          </w:tcPr>
          <w:p w14:paraId="5580D433" w14:textId="77777777" w:rsidR="00F67557" w:rsidRPr="00B85D62" w:rsidRDefault="00F67557" w:rsidP="0066232B">
            <w:pPr>
              <w:rPr>
                <w:rFonts w:cs="Arial"/>
                <w:lang w:eastAsia="en-GB"/>
              </w:rPr>
            </w:pPr>
            <w:r w:rsidRPr="00B85D62">
              <w:rPr>
                <w:rFonts w:cs="Arial"/>
                <w:lang w:eastAsia="en-GB"/>
              </w:rPr>
              <w:t>Negative (%)</w:t>
            </w:r>
          </w:p>
        </w:tc>
        <w:tc>
          <w:tcPr>
            <w:tcW w:w="0" w:type="auto"/>
            <w:shd w:val="clear" w:color="auto" w:fill="auto"/>
            <w:tcMar>
              <w:top w:w="72" w:type="dxa"/>
              <w:left w:w="144" w:type="dxa"/>
              <w:bottom w:w="72" w:type="dxa"/>
              <w:right w:w="144" w:type="dxa"/>
            </w:tcMar>
            <w:vAlign w:val="center"/>
          </w:tcPr>
          <w:p w14:paraId="4A599A0B" w14:textId="77777777" w:rsidR="00F67557" w:rsidRPr="00B85D62" w:rsidRDefault="00F67557" w:rsidP="0066232B">
            <w:pPr>
              <w:jc w:val="center"/>
              <w:rPr>
                <w:rFonts w:cs="Arial"/>
                <w:lang w:eastAsia="en-GB"/>
              </w:rPr>
            </w:pPr>
            <w:r w:rsidRPr="00B85D62">
              <w:rPr>
                <w:rFonts w:cs="Arial"/>
                <w:lang w:eastAsia="en-GB"/>
              </w:rPr>
              <w:t>1963 (75.0)</w:t>
            </w:r>
          </w:p>
        </w:tc>
        <w:tc>
          <w:tcPr>
            <w:tcW w:w="0" w:type="auto"/>
            <w:shd w:val="clear" w:color="auto" w:fill="auto"/>
            <w:tcMar>
              <w:top w:w="72" w:type="dxa"/>
              <w:left w:w="144" w:type="dxa"/>
              <w:bottom w:w="72" w:type="dxa"/>
              <w:right w:w="144" w:type="dxa"/>
            </w:tcMar>
            <w:vAlign w:val="center"/>
          </w:tcPr>
          <w:p w14:paraId="6A7778F3" w14:textId="77777777" w:rsidR="00F67557" w:rsidRPr="00B85D62" w:rsidRDefault="00F67557" w:rsidP="0066232B">
            <w:pPr>
              <w:jc w:val="center"/>
              <w:rPr>
                <w:rFonts w:cs="Arial"/>
                <w:lang w:eastAsia="en-GB"/>
              </w:rPr>
            </w:pPr>
            <w:r w:rsidRPr="00B85D62">
              <w:rPr>
                <w:rFonts w:cs="Arial"/>
                <w:lang w:eastAsia="en-GB"/>
              </w:rPr>
              <w:t>749 (67.1)</w:t>
            </w:r>
          </w:p>
        </w:tc>
      </w:tr>
    </w:tbl>
    <w:p w14:paraId="25733783" w14:textId="77777777" w:rsidR="00F67557" w:rsidRPr="00B85D62" w:rsidRDefault="00F67557" w:rsidP="0066232B">
      <w:pPr>
        <w:rPr>
          <w:rFonts w:cs="Arial"/>
        </w:rPr>
      </w:pPr>
      <w:r w:rsidRPr="00B85D62">
        <w:rPr>
          <w:rFonts w:cs="Arial"/>
          <w:vertAlign w:val="superscript"/>
        </w:rPr>
        <w:t>*</w:t>
      </w:r>
      <w:r w:rsidRPr="00B85D62">
        <w:rPr>
          <w:rFonts w:cs="Arial"/>
        </w:rPr>
        <w:t xml:space="preserve">Age at diagnosis; </w:t>
      </w:r>
      <w:r w:rsidRPr="00B85D62">
        <w:rPr>
          <w:rFonts w:cs="Arial"/>
          <w:color w:val="000000" w:themeColor="dark1"/>
          <w:kern w:val="24"/>
          <w:vertAlign w:val="superscript"/>
          <w:lang w:eastAsia="en-GB"/>
        </w:rPr>
        <w:t>‡</w:t>
      </w:r>
      <w:r w:rsidRPr="00B85D62">
        <w:rPr>
          <w:rFonts w:cs="Arial"/>
        </w:rPr>
        <w:t xml:space="preserve"> The highest observed/unadjusted LDL-C on record prior to testing; </w:t>
      </w:r>
      <w:r w:rsidRPr="00B85D62">
        <w:rPr>
          <w:rFonts w:cs="Arial"/>
          <w:vertAlign w:val="superscript"/>
        </w:rPr>
        <w:t xml:space="preserve">† </w:t>
      </w:r>
      <w:r w:rsidRPr="00B85D62">
        <w:rPr>
          <w:rFonts w:cs="Arial"/>
        </w:rPr>
        <w:t>Diagnosis as of 15/04/2020 criteria</w:t>
      </w:r>
    </w:p>
    <w:p w14:paraId="1AD53F0B" w14:textId="50D14DA7" w:rsidR="004945A6" w:rsidRPr="00B85D62" w:rsidRDefault="75DE676D" w:rsidP="0066232B">
      <w:pPr>
        <w:rPr>
          <w:rFonts w:cs="Arial"/>
          <w:highlight w:val="green"/>
        </w:rPr>
      </w:pPr>
      <w:r w:rsidRPr="00B85D62">
        <w:rPr>
          <w:rFonts w:cs="Arial"/>
        </w:rPr>
        <w:t>Out of the 2,531 individuals referred to the Welsh service with an unadjusted Welsh-DLCN score, 1,988 (78.5%) scored 6 or above. From the 1,005 indexes with age-adjusted Welsh-DLCN scores, and 2,295 indexes with inferred scores, 772 (76.8%) and 1,710 (74.5%) scored 6 or above, respectively. Welsh index</w:t>
      </w:r>
      <w:r w:rsidR="00D26805" w:rsidRPr="00B85D62">
        <w:rPr>
          <w:rFonts w:cs="Arial"/>
        </w:rPr>
        <w:t xml:space="preserve"> cas</w:t>
      </w:r>
      <w:r w:rsidRPr="00B85D62">
        <w:rPr>
          <w:rFonts w:cs="Arial"/>
        </w:rPr>
        <w:t>es that scored 6 or above using unadjusted, age-adjusted and inferred age-adjusted Welsh-DLCN scores had 505 (25.4%), 306 (39.6%) and 491 (28.7%) FH diagnoses. This compared with 32 (5.9%) FH diagnoses in index</w:t>
      </w:r>
      <w:r w:rsidR="00AAA29E" w:rsidRPr="00B85D62">
        <w:rPr>
          <w:rFonts w:cs="Arial"/>
        </w:rPr>
        <w:t xml:space="preserve"> cas</w:t>
      </w:r>
      <w:r w:rsidRPr="00B85D62">
        <w:rPr>
          <w:rFonts w:cs="Arial"/>
        </w:rPr>
        <w:t xml:space="preserve">es with unadjusted </w:t>
      </w:r>
      <w:r w:rsidR="36A31775" w:rsidRPr="00B85D62">
        <w:rPr>
          <w:rFonts w:cs="Arial"/>
        </w:rPr>
        <w:t>Welsh</w:t>
      </w:r>
      <w:r w:rsidRPr="00B85D62">
        <w:rPr>
          <w:rFonts w:cs="Arial"/>
        </w:rPr>
        <w:t>-DLCN below 6 and 18 (3.2%) FH diagnoses in index</w:t>
      </w:r>
      <w:r w:rsidR="461C16D8" w:rsidRPr="00B85D62">
        <w:rPr>
          <w:rFonts w:cs="Arial"/>
        </w:rPr>
        <w:t xml:space="preserve"> cas</w:t>
      </w:r>
      <w:r w:rsidRPr="00B85D62">
        <w:rPr>
          <w:rFonts w:cs="Arial"/>
        </w:rPr>
        <w:t>es with inferred age-adjusted Welsh-DLCN scores below 6 (numbers suppressed for the age-adjusted Welsh-DLCN score).</w:t>
      </w:r>
      <w:r w:rsidR="00895586" w:rsidRPr="00B85D62">
        <w:rPr>
          <w:rFonts w:cs="Arial"/>
        </w:rPr>
        <w:t xml:space="preserve"> </w:t>
      </w:r>
    </w:p>
    <w:p w14:paraId="0494DAAF" w14:textId="77777777" w:rsidR="00B85D62" w:rsidRPr="00B85D62" w:rsidRDefault="009E34A2" w:rsidP="0066232B">
      <w:pPr>
        <w:rPr>
          <w:rFonts w:cs="Arial"/>
        </w:rPr>
      </w:pPr>
      <w:r w:rsidRPr="00B85D62">
        <w:t xml:space="preserve">In Wessex the SB criteria </w:t>
      </w:r>
      <w:r w:rsidR="75DE676D" w:rsidRPr="00B85D62">
        <w:rPr>
          <w:rFonts w:cs="Arial"/>
        </w:rPr>
        <w:t>classified 136 (13.4%) genetic referrals as unlikely FH, 853 (84.0%) as probable FH and 26 (2.6%) definite FH. FH was diagnosed in 8.8%, 29.2% and 57.7% of unlikely, probable and definite FH classifications, respectively.</w:t>
      </w:r>
    </w:p>
    <w:p w14:paraId="1FBC82C1" w14:textId="382C60C2" w:rsidR="39386A16" w:rsidRPr="00B85D62" w:rsidRDefault="00B85D62" w:rsidP="0066232B">
      <w:pPr>
        <w:rPr>
          <w:rFonts w:cs="Arial"/>
        </w:rPr>
      </w:pPr>
      <w:r w:rsidRPr="00B85D62">
        <w:rPr>
          <w:rFonts w:cs="Arial"/>
          <w:i/>
          <w:color w:val="FF0000"/>
        </w:rPr>
        <w:t>F</w:t>
      </w:r>
      <w:r w:rsidRPr="00B85D62">
        <w:rPr>
          <w:rFonts w:cs="Arial"/>
          <w:i/>
          <w:color w:val="FF0000"/>
        </w:rPr>
        <w:t>igure</w:t>
      </w:r>
      <w:r w:rsidRPr="00B85D62">
        <w:rPr>
          <w:rFonts w:cs="Arial"/>
          <w:i/>
          <w:color w:val="FF0000"/>
        </w:rPr>
        <w:t xml:space="preserve"> </w:t>
      </w:r>
      <w:r w:rsidRPr="00B85D62">
        <w:rPr>
          <w:rFonts w:cs="Arial"/>
          <w:i/>
          <w:color w:val="FF0000"/>
        </w:rPr>
        <w:t>10</w:t>
      </w:r>
      <w:r w:rsidR="75DE676D" w:rsidRPr="00B85D62">
        <w:rPr>
          <w:rFonts w:cs="Arial"/>
        </w:rPr>
        <w:t xml:space="preserve"> shows the sensitivity and specificity of unadjusted and age-adjusted Welsh-DLCN scores for identifying FH and non-FH cases across alternative referral thresholds. The maximum absolute difference in sensitivity occurred at a threshold </w:t>
      </w:r>
      <w:r w:rsidRPr="00B85D62">
        <w:rPr>
          <w:rFonts w:eastAsia="MS UI Gothic" w:cs="Arial"/>
          <w:color w:val="00B0F0"/>
        </w:rPr>
        <w:t>≥</w:t>
      </w:r>
      <w:r w:rsidRPr="00B85D62">
        <w:rPr>
          <w:rFonts w:eastAsia="MS UI Gothic" w:cs="Arial"/>
          <w:color w:val="00B0F0"/>
        </w:rPr>
        <w:t> </w:t>
      </w:r>
      <w:r w:rsidRPr="00B85D62">
        <w:rPr>
          <w:rFonts w:cs="Arial"/>
          <w:color w:val="00B0F0"/>
        </w:rPr>
        <w:t>8</w:t>
      </w:r>
      <w:r w:rsidR="75DE676D" w:rsidRPr="00B85D62">
        <w:rPr>
          <w:rFonts w:cs="Arial"/>
        </w:rPr>
        <w:t xml:space="preserve"> (9.2%). The unadjusted score had a higher specificity at thresholds up to 13 and converged with age-adjusted specificities at higher thresholds. Increasing the referral threshold from </w:t>
      </w:r>
      <w:r w:rsidRPr="00B85D62">
        <w:rPr>
          <w:rFonts w:cs="Arial"/>
          <w:color w:val="00B0F0"/>
        </w:rPr>
        <w:t>≥</w:t>
      </w:r>
      <w:r w:rsidRPr="00B85D62">
        <w:rPr>
          <w:rFonts w:cs="Arial"/>
          <w:color w:val="00B0F0"/>
        </w:rPr>
        <w:t> </w:t>
      </w:r>
      <w:r w:rsidRPr="00B85D62">
        <w:rPr>
          <w:rFonts w:cs="Arial"/>
          <w:color w:val="00B0F0"/>
        </w:rPr>
        <w:t>6</w:t>
      </w:r>
      <w:r w:rsidR="75DE676D" w:rsidRPr="00B85D62">
        <w:rPr>
          <w:rFonts w:cs="Arial"/>
        </w:rPr>
        <w:t xml:space="preserve"> (current) to </w:t>
      </w:r>
      <w:r w:rsidRPr="00B85D62">
        <w:rPr>
          <w:rFonts w:cs="Arial"/>
          <w:color w:val="00B0F0"/>
        </w:rPr>
        <w:t>≥</w:t>
      </w:r>
      <w:r w:rsidRPr="00B85D62">
        <w:rPr>
          <w:rFonts w:cs="Arial"/>
          <w:color w:val="00B0F0"/>
        </w:rPr>
        <w:t> </w:t>
      </w:r>
      <w:r w:rsidRPr="00B85D62">
        <w:rPr>
          <w:rFonts w:cs="Arial"/>
          <w:color w:val="00B0F0"/>
        </w:rPr>
        <w:t>8</w:t>
      </w:r>
      <w:r w:rsidR="75DE676D" w:rsidRPr="00B85D62">
        <w:rPr>
          <w:rFonts w:cs="Arial"/>
        </w:rPr>
        <w:t xml:space="preserve"> for the unadjusted (age-adjusted) score would mean that 56.1% (42.9%) of individuals who did not have FH were correctly excluded from genetic testing, however it would mean that 29% (20%) of </w:t>
      </w:r>
      <w:r w:rsidR="75DE676D" w:rsidRPr="00B85D62">
        <w:rPr>
          <w:rFonts w:cs="Arial"/>
        </w:rPr>
        <w:lastRenderedPageBreak/>
        <w:t>individuals with FH were incorrectly excluded from testing and subsequent cascading. The diagnostic accuracy of inferred age-adjusted scores was broadly comparable to observed age-adjusted scores (</w:t>
      </w:r>
      <w:r w:rsidR="00D26805" w:rsidRPr="00B85D62">
        <w:rPr>
          <w:rFonts w:cs="Arial"/>
        </w:rPr>
        <w:t xml:space="preserve">further details in </w:t>
      </w:r>
      <w:r w:rsidR="00633D0D" w:rsidRPr="00B85D62">
        <w:rPr>
          <w:rFonts w:eastAsia="Arial" w:cs="Arial"/>
          <w:i/>
          <w:color w:val="000000" w:themeColor="text1"/>
        </w:rPr>
        <w:t>Online Supplementary file 3</w:t>
      </w:r>
      <w:r w:rsidR="00633D0D" w:rsidRPr="00B85D62">
        <w:rPr>
          <w:rFonts w:eastAsia="Arial" w:cs="Arial"/>
          <w:color w:val="000000" w:themeColor="text1"/>
        </w:rPr>
        <w:t xml:space="preserve"> </w:t>
      </w:r>
      <w:r w:rsidR="00633D0D" w:rsidRPr="00B85D62">
        <w:rPr>
          <w:rFonts w:cs="Arial"/>
          <w:i/>
        </w:rPr>
        <w:t>(Additional information)).</w:t>
      </w:r>
    </w:p>
    <w:p w14:paraId="3E61EF31" w14:textId="6AD5EB79" w:rsidR="00B85D62" w:rsidRPr="00B85D62" w:rsidRDefault="00B85D62" w:rsidP="00E26BF7">
      <w:pPr>
        <w:pStyle w:val="Caption"/>
        <w:keepNext/>
      </w:pPr>
      <w:bookmarkStart w:id="195" w:name="_Toc79740229"/>
      <w:bookmarkStart w:id="196" w:name="_Toc107157392"/>
      <w:r w:rsidRPr="00B85D62">
        <w:rPr>
          <w:i/>
          <w:color w:val="FF0000"/>
        </w:rPr>
        <w:t>F</w:t>
      </w:r>
      <w:r w:rsidRPr="00B85D62">
        <w:rPr>
          <w:i/>
          <w:color w:val="FF0000"/>
        </w:rPr>
        <w:t>igure</w:t>
      </w:r>
      <w:r w:rsidRPr="00B85D62">
        <w:rPr>
          <w:i/>
          <w:color w:val="FF0000"/>
        </w:rPr>
        <w:t xml:space="preserve"> </w:t>
      </w:r>
      <w:r w:rsidRPr="00B85D62">
        <w:rPr>
          <w:i/>
          <w:noProof/>
          <w:color w:val="FF0000"/>
        </w:rPr>
        <w:t>10</w:t>
      </w:r>
      <w:r w:rsidR="00E26BF7" w:rsidRPr="00B85D62">
        <w:t xml:space="preserve"> </w:t>
      </w:r>
      <w:r w:rsidR="00E26BF7" w:rsidRPr="00B85D62">
        <w:rPr>
          <w:b w:val="0"/>
          <w:bCs/>
        </w:rPr>
        <w:t xml:space="preserve">Observed </w:t>
      </w:r>
      <w:r w:rsidR="00E26BF7" w:rsidRPr="00B85D62">
        <w:rPr>
          <w:b w:val="0"/>
          <w:bCs/>
          <w:highlight w:val="magenta"/>
        </w:rPr>
        <w:t>data</w:t>
      </w:r>
      <w:r w:rsidR="00E26BF7" w:rsidRPr="00B85D62">
        <w:rPr>
          <w:b w:val="0"/>
          <w:bCs/>
        </w:rPr>
        <w:t xml:space="preserve"> on the accuracy of the Welsh scoring criteria in detecting FH with and without age-adjustments in Welsh service indexes eligible for testing</w:t>
      </w:r>
      <w:bookmarkEnd w:id="195"/>
      <w:bookmarkEnd w:id="196"/>
    </w:p>
    <w:p w14:paraId="07A91551" w14:textId="77777777" w:rsidR="00B85D62" w:rsidRPr="00B85D62" w:rsidRDefault="00F67557" w:rsidP="0066232B">
      <w:pPr>
        <w:rPr>
          <w:rFonts w:cs="Arial"/>
        </w:rPr>
      </w:pPr>
      <w:r w:rsidRPr="00B85D62">
        <w:rPr>
          <w:rFonts w:cs="Arial"/>
        </w:rPr>
        <w:t>tpr: True positive rate; tnr: True negative rate</w:t>
      </w:r>
    </w:p>
    <w:p w14:paraId="659EEB75" w14:textId="4E21F461" w:rsidR="00B85D62" w:rsidRPr="00B85D62" w:rsidRDefault="75DE676D" w:rsidP="006C7E71">
      <w:pPr>
        <w:pStyle w:val="Heading4"/>
        <w:numPr>
          <w:ilvl w:val="0"/>
          <w:numId w:val="0"/>
        </w:numPr>
      </w:pPr>
      <w:r w:rsidRPr="00B85D62">
        <w:t>Relative cases</w:t>
      </w:r>
    </w:p>
    <w:p w14:paraId="6E78AAA6" w14:textId="502B76B9" w:rsidR="00B85D62" w:rsidRPr="00B85D62" w:rsidRDefault="75DE676D" w:rsidP="0066232B">
      <w:pPr>
        <w:rPr>
          <w:rFonts w:cs="Arial"/>
        </w:rPr>
      </w:pPr>
      <w:r w:rsidRPr="00B85D62">
        <w:rPr>
          <w:rFonts w:cs="Arial"/>
        </w:rPr>
        <w:t>On average, for each FH index identified in the Welsh and Wessex services, 7.35 and 7.01 relatives were available within PASS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11</w:t>
      </w:r>
      <w:r w:rsidRPr="00B85D62">
        <w:rPr>
          <w:rFonts w:cs="Arial"/>
        </w:rPr>
        <w:t xml:space="preserve">). Out of the relatives with observed area </w:t>
      </w:r>
      <w:r w:rsidRPr="00B85D62">
        <w:rPr>
          <w:rFonts w:cs="Arial"/>
          <w:highlight w:val="magenta"/>
        </w:rPr>
        <w:t>data</w:t>
      </w:r>
      <w:r w:rsidRPr="00B85D62">
        <w:rPr>
          <w:rFonts w:cs="Arial"/>
        </w:rPr>
        <w:t xml:space="preserve"> (Wales: 69%; Wessex: 66%), approximately 25% of Welsh and 29% of Wessex cases were out-of-area. If we conservatively assume cases with missing area </w:t>
      </w:r>
      <w:r w:rsidRPr="00B85D62">
        <w:rPr>
          <w:rFonts w:cs="Arial"/>
          <w:highlight w:val="magenta"/>
        </w:rPr>
        <w:t>data</w:t>
      </w:r>
      <w:r w:rsidRPr="00B85D62">
        <w:rPr>
          <w:rFonts w:cs="Arial"/>
        </w:rPr>
        <w:t xml:space="preserve"> are within-area this brings this proportion down to 16% and 18% respectively. The number of within-area relatives potentially accessible to each service was 6.17 in Wales and 5.69 in Wessex per </w:t>
      </w:r>
      <w:r w:rsidR="11364873" w:rsidRPr="00B85D62">
        <w:rPr>
          <w:rFonts w:cs="Arial"/>
        </w:rPr>
        <w:t>FH</w:t>
      </w:r>
      <w:r w:rsidRPr="00B85D62">
        <w:rPr>
          <w:rFonts w:cs="Arial"/>
        </w:rPr>
        <w:t xml:space="preserve">-positive index case. The Welsh and Wessex services contacted approximately 64.3% and 58.0% of relatives not known to be residing out-of-area, respectively. </w:t>
      </w:r>
      <w:r w:rsidR="009E34A2" w:rsidRPr="00B85D62">
        <w:rPr>
          <w:rFonts w:cs="Arial"/>
        </w:rPr>
        <w:t>Relatives were not contacted for a variety of reasons</w:t>
      </w:r>
      <w:r w:rsidR="00D26805" w:rsidRPr="00B85D62">
        <w:rPr>
          <w:rFonts w:cs="Arial"/>
        </w:rPr>
        <w:t xml:space="preserve">, such as, </w:t>
      </w:r>
      <w:r w:rsidR="009E34A2" w:rsidRPr="00B85D62">
        <w:rPr>
          <w:rFonts w:cs="Arial"/>
        </w:rPr>
        <w:t>index non-participation</w:t>
      </w:r>
      <w:r w:rsidR="00D26805" w:rsidRPr="00B85D62">
        <w:rPr>
          <w:rFonts w:cs="Arial"/>
        </w:rPr>
        <w:t xml:space="preserve"> and</w:t>
      </w:r>
      <w:r w:rsidR="009E34A2" w:rsidRPr="00B85D62">
        <w:rPr>
          <w:rFonts w:cs="Arial"/>
        </w:rPr>
        <w:t xml:space="preserve"> second degree relative where whose first degree relative was not found to have FH. The average number of relatives with evidence of being contacted by the service was 3.97 in the Welsh service and 3.30 in the Wessex service. </w:t>
      </w:r>
      <w:r w:rsidR="00B85D62" w:rsidRPr="00B85D62">
        <w:rPr>
          <w:rFonts w:cs="Arial"/>
          <w:color w:val="00B0F0"/>
        </w:rPr>
        <w:t>Among</w:t>
      </w:r>
      <w:r w:rsidRPr="00B85D62">
        <w:rPr>
          <w:rFonts w:cs="Arial"/>
        </w:rPr>
        <w:t xml:space="preserve"> relatives contacted by the service, 59.7% in Wales and 50.0% in Wessex went on to complete the cascade, corresponding to 2.41 Welsh relatives and 1.66 Wessex cases per FH index case. </w:t>
      </w:r>
      <w:r w:rsidR="00D26805" w:rsidRPr="00B85D62">
        <w:rPr>
          <w:rFonts w:cs="Arial"/>
        </w:rPr>
        <w:t>In Wales th</w:t>
      </w:r>
      <w:r w:rsidRPr="00B85D62">
        <w:rPr>
          <w:rFonts w:cs="Arial"/>
        </w:rPr>
        <w:t xml:space="preserve">e final number of FH relatives identified </w:t>
      </w:r>
      <w:r w:rsidR="00D26805" w:rsidRPr="00B85D62">
        <w:rPr>
          <w:rFonts w:cs="Arial"/>
        </w:rPr>
        <w:t>was</w:t>
      </w:r>
      <w:r w:rsidRPr="00B85D62">
        <w:rPr>
          <w:rFonts w:cs="Arial"/>
        </w:rPr>
        <w:t xml:space="preserve"> 666, representing 1.35 cases detected per </w:t>
      </w:r>
      <w:r w:rsidR="11364873" w:rsidRPr="00B85D62">
        <w:rPr>
          <w:rFonts w:cs="Arial"/>
        </w:rPr>
        <w:t>FH</w:t>
      </w:r>
      <w:r w:rsidRPr="00B85D62">
        <w:rPr>
          <w:rFonts w:cs="Arial"/>
        </w:rPr>
        <w:t xml:space="preserve"> case.</w:t>
      </w:r>
      <w:r w:rsidR="00D26805" w:rsidRPr="00B85D62">
        <w:rPr>
          <w:rFonts w:cs="Arial"/>
        </w:rPr>
        <w:t xml:space="preserve"> The comparable figures for Wessex was 285 relatives identified, representing 0.95 cases per FH case.</w:t>
      </w:r>
    </w:p>
    <w:p w14:paraId="33520511" w14:textId="1BDA7EE8" w:rsidR="00004B9A" w:rsidRPr="00B85D62" w:rsidRDefault="00B85D62" w:rsidP="00004B9A">
      <w:pPr>
        <w:pStyle w:val="Caption"/>
        <w:keepNext/>
        <w:rPr>
          <w:rFonts w:cs="Arial"/>
        </w:rPr>
      </w:pPr>
      <w:bookmarkStart w:id="197" w:name="_Toc79740206"/>
      <w:bookmarkStart w:id="198" w:name="_Toc107157365"/>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11</w:t>
      </w:r>
      <w:r w:rsidR="00004B9A" w:rsidRPr="00B85D62">
        <w:rPr>
          <w:rFonts w:cs="Arial"/>
        </w:rPr>
        <w:t xml:space="preserve"> Mean number of relatives per FH index case</w:t>
      </w:r>
      <w:bookmarkEnd w:id="197"/>
      <w:bookmarkEnd w:id="198"/>
    </w:p>
    <w:tbl>
      <w:tblPr>
        <w:tblW w:w="0" w:type="auto"/>
        <w:tblCellMar>
          <w:top w:w="40" w:type="dxa"/>
          <w:left w:w="60" w:type="dxa"/>
          <w:bottom w:w="40" w:type="dxa"/>
          <w:right w:w="60" w:type="dxa"/>
        </w:tblCellMar>
        <w:tblLook w:val="0420" w:firstRow="1" w:lastRow="0" w:firstColumn="0" w:lastColumn="0" w:noHBand="0" w:noVBand="1"/>
      </w:tblPr>
      <w:tblGrid>
        <w:gridCol w:w="3958"/>
        <w:gridCol w:w="1172"/>
        <w:gridCol w:w="1172"/>
      </w:tblGrid>
      <w:tr w:rsidR="00F67557" w:rsidRPr="00B85D62" w14:paraId="00CC3FAF" w14:textId="77777777" w:rsidTr="00B85D62">
        <w:trPr>
          <w:cantSplit/>
        </w:trPr>
        <w:tc>
          <w:tcPr>
            <w:tcW w:w="0" w:type="auto"/>
            <w:shd w:val="clear" w:color="auto" w:fill="auto"/>
            <w:tcMar>
              <w:top w:w="72" w:type="dxa"/>
              <w:left w:w="144" w:type="dxa"/>
              <w:bottom w:w="72" w:type="dxa"/>
              <w:right w:w="144" w:type="dxa"/>
            </w:tcMar>
            <w:vAlign w:val="center"/>
          </w:tcPr>
          <w:p w14:paraId="0598974E" w14:textId="77777777" w:rsidR="00F67557" w:rsidRPr="00B85D62" w:rsidRDefault="00F67557" w:rsidP="0066232B">
            <w:pPr>
              <w:rPr>
                <w:rFonts w:cs="Arial"/>
                <w:lang w:eastAsia="en-GB"/>
              </w:rPr>
            </w:pPr>
            <w:r w:rsidRPr="00B85D62">
              <w:rPr>
                <w:rFonts w:cs="Arial"/>
                <w:lang w:eastAsia="en-GB"/>
              </w:rPr>
              <w:t>Mean (SD)</w:t>
            </w:r>
          </w:p>
        </w:tc>
        <w:tc>
          <w:tcPr>
            <w:tcW w:w="0" w:type="auto"/>
            <w:shd w:val="clear" w:color="auto" w:fill="auto"/>
            <w:tcMar>
              <w:top w:w="72" w:type="dxa"/>
              <w:left w:w="144" w:type="dxa"/>
              <w:bottom w:w="72" w:type="dxa"/>
              <w:right w:w="144" w:type="dxa"/>
            </w:tcMar>
            <w:vAlign w:val="center"/>
          </w:tcPr>
          <w:p w14:paraId="49F132D3" w14:textId="77777777" w:rsidR="00F67557" w:rsidRPr="00B85D62" w:rsidRDefault="00F67557" w:rsidP="0066232B">
            <w:pPr>
              <w:jc w:val="center"/>
              <w:rPr>
                <w:rFonts w:cs="Arial"/>
                <w:lang w:eastAsia="en-GB"/>
              </w:rPr>
            </w:pPr>
            <w:r w:rsidRPr="00B85D62">
              <w:rPr>
                <w:rFonts w:cs="Arial"/>
                <w:lang w:eastAsia="en-GB"/>
              </w:rPr>
              <w:t>Wales</w:t>
            </w:r>
          </w:p>
        </w:tc>
        <w:tc>
          <w:tcPr>
            <w:tcW w:w="0" w:type="auto"/>
            <w:shd w:val="clear" w:color="auto" w:fill="auto"/>
            <w:vAlign w:val="center"/>
          </w:tcPr>
          <w:p w14:paraId="453797ED" w14:textId="77777777" w:rsidR="00F67557" w:rsidRPr="00B85D62" w:rsidRDefault="00F67557" w:rsidP="0066232B">
            <w:pPr>
              <w:jc w:val="center"/>
              <w:rPr>
                <w:rFonts w:cs="Arial"/>
                <w:lang w:eastAsia="en-GB"/>
              </w:rPr>
            </w:pPr>
            <w:r w:rsidRPr="00B85D62">
              <w:rPr>
                <w:rFonts w:cs="Arial"/>
                <w:lang w:eastAsia="en-GB"/>
              </w:rPr>
              <w:t>Wessex</w:t>
            </w:r>
          </w:p>
        </w:tc>
      </w:tr>
      <w:tr w:rsidR="00F67557" w:rsidRPr="00B85D62" w14:paraId="5E3ADE0E" w14:textId="77777777" w:rsidTr="00B85D62">
        <w:trPr>
          <w:cantSplit/>
        </w:trPr>
        <w:tc>
          <w:tcPr>
            <w:tcW w:w="0" w:type="auto"/>
            <w:shd w:val="clear" w:color="auto" w:fill="auto"/>
            <w:tcMar>
              <w:top w:w="72" w:type="dxa"/>
              <w:left w:w="144" w:type="dxa"/>
              <w:bottom w:w="72" w:type="dxa"/>
              <w:right w:w="144" w:type="dxa"/>
            </w:tcMar>
            <w:vAlign w:val="center"/>
          </w:tcPr>
          <w:p w14:paraId="36B3D539" w14:textId="1D594BD0" w:rsidR="00F67557" w:rsidRPr="00B85D62" w:rsidRDefault="7207A20B" w:rsidP="0066232B">
            <w:pPr>
              <w:rPr>
                <w:rFonts w:cs="Arial"/>
                <w:lang w:eastAsia="en-GB"/>
              </w:rPr>
            </w:pPr>
            <w:r w:rsidRPr="00B85D62">
              <w:rPr>
                <w:rFonts w:cs="Arial"/>
                <w:lang w:eastAsia="en-GB"/>
              </w:rPr>
              <w:t xml:space="preserve">Registered relatives in PASS per </w:t>
            </w:r>
            <w:r w:rsidR="11364873" w:rsidRPr="00B85D62">
              <w:rPr>
                <w:rFonts w:cs="Arial"/>
                <w:lang w:eastAsia="en-GB"/>
              </w:rPr>
              <w:t>FH</w:t>
            </w:r>
            <w:r w:rsidRPr="00B85D62">
              <w:rPr>
                <w:rFonts w:cs="Arial"/>
                <w:lang w:eastAsia="en-GB"/>
              </w:rPr>
              <w:t xml:space="preserve"> index</w:t>
            </w:r>
            <w:r w:rsidRPr="00B85D62">
              <w:rPr>
                <w:rFonts w:cs="Arial"/>
                <w:vertAlign w:val="superscript"/>
                <w:lang w:eastAsia="en-GB"/>
              </w:rPr>
              <w:t>*</w:t>
            </w:r>
          </w:p>
        </w:tc>
        <w:tc>
          <w:tcPr>
            <w:tcW w:w="0" w:type="auto"/>
            <w:shd w:val="clear" w:color="auto" w:fill="auto"/>
            <w:tcMar>
              <w:top w:w="72" w:type="dxa"/>
              <w:left w:w="144" w:type="dxa"/>
              <w:bottom w:w="72" w:type="dxa"/>
              <w:right w:w="144" w:type="dxa"/>
            </w:tcMar>
            <w:vAlign w:val="center"/>
          </w:tcPr>
          <w:p w14:paraId="2C07AB79" w14:textId="77777777" w:rsidR="00F67557" w:rsidRPr="00B85D62" w:rsidRDefault="00F67557" w:rsidP="0066232B">
            <w:pPr>
              <w:jc w:val="center"/>
              <w:rPr>
                <w:rFonts w:cs="Arial"/>
                <w:lang w:eastAsia="en-GB"/>
              </w:rPr>
            </w:pPr>
            <w:r w:rsidRPr="00B85D62">
              <w:rPr>
                <w:rFonts w:cs="Arial"/>
                <w:lang w:eastAsia="en-GB"/>
              </w:rPr>
              <w:t>7.35 (6.60)</w:t>
            </w:r>
          </w:p>
        </w:tc>
        <w:tc>
          <w:tcPr>
            <w:tcW w:w="0" w:type="auto"/>
            <w:shd w:val="clear" w:color="auto" w:fill="auto"/>
            <w:tcMar>
              <w:top w:w="72" w:type="dxa"/>
              <w:left w:w="144" w:type="dxa"/>
              <w:bottom w:w="72" w:type="dxa"/>
              <w:right w:w="144" w:type="dxa"/>
            </w:tcMar>
            <w:vAlign w:val="center"/>
          </w:tcPr>
          <w:p w14:paraId="3D4A1600" w14:textId="77777777" w:rsidR="00F67557" w:rsidRPr="00B85D62" w:rsidRDefault="00F67557" w:rsidP="0066232B">
            <w:pPr>
              <w:jc w:val="center"/>
              <w:rPr>
                <w:rFonts w:cs="Arial"/>
                <w:lang w:eastAsia="en-GB"/>
              </w:rPr>
            </w:pPr>
            <w:r w:rsidRPr="00B85D62">
              <w:rPr>
                <w:rFonts w:cs="Arial"/>
                <w:lang w:eastAsia="en-GB"/>
              </w:rPr>
              <w:t>7.01 (5.64)</w:t>
            </w:r>
          </w:p>
        </w:tc>
      </w:tr>
      <w:tr w:rsidR="00F67557" w:rsidRPr="00B85D62" w14:paraId="6FBBD9D9" w14:textId="77777777" w:rsidTr="00B85D62">
        <w:trPr>
          <w:cantSplit/>
        </w:trPr>
        <w:tc>
          <w:tcPr>
            <w:tcW w:w="0" w:type="auto"/>
            <w:shd w:val="clear" w:color="auto" w:fill="auto"/>
            <w:tcMar>
              <w:top w:w="72" w:type="dxa"/>
              <w:left w:w="144" w:type="dxa"/>
              <w:bottom w:w="72" w:type="dxa"/>
              <w:right w:w="144" w:type="dxa"/>
            </w:tcMar>
            <w:vAlign w:val="center"/>
          </w:tcPr>
          <w:p w14:paraId="1365BA0C" w14:textId="4582B095" w:rsidR="00F67557" w:rsidRPr="00B85D62" w:rsidRDefault="7207A20B" w:rsidP="0066232B">
            <w:pPr>
              <w:rPr>
                <w:rFonts w:cs="Arial"/>
                <w:lang w:eastAsia="en-GB"/>
              </w:rPr>
            </w:pPr>
            <w:r w:rsidRPr="00B85D62">
              <w:rPr>
                <w:rFonts w:cs="Arial"/>
                <w:lang w:eastAsia="en-GB"/>
              </w:rPr>
              <w:t xml:space="preserve">Within-area relatives in PASS per </w:t>
            </w:r>
            <w:r w:rsidR="11364873" w:rsidRPr="00B85D62">
              <w:rPr>
                <w:rFonts w:cs="Arial"/>
                <w:lang w:eastAsia="en-GB"/>
              </w:rPr>
              <w:t>FH</w:t>
            </w:r>
            <w:r w:rsidRPr="00B85D62">
              <w:rPr>
                <w:rFonts w:cs="Arial"/>
                <w:lang w:eastAsia="en-GB"/>
              </w:rPr>
              <w:t xml:space="preserve"> index</w:t>
            </w:r>
            <w:r w:rsidRPr="00B85D62">
              <w:rPr>
                <w:rFonts w:cs="Arial"/>
                <w:vertAlign w:val="superscript"/>
                <w:lang w:eastAsia="en-GB"/>
              </w:rPr>
              <w:t>**</w:t>
            </w:r>
          </w:p>
        </w:tc>
        <w:tc>
          <w:tcPr>
            <w:tcW w:w="0" w:type="auto"/>
            <w:shd w:val="clear" w:color="auto" w:fill="auto"/>
            <w:tcMar>
              <w:top w:w="72" w:type="dxa"/>
              <w:left w:w="144" w:type="dxa"/>
              <w:bottom w:w="72" w:type="dxa"/>
              <w:right w:w="144" w:type="dxa"/>
            </w:tcMar>
            <w:vAlign w:val="center"/>
          </w:tcPr>
          <w:p w14:paraId="409F149C" w14:textId="77777777" w:rsidR="00F67557" w:rsidRPr="00B85D62" w:rsidRDefault="00F67557" w:rsidP="0066232B">
            <w:pPr>
              <w:jc w:val="center"/>
              <w:rPr>
                <w:rFonts w:cs="Arial"/>
                <w:lang w:eastAsia="en-GB"/>
              </w:rPr>
            </w:pPr>
            <w:r w:rsidRPr="00B85D62">
              <w:rPr>
                <w:rFonts w:cs="Arial"/>
                <w:lang w:eastAsia="en-GB"/>
              </w:rPr>
              <w:t>6.17 (6.31)</w:t>
            </w:r>
          </w:p>
        </w:tc>
        <w:tc>
          <w:tcPr>
            <w:tcW w:w="0" w:type="auto"/>
            <w:shd w:val="clear" w:color="auto" w:fill="auto"/>
            <w:tcMar>
              <w:top w:w="72" w:type="dxa"/>
              <w:left w:w="144" w:type="dxa"/>
              <w:bottom w:w="72" w:type="dxa"/>
              <w:right w:w="144" w:type="dxa"/>
            </w:tcMar>
            <w:vAlign w:val="center"/>
          </w:tcPr>
          <w:p w14:paraId="31E66BA1" w14:textId="77777777" w:rsidR="00F67557" w:rsidRPr="00B85D62" w:rsidRDefault="00F67557" w:rsidP="0066232B">
            <w:pPr>
              <w:jc w:val="center"/>
              <w:rPr>
                <w:rFonts w:cs="Arial"/>
                <w:lang w:eastAsia="en-GB"/>
              </w:rPr>
            </w:pPr>
            <w:r w:rsidRPr="00B85D62">
              <w:rPr>
                <w:rFonts w:cs="Arial"/>
                <w:lang w:eastAsia="en-GB"/>
              </w:rPr>
              <w:t>5.69 (5.78)</w:t>
            </w:r>
          </w:p>
        </w:tc>
      </w:tr>
      <w:tr w:rsidR="00F67557" w:rsidRPr="00B85D62" w14:paraId="3E4DD5C0" w14:textId="77777777" w:rsidTr="00B85D62">
        <w:trPr>
          <w:cantSplit/>
        </w:trPr>
        <w:tc>
          <w:tcPr>
            <w:tcW w:w="0" w:type="auto"/>
            <w:shd w:val="clear" w:color="auto" w:fill="auto"/>
            <w:tcMar>
              <w:top w:w="72" w:type="dxa"/>
              <w:left w:w="144" w:type="dxa"/>
              <w:bottom w:w="72" w:type="dxa"/>
              <w:right w:w="144" w:type="dxa"/>
            </w:tcMar>
            <w:vAlign w:val="center"/>
          </w:tcPr>
          <w:p w14:paraId="14A15C49" w14:textId="56992B5C" w:rsidR="00F67557" w:rsidRPr="00B85D62" w:rsidRDefault="7207A20B" w:rsidP="0066232B">
            <w:pPr>
              <w:rPr>
                <w:rFonts w:cs="Arial"/>
                <w:lang w:eastAsia="en-GB"/>
              </w:rPr>
            </w:pPr>
            <w:r w:rsidRPr="00B85D62">
              <w:rPr>
                <w:rFonts w:cs="Arial"/>
                <w:lang w:eastAsia="en-GB"/>
              </w:rPr>
              <w:t xml:space="preserve">Contacted within-area relatives per </w:t>
            </w:r>
            <w:r w:rsidR="11364873" w:rsidRPr="00B85D62">
              <w:rPr>
                <w:rFonts w:cs="Arial"/>
                <w:lang w:eastAsia="en-GB"/>
              </w:rPr>
              <w:t>FH</w:t>
            </w:r>
            <w:r w:rsidRPr="00B85D62">
              <w:rPr>
                <w:rFonts w:cs="Arial"/>
                <w:lang w:eastAsia="en-GB"/>
              </w:rPr>
              <w:t xml:space="preserve"> index</w:t>
            </w:r>
            <w:r w:rsidRPr="00B85D62">
              <w:rPr>
                <w:rFonts w:cs="Arial"/>
                <w:vertAlign w:val="superscript"/>
                <w:lang w:eastAsia="en-GB"/>
              </w:rPr>
              <w:t>†</w:t>
            </w:r>
          </w:p>
        </w:tc>
        <w:tc>
          <w:tcPr>
            <w:tcW w:w="0" w:type="auto"/>
            <w:shd w:val="clear" w:color="auto" w:fill="auto"/>
            <w:tcMar>
              <w:top w:w="72" w:type="dxa"/>
              <w:left w:w="144" w:type="dxa"/>
              <w:bottom w:w="72" w:type="dxa"/>
              <w:right w:w="144" w:type="dxa"/>
            </w:tcMar>
            <w:vAlign w:val="center"/>
          </w:tcPr>
          <w:p w14:paraId="0D5E1924" w14:textId="77777777" w:rsidR="00F67557" w:rsidRPr="00B85D62" w:rsidRDefault="00F67557" w:rsidP="0066232B">
            <w:pPr>
              <w:jc w:val="center"/>
              <w:rPr>
                <w:rFonts w:cs="Arial"/>
                <w:lang w:eastAsia="en-GB"/>
              </w:rPr>
            </w:pPr>
            <w:r w:rsidRPr="00B85D62">
              <w:rPr>
                <w:rFonts w:cs="Arial"/>
                <w:lang w:eastAsia="en-GB"/>
              </w:rPr>
              <w:t>3.97 (4.95)</w:t>
            </w:r>
          </w:p>
        </w:tc>
        <w:tc>
          <w:tcPr>
            <w:tcW w:w="0" w:type="auto"/>
            <w:shd w:val="clear" w:color="auto" w:fill="auto"/>
            <w:tcMar>
              <w:top w:w="72" w:type="dxa"/>
              <w:left w:w="144" w:type="dxa"/>
              <w:bottom w:w="72" w:type="dxa"/>
              <w:right w:w="144" w:type="dxa"/>
            </w:tcMar>
            <w:vAlign w:val="center"/>
          </w:tcPr>
          <w:p w14:paraId="6DF72B87" w14:textId="77777777" w:rsidR="00F67557" w:rsidRPr="00B85D62" w:rsidRDefault="00F67557" w:rsidP="0066232B">
            <w:pPr>
              <w:jc w:val="center"/>
              <w:rPr>
                <w:rFonts w:cs="Arial"/>
                <w:lang w:eastAsia="en-GB"/>
              </w:rPr>
            </w:pPr>
            <w:r w:rsidRPr="00B85D62">
              <w:rPr>
                <w:rFonts w:cs="Arial"/>
                <w:lang w:eastAsia="en-GB"/>
              </w:rPr>
              <w:t>3.30 (2.43)</w:t>
            </w:r>
          </w:p>
        </w:tc>
      </w:tr>
      <w:tr w:rsidR="00F67557" w:rsidRPr="00B85D62" w14:paraId="15ACAB46" w14:textId="77777777" w:rsidTr="00B85D62">
        <w:trPr>
          <w:cantSplit/>
        </w:trPr>
        <w:tc>
          <w:tcPr>
            <w:tcW w:w="0" w:type="auto"/>
            <w:shd w:val="clear" w:color="auto" w:fill="auto"/>
            <w:tcMar>
              <w:top w:w="72" w:type="dxa"/>
              <w:left w:w="144" w:type="dxa"/>
              <w:bottom w:w="72" w:type="dxa"/>
              <w:right w:w="144" w:type="dxa"/>
            </w:tcMar>
            <w:vAlign w:val="center"/>
          </w:tcPr>
          <w:p w14:paraId="4B0DFC65" w14:textId="5E22940B" w:rsidR="00F67557" w:rsidRPr="00B85D62" w:rsidRDefault="7207A20B" w:rsidP="0066232B">
            <w:pPr>
              <w:rPr>
                <w:rFonts w:cs="Arial"/>
                <w:lang w:eastAsia="en-GB"/>
              </w:rPr>
            </w:pPr>
            <w:r w:rsidRPr="00B85D62">
              <w:rPr>
                <w:rFonts w:cs="Arial"/>
                <w:lang w:eastAsia="en-GB"/>
              </w:rPr>
              <w:t xml:space="preserve">Relatives completing cascade per </w:t>
            </w:r>
            <w:r w:rsidR="11364873" w:rsidRPr="00B85D62">
              <w:rPr>
                <w:rFonts w:cs="Arial"/>
                <w:lang w:eastAsia="en-GB"/>
              </w:rPr>
              <w:t>FH</w:t>
            </w:r>
            <w:r w:rsidRPr="00B85D62">
              <w:rPr>
                <w:rFonts w:cs="Arial"/>
                <w:lang w:eastAsia="en-GB"/>
              </w:rPr>
              <w:t xml:space="preserve"> index</w:t>
            </w:r>
            <w:r w:rsidRPr="00B85D62">
              <w:rPr>
                <w:rFonts w:cs="Arial"/>
                <w:vertAlign w:val="superscript"/>
              </w:rPr>
              <w:t>‡</w:t>
            </w:r>
          </w:p>
        </w:tc>
        <w:tc>
          <w:tcPr>
            <w:tcW w:w="0" w:type="auto"/>
            <w:shd w:val="clear" w:color="auto" w:fill="auto"/>
            <w:tcMar>
              <w:top w:w="72" w:type="dxa"/>
              <w:left w:w="144" w:type="dxa"/>
              <w:bottom w:w="72" w:type="dxa"/>
              <w:right w:w="144" w:type="dxa"/>
            </w:tcMar>
            <w:vAlign w:val="center"/>
          </w:tcPr>
          <w:p w14:paraId="729879C4" w14:textId="77777777" w:rsidR="00F67557" w:rsidRPr="00B85D62" w:rsidRDefault="00F67557" w:rsidP="0066232B">
            <w:pPr>
              <w:jc w:val="center"/>
              <w:rPr>
                <w:rFonts w:cs="Arial"/>
                <w:lang w:eastAsia="en-GB"/>
              </w:rPr>
            </w:pPr>
            <w:r w:rsidRPr="00B85D62">
              <w:rPr>
                <w:rFonts w:cs="Arial"/>
                <w:lang w:eastAsia="en-GB"/>
              </w:rPr>
              <w:t>2.41 (3.60)</w:t>
            </w:r>
          </w:p>
        </w:tc>
        <w:tc>
          <w:tcPr>
            <w:tcW w:w="0" w:type="auto"/>
            <w:shd w:val="clear" w:color="auto" w:fill="auto"/>
            <w:tcMar>
              <w:top w:w="72" w:type="dxa"/>
              <w:left w:w="144" w:type="dxa"/>
              <w:bottom w:w="72" w:type="dxa"/>
              <w:right w:w="144" w:type="dxa"/>
            </w:tcMar>
            <w:vAlign w:val="center"/>
          </w:tcPr>
          <w:p w14:paraId="5E84548E" w14:textId="77777777" w:rsidR="00F67557" w:rsidRPr="00B85D62" w:rsidRDefault="00F67557" w:rsidP="0066232B">
            <w:pPr>
              <w:jc w:val="center"/>
              <w:rPr>
                <w:rFonts w:cs="Arial"/>
                <w:lang w:eastAsia="en-GB"/>
              </w:rPr>
            </w:pPr>
            <w:r w:rsidRPr="00B85D62">
              <w:rPr>
                <w:rFonts w:cs="Arial"/>
                <w:lang w:eastAsia="en-GB"/>
              </w:rPr>
              <w:t>1.66 (2.41)</w:t>
            </w:r>
          </w:p>
        </w:tc>
      </w:tr>
      <w:tr w:rsidR="00F67557" w:rsidRPr="00B85D62" w14:paraId="69F7D69E" w14:textId="77777777" w:rsidTr="00B85D62">
        <w:trPr>
          <w:cantSplit/>
        </w:trPr>
        <w:tc>
          <w:tcPr>
            <w:tcW w:w="0" w:type="auto"/>
            <w:shd w:val="clear" w:color="auto" w:fill="auto"/>
            <w:tcMar>
              <w:top w:w="72" w:type="dxa"/>
              <w:left w:w="144" w:type="dxa"/>
              <w:bottom w:w="72" w:type="dxa"/>
              <w:right w:w="144" w:type="dxa"/>
            </w:tcMar>
            <w:vAlign w:val="center"/>
          </w:tcPr>
          <w:p w14:paraId="1C334E2F" w14:textId="4E198389" w:rsidR="00F67557" w:rsidRPr="00B85D62" w:rsidRDefault="11364873" w:rsidP="0066232B">
            <w:pPr>
              <w:rPr>
                <w:rFonts w:cs="Arial"/>
                <w:lang w:eastAsia="en-GB"/>
              </w:rPr>
            </w:pPr>
            <w:r w:rsidRPr="00B85D62">
              <w:rPr>
                <w:rFonts w:cs="Arial"/>
                <w:lang w:eastAsia="en-GB"/>
              </w:rPr>
              <w:t>FH</w:t>
            </w:r>
            <w:r w:rsidR="7207A20B" w:rsidRPr="00B85D62">
              <w:rPr>
                <w:rFonts w:cs="Arial"/>
                <w:lang w:eastAsia="en-GB"/>
              </w:rPr>
              <w:t xml:space="preserve"> relatives identified per </w:t>
            </w:r>
            <w:r w:rsidRPr="00B85D62">
              <w:rPr>
                <w:rFonts w:cs="Arial"/>
                <w:lang w:eastAsia="en-GB"/>
              </w:rPr>
              <w:t>FH</w:t>
            </w:r>
            <w:r w:rsidR="7207A20B" w:rsidRPr="00B85D62">
              <w:rPr>
                <w:rFonts w:cs="Arial"/>
                <w:lang w:eastAsia="en-GB"/>
              </w:rPr>
              <w:t xml:space="preserve"> index</w:t>
            </w:r>
          </w:p>
        </w:tc>
        <w:tc>
          <w:tcPr>
            <w:tcW w:w="0" w:type="auto"/>
            <w:shd w:val="clear" w:color="auto" w:fill="auto"/>
            <w:tcMar>
              <w:top w:w="72" w:type="dxa"/>
              <w:left w:w="144" w:type="dxa"/>
              <w:bottom w:w="72" w:type="dxa"/>
              <w:right w:w="144" w:type="dxa"/>
            </w:tcMar>
            <w:vAlign w:val="center"/>
          </w:tcPr>
          <w:p w14:paraId="774B2BED" w14:textId="77777777" w:rsidR="00F67557" w:rsidRPr="00B85D62" w:rsidRDefault="00F67557" w:rsidP="0066232B">
            <w:pPr>
              <w:jc w:val="center"/>
              <w:rPr>
                <w:rFonts w:cs="Arial"/>
                <w:lang w:eastAsia="en-GB"/>
              </w:rPr>
            </w:pPr>
            <w:r w:rsidRPr="00B85D62">
              <w:rPr>
                <w:rFonts w:cs="Arial"/>
                <w:lang w:eastAsia="en-GB"/>
              </w:rPr>
              <w:t>1.35 (2.13)</w:t>
            </w:r>
          </w:p>
        </w:tc>
        <w:tc>
          <w:tcPr>
            <w:tcW w:w="0" w:type="auto"/>
            <w:shd w:val="clear" w:color="auto" w:fill="auto"/>
            <w:tcMar>
              <w:top w:w="72" w:type="dxa"/>
              <w:left w:w="144" w:type="dxa"/>
              <w:bottom w:w="72" w:type="dxa"/>
              <w:right w:w="144" w:type="dxa"/>
            </w:tcMar>
            <w:vAlign w:val="center"/>
          </w:tcPr>
          <w:p w14:paraId="19E10E8C" w14:textId="77777777" w:rsidR="00F67557" w:rsidRPr="00B85D62" w:rsidRDefault="00F67557" w:rsidP="0066232B">
            <w:pPr>
              <w:jc w:val="center"/>
              <w:rPr>
                <w:rFonts w:cs="Arial"/>
                <w:lang w:eastAsia="en-GB"/>
              </w:rPr>
            </w:pPr>
            <w:r w:rsidRPr="00B85D62">
              <w:rPr>
                <w:rFonts w:cs="Arial"/>
                <w:lang w:eastAsia="en-GB"/>
              </w:rPr>
              <w:t>0.95 (1.46)</w:t>
            </w:r>
          </w:p>
        </w:tc>
      </w:tr>
    </w:tbl>
    <w:p w14:paraId="63F1495B" w14:textId="6C05CC1B" w:rsidR="00F67557" w:rsidRPr="00B85D62" w:rsidRDefault="7207A20B" w:rsidP="0066232B">
      <w:pPr>
        <w:spacing w:before="120" w:after="60"/>
        <w:rPr>
          <w:rFonts w:cs="Arial"/>
          <w:sz w:val="18"/>
          <w:szCs w:val="18"/>
        </w:rPr>
      </w:pPr>
      <w:r w:rsidRPr="00B85D62">
        <w:rPr>
          <w:rFonts w:cs="Arial"/>
          <w:sz w:val="18"/>
          <w:szCs w:val="18"/>
        </w:rPr>
        <w:t xml:space="preserve">*The number of linkable relatives per </w:t>
      </w:r>
      <w:r w:rsidR="11364873" w:rsidRPr="00B85D62">
        <w:rPr>
          <w:rFonts w:cs="Arial"/>
          <w:sz w:val="18"/>
          <w:szCs w:val="18"/>
        </w:rPr>
        <w:t>FH</w:t>
      </w:r>
      <w:r w:rsidRPr="00B85D62">
        <w:rPr>
          <w:rFonts w:cs="Arial"/>
          <w:sz w:val="18"/>
          <w:szCs w:val="18"/>
        </w:rPr>
        <w:t xml:space="preserve"> index with a family number in the PASS extractions</w:t>
      </w:r>
    </w:p>
    <w:p w14:paraId="3A981FB8" w14:textId="77777777" w:rsidR="00F67557" w:rsidRPr="00B85D62" w:rsidRDefault="00F67557" w:rsidP="0066232B">
      <w:pPr>
        <w:spacing w:before="120" w:after="60"/>
        <w:rPr>
          <w:rFonts w:cs="Arial"/>
          <w:sz w:val="18"/>
          <w:szCs w:val="18"/>
        </w:rPr>
      </w:pPr>
      <w:r w:rsidRPr="00B85D62">
        <w:rPr>
          <w:rFonts w:cs="Arial"/>
          <w:sz w:val="18"/>
          <w:szCs w:val="18"/>
        </w:rPr>
        <w:t xml:space="preserve">** Those with missing </w:t>
      </w:r>
      <w:r w:rsidRPr="00B85D62">
        <w:rPr>
          <w:rFonts w:cs="Arial"/>
          <w:sz w:val="18"/>
          <w:szCs w:val="18"/>
          <w:highlight w:val="magenta"/>
        </w:rPr>
        <w:t>data</w:t>
      </w:r>
      <w:r w:rsidRPr="00B85D62">
        <w:rPr>
          <w:rFonts w:cs="Arial"/>
          <w:sz w:val="18"/>
          <w:szCs w:val="18"/>
        </w:rPr>
        <w:t xml:space="preserve"> about whether they were in or out-of-area </w:t>
      </w:r>
      <w:r w:rsidRPr="00B85D62">
        <w:rPr>
          <w:rFonts w:cs="Arial"/>
          <w:sz w:val="18"/>
          <w:szCs w:val="18"/>
          <w:highlight w:val="magenta"/>
        </w:rPr>
        <w:t>data</w:t>
      </w:r>
      <w:r w:rsidRPr="00B85D62">
        <w:rPr>
          <w:rFonts w:cs="Arial"/>
          <w:sz w:val="18"/>
          <w:szCs w:val="18"/>
        </w:rPr>
        <w:t xml:space="preserve"> were assumed to be within-area</w:t>
      </w:r>
    </w:p>
    <w:p w14:paraId="639BD3EA" w14:textId="77777777" w:rsidR="00B85D62" w:rsidRPr="00B85D62" w:rsidRDefault="00F67557" w:rsidP="0066232B">
      <w:pPr>
        <w:spacing w:before="120" w:after="60"/>
        <w:rPr>
          <w:rFonts w:cs="Arial"/>
          <w:sz w:val="18"/>
          <w:szCs w:val="18"/>
        </w:rPr>
      </w:pPr>
      <w:r w:rsidRPr="00B85D62">
        <w:rPr>
          <w:rFonts w:cs="Arial"/>
          <w:sz w:val="18"/>
          <w:szCs w:val="18"/>
        </w:rPr>
        <w:t>† Relatives may not have been contacted for a variety of reasons (e.g. index not returning necessary forms, index having no interest in testing within family or is unreachable, relative unreachable)</w:t>
      </w:r>
    </w:p>
    <w:p w14:paraId="27F376CE" w14:textId="77777777" w:rsidR="00B85D62" w:rsidRPr="00B85D62" w:rsidRDefault="00F67557" w:rsidP="0066232B">
      <w:pPr>
        <w:spacing w:before="120"/>
        <w:rPr>
          <w:rFonts w:cs="Arial"/>
          <w:sz w:val="18"/>
          <w:szCs w:val="18"/>
        </w:rPr>
      </w:pPr>
      <w:r w:rsidRPr="00B85D62">
        <w:rPr>
          <w:rFonts w:cs="Arial"/>
          <w:sz w:val="18"/>
          <w:szCs w:val="18"/>
        </w:rPr>
        <w:t xml:space="preserve">‡ Relatives may not have been cascaded </w:t>
      </w:r>
      <w:r w:rsidRPr="00B85D62">
        <w:rPr>
          <w:rFonts w:cs="Arial"/>
          <w:sz w:val="18"/>
          <w:szCs w:val="18"/>
          <w:highlight w:val="magenta"/>
        </w:rPr>
        <w:t>due to</w:t>
      </w:r>
      <w:r w:rsidRPr="00B85D62">
        <w:rPr>
          <w:rFonts w:cs="Arial"/>
          <w:sz w:val="18"/>
          <w:szCs w:val="18"/>
        </w:rPr>
        <w:t xml:space="preserve"> incompletion on their part, or that they did not require testing in the first place (e.g. determined not to be at risk, already tested by other services)</w:t>
      </w:r>
    </w:p>
    <w:p w14:paraId="577A4B4A" w14:textId="25AEDB36" w:rsidR="00B85D62" w:rsidRPr="00B85D62" w:rsidRDefault="00B85D62" w:rsidP="0066232B">
      <w:pPr>
        <w:rPr>
          <w:rFonts w:cs="Arial"/>
        </w:rPr>
      </w:pPr>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color w:val="FF0000"/>
        </w:rPr>
        <w:t>12</w:t>
      </w:r>
      <w:r w:rsidR="75DE676D" w:rsidRPr="00B85D62">
        <w:rPr>
          <w:rFonts w:cs="Arial"/>
        </w:rPr>
        <w:t xml:space="preserve"> displays the estimated probabilities for completing the cascade in each cascade service by relative gender, degree and contact profiles; the results of the logistic models are presented in </w:t>
      </w:r>
      <w:r w:rsidR="00114274" w:rsidRPr="00B85D62">
        <w:rPr>
          <w:rFonts w:eastAsia="Arial" w:cs="Arial"/>
          <w:i/>
          <w:color w:val="000000" w:themeColor="text1"/>
        </w:rPr>
        <w:t>Online Supplementary file 3</w:t>
      </w:r>
      <w:r w:rsidR="00114274" w:rsidRPr="00B85D62">
        <w:rPr>
          <w:rFonts w:eastAsia="Arial" w:cs="Arial"/>
          <w:color w:val="000000" w:themeColor="text1"/>
        </w:rPr>
        <w:t xml:space="preserve"> </w:t>
      </w:r>
      <w:r w:rsidR="00114274" w:rsidRPr="00B85D62">
        <w:rPr>
          <w:rFonts w:cs="Arial"/>
          <w:i/>
        </w:rPr>
        <w:t>(Additional information).</w:t>
      </w:r>
    </w:p>
    <w:p w14:paraId="6ED5D2C1" w14:textId="5ECA840E" w:rsidR="00B85D62" w:rsidRPr="00B85D62" w:rsidRDefault="004945A6" w:rsidP="0066232B">
      <w:pPr>
        <w:rPr>
          <w:rFonts w:cs="Arial"/>
        </w:rPr>
      </w:pPr>
      <w:r w:rsidRPr="00B85D62">
        <w:rPr>
          <w:rFonts w:cs="Arial"/>
        </w:rPr>
        <w:t>In Wales, gender, degree and the direct method of contact (relative to indirect) were all statistically significant predictors of cascade completion (</w:t>
      </w:r>
      <w:r w:rsidRPr="00B85D62">
        <w:rPr>
          <w:rFonts w:cs="Arial"/>
          <w:i/>
          <w:color w:val="00B0F0"/>
        </w:rPr>
        <w:t>p</w:t>
      </w:r>
      <w:r w:rsidR="00B85D62" w:rsidRPr="00B85D62">
        <w:rPr>
          <w:rFonts w:cs="Arial"/>
          <w:color w:val="00B0F0"/>
        </w:rPr>
        <w:t>&lt;</w:t>
      </w:r>
      <w:r w:rsidR="00B85D62" w:rsidRPr="00B85D62">
        <w:rPr>
          <w:rFonts w:cs="Arial"/>
          <w:color w:val="00B0F0"/>
        </w:rPr>
        <w:t> </w:t>
      </w:r>
      <w:r w:rsidR="00B85D62" w:rsidRPr="00B85D62">
        <w:rPr>
          <w:rFonts w:cs="Arial"/>
          <w:color w:val="00B0F0"/>
        </w:rPr>
        <w:t>0</w:t>
      </w:r>
      <w:r w:rsidRPr="00B85D62">
        <w:rPr>
          <w:rFonts w:cs="Arial"/>
        </w:rPr>
        <w:t xml:space="preserve">.01). Females were 53% more likely to complete the cascade than males; </w:t>
      </w:r>
      <w:r w:rsidR="00B85D62" w:rsidRPr="00B85D62">
        <w:rPr>
          <w:rFonts w:cs="Arial"/>
          <w:color w:val="00B0F0"/>
        </w:rPr>
        <w:t>1st</w:t>
      </w:r>
      <w:r w:rsidRPr="00B85D62">
        <w:rPr>
          <w:rFonts w:cs="Arial"/>
        </w:rPr>
        <w:t xml:space="preserve"> degree relatives were 55% more likely than </w:t>
      </w:r>
      <w:r w:rsidR="00B85D62" w:rsidRPr="00B85D62">
        <w:rPr>
          <w:rFonts w:eastAsia="MS UI Gothic" w:cs="Arial"/>
          <w:color w:val="00B0F0"/>
        </w:rPr>
        <w:t>≥</w:t>
      </w:r>
      <w:r w:rsidR="00B85D62" w:rsidRPr="00B85D62">
        <w:rPr>
          <w:rFonts w:eastAsia="MS UI Gothic" w:cs="Arial"/>
          <w:color w:val="00B0F0"/>
        </w:rPr>
        <w:t> </w:t>
      </w:r>
      <w:r w:rsidR="00B85D62" w:rsidRPr="00B85D62">
        <w:rPr>
          <w:rFonts w:cs="Arial"/>
          <w:color w:val="00B0F0"/>
        </w:rPr>
        <w:t>2nd</w:t>
      </w:r>
      <w:r w:rsidRPr="00B85D62">
        <w:rPr>
          <w:rFonts w:cs="Arial"/>
        </w:rPr>
        <w:t xml:space="preserve"> relatives to complete the cascade and relatives directly contacted were 111% more likely to complete the cascade than those contacted indirectly (odds ratio comparing direct to indirect testing 2.11 (95% CI 1.66, 2.69)). Paediatric cases were 165% more likely to complete the cascade than adults cascaded indirectly.</w:t>
      </w:r>
    </w:p>
    <w:p w14:paraId="40D7A3BA" w14:textId="39A1C9D9" w:rsidR="00B85D62" w:rsidRPr="00B85D62" w:rsidRDefault="004945A6" w:rsidP="0066232B">
      <w:pPr>
        <w:rPr>
          <w:rFonts w:cs="Arial"/>
        </w:rPr>
      </w:pPr>
      <w:r w:rsidRPr="00B85D62">
        <w:rPr>
          <w:rFonts w:cs="Arial"/>
        </w:rPr>
        <w:t xml:space="preserve">Female </w:t>
      </w:r>
      <w:r w:rsidR="00B85D62" w:rsidRPr="00B85D62">
        <w:rPr>
          <w:rFonts w:cs="Arial"/>
          <w:color w:val="00B0F0"/>
        </w:rPr>
        <w:t>1st</w:t>
      </w:r>
      <w:r w:rsidRPr="00B85D62">
        <w:rPr>
          <w:rFonts w:cs="Arial"/>
        </w:rPr>
        <w:t xml:space="preserve"> degree relatives were estimated to have a 71% probability of completing the cascade when directly contacted and 57% when indirectly contacted. In comparison, male </w:t>
      </w:r>
      <w:r w:rsidR="00B85D62" w:rsidRPr="00B85D62">
        <w:rPr>
          <w:rFonts w:cs="Arial"/>
          <w:color w:val="00B0F0"/>
        </w:rPr>
        <w:t>1st</w:t>
      </w:r>
      <w:r w:rsidRPr="00B85D62">
        <w:rPr>
          <w:rFonts w:cs="Arial"/>
        </w:rPr>
        <w:t xml:space="preserve"> degree relatives had 62% and 43% probabilities of completion when directly and indirectly contacted, respectively. Female </w:t>
      </w:r>
      <w:r w:rsidR="00B85D62" w:rsidRPr="00B85D62">
        <w:rPr>
          <w:rFonts w:eastAsia="MS UI Gothic" w:cs="Arial"/>
          <w:color w:val="00B0F0"/>
        </w:rPr>
        <w:t>≥</w:t>
      </w:r>
      <w:r w:rsidR="00B85D62" w:rsidRPr="00B85D62">
        <w:rPr>
          <w:rFonts w:eastAsia="MS UI Gothic" w:cs="Arial"/>
          <w:color w:val="00B0F0"/>
        </w:rPr>
        <w:t> </w:t>
      </w:r>
      <w:r w:rsidR="00B85D62" w:rsidRPr="00B85D62">
        <w:rPr>
          <w:rFonts w:cs="Arial"/>
          <w:color w:val="00B0F0"/>
        </w:rPr>
        <w:t>2nd</w:t>
      </w:r>
      <w:r w:rsidRPr="00B85D62">
        <w:rPr>
          <w:rFonts w:cs="Arial"/>
        </w:rPr>
        <w:t xml:space="preserve"> relatives were estimated to have a 61% probability of completing the cascade when directly contacted and 43% when indirectly contacted, each 10% above those probabilities for males. No evidence was found to suggest direct contact was more effective by gender or degree (interaction terms between direct contact and gender, and direct contact and degree, were not statistically significant predictors of cascade completion (</w:t>
      </w:r>
      <w:r w:rsidRPr="00B85D62">
        <w:rPr>
          <w:rFonts w:cs="Arial"/>
          <w:i/>
          <w:color w:val="00B0F0"/>
        </w:rPr>
        <w:t>p</w:t>
      </w:r>
      <w:r w:rsidR="00B85D62" w:rsidRPr="00B85D62">
        <w:rPr>
          <w:rFonts w:cs="Arial"/>
          <w:color w:val="00B0F0"/>
        </w:rPr>
        <w:t>&gt;</w:t>
      </w:r>
      <w:r w:rsidR="00B85D62" w:rsidRPr="00B85D62">
        <w:rPr>
          <w:rFonts w:cs="Arial"/>
          <w:color w:val="00B0F0"/>
        </w:rPr>
        <w:t> </w:t>
      </w:r>
      <w:r w:rsidR="00B85D62" w:rsidRPr="00B85D62">
        <w:rPr>
          <w:rFonts w:cs="Arial"/>
          <w:color w:val="00B0F0"/>
        </w:rPr>
        <w:t>0</w:t>
      </w:r>
      <w:r w:rsidRPr="00B85D62">
        <w:rPr>
          <w:rFonts w:cs="Arial"/>
        </w:rPr>
        <w:t>.24)).</w:t>
      </w:r>
    </w:p>
    <w:p w14:paraId="3D8DE31F" w14:textId="3B4EA3CF" w:rsidR="00B85D62" w:rsidRPr="00B85D62" w:rsidRDefault="004945A6" w:rsidP="0066232B">
      <w:pPr>
        <w:rPr>
          <w:rFonts w:cs="Arial"/>
        </w:rPr>
      </w:pPr>
      <w:r w:rsidRPr="00B85D62">
        <w:rPr>
          <w:rFonts w:cs="Arial"/>
        </w:rPr>
        <w:t>In Wessex, gender was a statistically significant predictor of cascade completion (</w:t>
      </w:r>
      <w:r w:rsidRPr="00B85D62">
        <w:rPr>
          <w:rFonts w:cs="Arial"/>
          <w:i/>
          <w:color w:val="00B0F0"/>
        </w:rPr>
        <w:t>p</w:t>
      </w:r>
      <w:r w:rsidR="00B85D62" w:rsidRPr="00B85D62">
        <w:rPr>
          <w:rFonts w:cs="Arial"/>
          <w:color w:val="00B0F0"/>
        </w:rPr>
        <w:t>&lt;</w:t>
      </w:r>
      <w:r w:rsidR="00B85D62" w:rsidRPr="00B85D62">
        <w:rPr>
          <w:rFonts w:cs="Arial"/>
          <w:color w:val="00B0F0"/>
        </w:rPr>
        <w:t> </w:t>
      </w:r>
      <w:r w:rsidR="00B85D62" w:rsidRPr="00B85D62">
        <w:rPr>
          <w:rFonts w:cs="Arial"/>
          <w:color w:val="00B0F0"/>
        </w:rPr>
        <w:t>0</w:t>
      </w:r>
      <w:r w:rsidRPr="00B85D62">
        <w:rPr>
          <w:rFonts w:cs="Arial"/>
        </w:rPr>
        <w:t xml:space="preserve">.01) with contacted females 74% more likely to complete genetic testing </w:t>
      </w:r>
      <w:r w:rsidRPr="00B85D62">
        <w:rPr>
          <w:rFonts w:cs="Arial"/>
          <w:highlight w:val="magenta"/>
        </w:rPr>
        <w:t>compared to</w:t>
      </w:r>
      <w:r w:rsidRPr="00B85D62">
        <w:rPr>
          <w:rFonts w:cs="Arial"/>
        </w:rPr>
        <w:t xml:space="preserve"> males. </w:t>
      </w:r>
      <w:r w:rsidR="00B85D62" w:rsidRPr="00B85D62">
        <w:rPr>
          <w:rFonts w:cs="Arial"/>
          <w:color w:val="00B0F0"/>
        </w:rPr>
        <w:t>1st</w:t>
      </w:r>
      <w:r w:rsidRPr="00B85D62">
        <w:rPr>
          <w:rFonts w:cs="Arial"/>
        </w:rPr>
        <w:t xml:space="preserve"> degree relatives were 15% less likely to complete the cascade </w:t>
      </w:r>
      <w:r w:rsidRPr="00B85D62">
        <w:rPr>
          <w:rFonts w:cs="Arial"/>
          <w:highlight w:val="magenta"/>
        </w:rPr>
        <w:t>compared to</w:t>
      </w:r>
      <w:r w:rsidRPr="00B85D62">
        <w:rPr>
          <w:rFonts w:cs="Arial"/>
        </w:rPr>
        <w:t xml:space="preserve"> </w:t>
      </w:r>
      <w:r w:rsidR="00B85D62" w:rsidRPr="00B85D62">
        <w:rPr>
          <w:rFonts w:cs="Arial"/>
          <w:color w:val="00B0F0"/>
        </w:rPr>
        <w:t>2nd</w:t>
      </w:r>
      <w:r w:rsidRPr="00B85D62">
        <w:rPr>
          <w:rFonts w:cs="Arial"/>
        </w:rPr>
        <w:t xml:space="preserve"> degree relatives, though this result was not statistically significant (</w:t>
      </w:r>
      <w:r w:rsidRPr="00B85D62">
        <w:rPr>
          <w:rFonts w:cs="Arial"/>
          <w:i/>
          <w:color w:val="00B0F0"/>
        </w:rPr>
        <w:t>p</w:t>
      </w:r>
      <w:r w:rsidRPr="00B85D62">
        <w:rPr>
          <w:rFonts w:cs="Arial"/>
        </w:rPr>
        <w:t xml:space="preserve">=0.275). Female (male) </w:t>
      </w:r>
      <w:r w:rsidR="00B85D62" w:rsidRPr="00B85D62">
        <w:rPr>
          <w:rFonts w:cs="Arial"/>
          <w:color w:val="00B0F0"/>
        </w:rPr>
        <w:t>1st</w:t>
      </w:r>
      <w:r w:rsidRPr="00B85D62">
        <w:rPr>
          <w:rFonts w:cs="Arial"/>
        </w:rPr>
        <w:t xml:space="preserve"> degree relatives were estimated to have a 43% (31%) probability of </w:t>
      </w:r>
      <w:r w:rsidRPr="00B85D62">
        <w:rPr>
          <w:rFonts w:cs="Arial"/>
        </w:rPr>
        <w:lastRenderedPageBreak/>
        <w:t xml:space="preserve">completing the cascade when indirectly contacted; </w:t>
      </w:r>
      <w:r w:rsidR="00B85D62" w:rsidRPr="00B85D62">
        <w:rPr>
          <w:rFonts w:cs="Arial"/>
          <w:color w:val="00B0F0"/>
        </w:rPr>
        <w:t>2nd</w:t>
      </w:r>
      <w:r w:rsidRPr="00B85D62">
        <w:rPr>
          <w:rFonts w:cs="Arial"/>
        </w:rPr>
        <w:t xml:space="preserve"> degree relatives were estimated to have a 47% (34%) probability of completing the cascade when indirectly contacted.</w:t>
      </w:r>
    </w:p>
    <w:p w14:paraId="76D021D2" w14:textId="591689D7" w:rsidR="00004B9A" w:rsidRPr="00B85D62" w:rsidRDefault="00B85D62" w:rsidP="00004B9A">
      <w:pPr>
        <w:pStyle w:val="Caption"/>
        <w:keepNext/>
        <w:rPr>
          <w:rFonts w:cs="Arial"/>
        </w:rPr>
      </w:pPr>
      <w:bookmarkStart w:id="199" w:name="_Toc79740207"/>
      <w:bookmarkStart w:id="200" w:name="_Toc107157366"/>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12</w:t>
      </w:r>
      <w:r w:rsidR="00004B9A" w:rsidRPr="00B85D62">
        <w:rPr>
          <w:rFonts w:cs="Arial"/>
        </w:rPr>
        <w:t xml:space="preserve"> The estimated probabilities of a relative completing the cascade by service, method of contact, degree to index and gender</w:t>
      </w:r>
      <w:bookmarkEnd w:id="199"/>
      <w:bookmarkEnd w:id="200"/>
    </w:p>
    <w:tbl>
      <w:tblPr>
        <w:tblW w:w="0" w:type="auto"/>
        <w:tblCellMar>
          <w:top w:w="40" w:type="dxa"/>
          <w:left w:w="60" w:type="dxa"/>
          <w:bottom w:w="40" w:type="dxa"/>
          <w:right w:w="60" w:type="dxa"/>
        </w:tblCellMar>
        <w:tblLook w:val="0420" w:firstRow="1" w:lastRow="0" w:firstColumn="0" w:lastColumn="0" w:noHBand="0" w:noVBand="1"/>
      </w:tblPr>
      <w:tblGrid>
        <w:gridCol w:w="1331"/>
        <w:gridCol w:w="1555"/>
        <w:gridCol w:w="1555"/>
        <w:gridCol w:w="1387"/>
      </w:tblGrid>
      <w:tr w:rsidR="00F67557" w:rsidRPr="00B85D62" w14:paraId="3AAE1175" w14:textId="77777777" w:rsidTr="00B85D62">
        <w:trPr>
          <w:cantSplit/>
        </w:trPr>
        <w:tc>
          <w:tcPr>
            <w:tcW w:w="0" w:type="auto"/>
            <w:shd w:val="clear" w:color="auto" w:fill="auto"/>
            <w:tcMar>
              <w:top w:w="72" w:type="dxa"/>
              <w:left w:w="144" w:type="dxa"/>
              <w:bottom w:w="72" w:type="dxa"/>
              <w:right w:w="144" w:type="dxa"/>
            </w:tcMar>
            <w:vAlign w:val="center"/>
          </w:tcPr>
          <w:p w14:paraId="7D67DF03" w14:textId="77777777" w:rsidR="00F67557" w:rsidRPr="00B85D62" w:rsidRDefault="00F67557" w:rsidP="0066232B">
            <w:pPr>
              <w:rPr>
                <w:rFonts w:cs="Arial"/>
                <w:color w:val="000000" w:themeColor="dark1"/>
                <w:kern w:val="24"/>
                <w:lang w:eastAsia="en-GB"/>
              </w:rPr>
            </w:pPr>
          </w:p>
        </w:tc>
        <w:tc>
          <w:tcPr>
            <w:tcW w:w="0" w:type="auto"/>
            <w:gridSpan w:val="2"/>
            <w:shd w:val="clear" w:color="auto" w:fill="auto"/>
            <w:tcMar>
              <w:top w:w="72" w:type="dxa"/>
              <w:left w:w="144" w:type="dxa"/>
              <w:bottom w:w="72" w:type="dxa"/>
              <w:right w:w="144" w:type="dxa"/>
            </w:tcMar>
            <w:vAlign w:val="center"/>
          </w:tcPr>
          <w:p w14:paraId="14E3697B"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Wales</w:t>
            </w:r>
          </w:p>
        </w:tc>
        <w:tc>
          <w:tcPr>
            <w:tcW w:w="0" w:type="auto"/>
            <w:shd w:val="clear" w:color="auto" w:fill="auto"/>
            <w:vAlign w:val="center"/>
          </w:tcPr>
          <w:p w14:paraId="73526308"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Wessex</w:t>
            </w:r>
          </w:p>
        </w:tc>
      </w:tr>
      <w:tr w:rsidR="00F67557" w:rsidRPr="00B85D62" w14:paraId="1792E679" w14:textId="77777777" w:rsidTr="00B85D62">
        <w:trPr>
          <w:cantSplit/>
        </w:trPr>
        <w:tc>
          <w:tcPr>
            <w:tcW w:w="0" w:type="auto"/>
            <w:shd w:val="clear" w:color="auto" w:fill="auto"/>
            <w:tcMar>
              <w:top w:w="72" w:type="dxa"/>
              <w:left w:w="144" w:type="dxa"/>
              <w:bottom w:w="72" w:type="dxa"/>
              <w:right w:w="144" w:type="dxa"/>
            </w:tcMar>
            <w:vAlign w:val="center"/>
            <w:hideMark/>
          </w:tcPr>
          <w:p w14:paraId="42E0908B" w14:textId="19575415" w:rsidR="00F67557" w:rsidRPr="00B85D62" w:rsidRDefault="00B85D62" w:rsidP="0066232B">
            <w:pPr>
              <w:rPr>
                <w:rFonts w:cs="Arial"/>
                <w:lang w:eastAsia="en-GB"/>
              </w:rPr>
            </w:pPr>
            <w:r w:rsidRPr="00B85D62">
              <w:rPr>
                <w:rFonts w:cs="Arial"/>
                <w:color w:val="00B0F0"/>
                <w:kern w:val="24"/>
                <w:lang w:eastAsia="en-GB"/>
              </w:rPr>
              <w:t>1</w:t>
            </w:r>
            <w:r w:rsidRPr="00B85D62">
              <w:rPr>
                <w:rFonts w:cs="Arial"/>
                <w:color w:val="00B0F0"/>
                <w:kern w:val="24"/>
                <w:position w:val="10"/>
                <w:lang w:eastAsia="en-GB"/>
              </w:rPr>
              <w:t>st</w:t>
            </w:r>
            <w:r w:rsidR="00F67557" w:rsidRPr="00B85D62">
              <w:rPr>
                <w:rFonts w:cs="Arial"/>
                <w:color w:val="000000" w:themeColor="dark1"/>
                <w:kern w:val="24"/>
                <w:lang w:eastAsia="en-GB"/>
              </w:rPr>
              <w:t xml:space="preserve"> degree</w:t>
            </w:r>
          </w:p>
        </w:tc>
        <w:tc>
          <w:tcPr>
            <w:tcW w:w="0" w:type="auto"/>
            <w:shd w:val="clear" w:color="auto" w:fill="auto"/>
            <w:tcMar>
              <w:top w:w="72" w:type="dxa"/>
              <w:left w:w="144" w:type="dxa"/>
              <w:bottom w:w="72" w:type="dxa"/>
              <w:right w:w="144" w:type="dxa"/>
            </w:tcMar>
            <w:vAlign w:val="center"/>
            <w:hideMark/>
          </w:tcPr>
          <w:p w14:paraId="3C15F292"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Direct contact</w:t>
            </w:r>
          </w:p>
          <w:p w14:paraId="3107AF38" w14:textId="77777777" w:rsidR="00F67557" w:rsidRPr="00B85D62" w:rsidRDefault="00F67557" w:rsidP="0066232B">
            <w:pPr>
              <w:jc w:val="center"/>
              <w:rPr>
                <w:rFonts w:cs="Arial"/>
                <w:lang w:eastAsia="en-GB"/>
              </w:rPr>
            </w:pPr>
            <w:r w:rsidRPr="00B85D62">
              <w:rPr>
                <w:rFonts w:cs="Arial"/>
                <w:lang w:eastAsia="en-GB"/>
              </w:rPr>
              <w:t>(95% CI)</w:t>
            </w:r>
          </w:p>
        </w:tc>
        <w:tc>
          <w:tcPr>
            <w:tcW w:w="0" w:type="auto"/>
            <w:shd w:val="clear" w:color="auto" w:fill="auto"/>
            <w:tcMar>
              <w:top w:w="72" w:type="dxa"/>
              <w:left w:w="144" w:type="dxa"/>
              <w:bottom w:w="72" w:type="dxa"/>
              <w:right w:w="144" w:type="dxa"/>
            </w:tcMar>
            <w:vAlign w:val="center"/>
            <w:hideMark/>
          </w:tcPr>
          <w:p w14:paraId="0ED9CB91"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Indirect contact</w:t>
            </w:r>
          </w:p>
          <w:p w14:paraId="54633372" w14:textId="77777777" w:rsidR="00F67557" w:rsidRPr="00B85D62" w:rsidRDefault="00F67557" w:rsidP="0066232B">
            <w:pPr>
              <w:jc w:val="center"/>
              <w:rPr>
                <w:rFonts w:cs="Arial"/>
                <w:lang w:eastAsia="en-GB"/>
              </w:rPr>
            </w:pPr>
            <w:r w:rsidRPr="00B85D62">
              <w:rPr>
                <w:rFonts w:cs="Arial"/>
                <w:lang w:eastAsia="en-GB"/>
              </w:rPr>
              <w:t>(95% CI)</w:t>
            </w:r>
          </w:p>
        </w:tc>
        <w:tc>
          <w:tcPr>
            <w:tcW w:w="0" w:type="auto"/>
            <w:shd w:val="clear" w:color="auto" w:fill="auto"/>
            <w:vAlign w:val="center"/>
          </w:tcPr>
          <w:p w14:paraId="7CB977F9"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Indirect contact</w:t>
            </w:r>
          </w:p>
          <w:p w14:paraId="723C8A4F" w14:textId="77777777" w:rsidR="00F67557" w:rsidRPr="00B85D62" w:rsidRDefault="00F67557" w:rsidP="0066232B">
            <w:pPr>
              <w:jc w:val="center"/>
              <w:rPr>
                <w:rFonts w:cs="Arial"/>
                <w:color w:val="000000" w:themeColor="dark1"/>
                <w:kern w:val="24"/>
                <w:lang w:eastAsia="en-GB"/>
              </w:rPr>
            </w:pPr>
            <w:r w:rsidRPr="00B85D62">
              <w:rPr>
                <w:rFonts w:cs="Arial"/>
                <w:lang w:eastAsia="en-GB"/>
              </w:rPr>
              <w:t>(95% CI)</w:t>
            </w:r>
          </w:p>
        </w:tc>
      </w:tr>
      <w:tr w:rsidR="00F67557" w:rsidRPr="00B85D62" w14:paraId="2696105C" w14:textId="77777777" w:rsidTr="00B85D62">
        <w:trPr>
          <w:cantSplit/>
        </w:trPr>
        <w:tc>
          <w:tcPr>
            <w:tcW w:w="0" w:type="auto"/>
            <w:shd w:val="clear" w:color="auto" w:fill="auto"/>
            <w:tcMar>
              <w:top w:w="72" w:type="dxa"/>
              <w:left w:w="144" w:type="dxa"/>
              <w:bottom w:w="72" w:type="dxa"/>
              <w:right w:w="144" w:type="dxa"/>
            </w:tcMar>
            <w:vAlign w:val="center"/>
            <w:hideMark/>
          </w:tcPr>
          <w:p w14:paraId="79A0677A" w14:textId="77777777" w:rsidR="00F67557" w:rsidRPr="00B85D62" w:rsidRDefault="00F67557" w:rsidP="0066232B">
            <w:pPr>
              <w:rPr>
                <w:rFonts w:cs="Arial"/>
                <w:lang w:eastAsia="en-GB"/>
              </w:rPr>
            </w:pPr>
            <w:r w:rsidRPr="00B85D62">
              <w:rPr>
                <w:rFonts w:cs="Arial"/>
                <w:color w:val="000000" w:themeColor="dark1"/>
                <w:kern w:val="24"/>
                <w:lang w:eastAsia="en-GB"/>
              </w:rPr>
              <w:t>Female</w:t>
            </w:r>
          </w:p>
        </w:tc>
        <w:tc>
          <w:tcPr>
            <w:tcW w:w="0" w:type="auto"/>
            <w:shd w:val="clear" w:color="auto" w:fill="auto"/>
            <w:tcMar>
              <w:top w:w="72" w:type="dxa"/>
              <w:left w:w="144" w:type="dxa"/>
              <w:bottom w:w="72" w:type="dxa"/>
              <w:right w:w="144" w:type="dxa"/>
            </w:tcMar>
            <w:vAlign w:val="center"/>
            <w:hideMark/>
          </w:tcPr>
          <w:p w14:paraId="19AEA404"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71.1%</w:t>
            </w:r>
          </w:p>
          <w:p w14:paraId="5BD6E81F" w14:textId="77777777" w:rsidR="00F67557" w:rsidRPr="00B85D62" w:rsidRDefault="00F67557" w:rsidP="0066232B">
            <w:pPr>
              <w:jc w:val="center"/>
              <w:rPr>
                <w:rFonts w:cs="Arial"/>
                <w:lang w:eastAsia="en-GB"/>
              </w:rPr>
            </w:pPr>
            <w:r w:rsidRPr="00B85D62">
              <w:rPr>
                <w:rFonts w:cs="Arial"/>
                <w:color w:val="000000" w:themeColor="dark1"/>
                <w:kern w:val="24"/>
                <w:lang w:eastAsia="en-GB"/>
              </w:rPr>
              <w:t>(67.0%, 75.1%)</w:t>
            </w:r>
          </w:p>
        </w:tc>
        <w:tc>
          <w:tcPr>
            <w:tcW w:w="0" w:type="auto"/>
            <w:shd w:val="clear" w:color="auto" w:fill="auto"/>
            <w:tcMar>
              <w:top w:w="72" w:type="dxa"/>
              <w:left w:w="144" w:type="dxa"/>
              <w:bottom w:w="72" w:type="dxa"/>
              <w:right w:w="144" w:type="dxa"/>
            </w:tcMar>
            <w:vAlign w:val="center"/>
            <w:hideMark/>
          </w:tcPr>
          <w:p w14:paraId="5E93CFB7"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53.7%</w:t>
            </w:r>
          </w:p>
          <w:p w14:paraId="6794933E" w14:textId="77777777" w:rsidR="00F67557" w:rsidRPr="00B85D62" w:rsidRDefault="00F67557" w:rsidP="0066232B">
            <w:pPr>
              <w:jc w:val="center"/>
              <w:rPr>
                <w:rFonts w:cs="Arial"/>
                <w:lang w:eastAsia="en-GB"/>
              </w:rPr>
            </w:pPr>
            <w:r w:rsidRPr="00B85D62">
              <w:rPr>
                <w:rFonts w:cs="Arial"/>
                <w:color w:val="000000" w:themeColor="dark1"/>
                <w:kern w:val="24"/>
                <w:lang w:eastAsia="en-GB"/>
              </w:rPr>
              <w:t>(48.4%, 59.1%)</w:t>
            </w:r>
          </w:p>
        </w:tc>
        <w:tc>
          <w:tcPr>
            <w:tcW w:w="0" w:type="auto"/>
            <w:shd w:val="clear" w:color="auto" w:fill="auto"/>
            <w:vAlign w:val="center"/>
          </w:tcPr>
          <w:p w14:paraId="49E1A3B7"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43.2%</w:t>
            </w:r>
          </w:p>
          <w:p w14:paraId="7052766C"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(38.0%, 48.4%)</w:t>
            </w:r>
          </w:p>
        </w:tc>
      </w:tr>
      <w:tr w:rsidR="00F67557" w:rsidRPr="00B85D62" w14:paraId="09513164" w14:textId="77777777" w:rsidTr="00B85D62">
        <w:trPr>
          <w:cantSplit/>
        </w:trPr>
        <w:tc>
          <w:tcPr>
            <w:tcW w:w="0" w:type="auto"/>
            <w:shd w:val="clear" w:color="auto" w:fill="auto"/>
            <w:tcMar>
              <w:top w:w="72" w:type="dxa"/>
              <w:left w:w="144" w:type="dxa"/>
              <w:bottom w:w="72" w:type="dxa"/>
              <w:right w:w="144" w:type="dxa"/>
            </w:tcMar>
            <w:vAlign w:val="center"/>
            <w:hideMark/>
          </w:tcPr>
          <w:p w14:paraId="65FE6E77" w14:textId="77777777" w:rsidR="00F67557" w:rsidRPr="00B85D62" w:rsidRDefault="00F67557" w:rsidP="0066232B">
            <w:pPr>
              <w:rPr>
                <w:rFonts w:cs="Arial"/>
                <w:lang w:eastAsia="en-GB"/>
              </w:rPr>
            </w:pPr>
            <w:r w:rsidRPr="00B85D62">
              <w:rPr>
                <w:rFonts w:cs="Arial"/>
                <w:color w:val="000000" w:themeColor="dark1"/>
                <w:kern w:val="24"/>
                <w:lang w:eastAsia="en-GB"/>
              </w:rPr>
              <w:t>Male</w:t>
            </w:r>
          </w:p>
        </w:tc>
        <w:tc>
          <w:tcPr>
            <w:tcW w:w="0" w:type="auto"/>
            <w:shd w:val="clear" w:color="auto" w:fill="auto"/>
            <w:tcMar>
              <w:top w:w="72" w:type="dxa"/>
              <w:left w:w="144" w:type="dxa"/>
              <w:bottom w:w="72" w:type="dxa"/>
              <w:right w:w="144" w:type="dxa"/>
            </w:tcMar>
            <w:vAlign w:val="center"/>
            <w:hideMark/>
          </w:tcPr>
          <w:p w14:paraId="6CE0AB49"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61.3%</w:t>
            </w:r>
          </w:p>
          <w:p w14:paraId="02180A7B" w14:textId="77777777" w:rsidR="00F67557" w:rsidRPr="00B85D62" w:rsidRDefault="00F67557" w:rsidP="0066232B">
            <w:pPr>
              <w:jc w:val="center"/>
              <w:rPr>
                <w:rFonts w:cs="Arial"/>
                <w:lang w:eastAsia="en-GB"/>
              </w:rPr>
            </w:pPr>
            <w:r w:rsidRPr="00B85D62">
              <w:rPr>
                <w:rFonts w:cs="Arial"/>
                <w:color w:val="000000" w:themeColor="dark1"/>
                <w:kern w:val="24"/>
                <w:lang w:eastAsia="en-GB"/>
              </w:rPr>
              <w:t>(56.7%, 66.0%)</w:t>
            </w:r>
          </w:p>
        </w:tc>
        <w:tc>
          <w:tcPr>
            <w:tcW w:w="0" w:type="auto"/>
            <w:shd w:val="clear" w:color="auto" w:fill="auto"/>
            <w:tcMar>
              <w:top w:w="72" w:type="dxa"/>
              <w:left w:w="144" w:type="dxa"/>
              <w:bottom w:w="72" w:type="dxa"/>
              <w:right w:w="144" w:type="dxa"/>
            </w:tcMar>
            <w:vAlign w:val="center"/>
            <w:hideMark/>
          </w:tcPr>
          <w:p w14:paraId="6F56C701"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42.8%</w:t>
            </w:r>
          </w:p>
          <w:p w14:paraId="6F1D65A7" w14:textId="77777777" w:rsidR="00F67557" w:rsidRPr="00B85D62" w:rsidRDefault="00F67557" w:rsidP="0066232B">
            <w:pPr>
              <w:jc w:val="center"/>
              <w:rPr>
                <w:rFonts w:cs="Arial"/>
                <w:lang w:eastAsia="en-GB"/>
              </w:rPr>
            </w:pPr>
            <w:r w:rsidRPr="00B85D62">
              <w:rPr>
                <w:rFonts w:cs="Arial"/>
                <w:color w:val="000000" w:themeColor="dark1"/>
                <w:kern w:val="24"/>
                <w:lang w:eastAsia="en-GB"/>
              </w:rPr>
              <w:t>(37.5%, 48.2%)</w:t>
            </w:r>
          </w:p>
        </w:tc>
        <w:tc>
          <w:tcPr>
            <w:tcW w:w="0" w:type="auto"/>
            <w:shd w:val="clear" w:color="auto" w:fill="auto"/>
            <w:vAlign w:val="center"/>
          </w:tcPr>
          <w:p w14:paraId="55D1A4FD"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30.5%</w:t>
            </w:r>
          </w:p>
          <w:p w14:paraId="66B35859"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(25.5%, 35.5%)</w:t>
            </w:r>
          </w:p>
        </w:tc>
      </w:tr>
      <w:tr w:rsidR="00F67557" w:rsidRPr="00B85D62" w14:paraId="43E8913B" w14:textId="77777777" w:rsidTr="00B85D62">
        <w:trPr>
          <w:cantSplit/>
        </w:trPr>
        <w:tc>
          <w:tcPr>
            <w:tcW w:w="0" w:type="auto"/>
            <w:shd w:val="clear" w:color="auto" w:fill="auto"/>
            <w:tcMar>
              <w:top w:w="72" w:type="dxa"/>
              <w:left w:w="144" w:type="dxa"/>
              <w:bottom w:w="72" w:type="dxa"/>
              <w:right w:w="144" w:type="dxa"/>
            </w:tcMar>
            <w:vAlign w:val="center"/>
            <w:hideMark/>
          </w:tcPr>
          <w:p w14:paraId="0AE081C1" w14:textId="191150E1" w:rsidR="00F67557" w:rsidRPr="00B85D62" w:rsidRDefault="00B85D62" w:rsidP="0066232B">
            <w:pPr>
              <w:rPr>
                <w:rFonts w:cs="Arial"/>
                <w:lang w:eastAsia="en-GB"/>
              </w:rPr>
            </w:pPr>
            <w:r w:rsidRPr="00B85D62">
              <w:rPr>
                <w:rFonts w:cs="Arial"/>
                <w:color w:val="00B0F0"/>
                <w:kern w:val="24"/>
                <w:lang w:eastAsia="en-GB"/>
              </w:rPr>
              <w:t>≥</w:t>
            </w:r>
            <w:r w:rsidRPr="00B85D62">
              <w:rPr>
                <w:rFonts w:cs="Arial"/>
                <w:color w:val="00B0F0"/>
                <w:kern w:val="24"/>
                <w:lang w:eastAsia="en-GB"/>
              </w:rPr>
              <w:t> </w:t>
            </w:r>
            <w:r w:rsidRPr="00B85D62">
              <w:rPr>
                <w:rFonts w:cs="Arial"/>
                <w:color w:val="00B0F0"/>
                <w:kern w:val="24"/>
                <w:lang w:eastAsia="en-GB"/>
              </w:rPr>
              <w:t>2nd</w:t>
            </w:r>
            <w:r w:rsidR="00F67557" w:rsidRPr="00B85D62">
              <w:rPr>
                <w:rFonts w:cs="Arial"/>
                <w:color w:val="000000" w:themeColor="dark1"/>
                <w:kern w:val="24"/>
                <w:lang w:eastAsia="en-GB"/>
              </w:rPr>
              <w:t xml:space="preserve"> degree</w:t>
            </w:r>
          </w:p>
        </w:tc>
        <w:tc>
          <w:tcPr>
            <w:tcW w:w="0" w:type="auto"/>
            <w:shd w:val="clear" w:color="auto" w:fill="auto"/>
            <w:tcMar>
              <w:top w:w="72" w:type="dxa"/>
              <w:left w:w="144" w:type="dxa"/>
              <w:bottom w:w="72" w:type="dxa"/>
              <w:right w:w="144" w:type="dxa"/>
            </w:tcMar>
            <w:vAlign w:val="center"/>
            <w:hideMark/>
          </w:tcPr>
          <w:p w14:paraId="61DE73F8"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Direct contact</w:t>
            </w:r>
          </w:p>
          <w:p w14:paraId="2E13ED67" w14:textId="77777777" w:rsidR="00F67557" w:rsidRPr="00B85D62" w:rsidRDefault="00F67557" w:rsidP="0066232B">
            <w:pPr>
              <w:jc w:val="center"/>
              <w:rPr>
                <w:rFonts w:cs="Arial"/>
                <w:lang w:eastAsia="en-GB"/>
              </w:rPr>
            </w:pPr>
            <w:r w:rsidRPr="00B85D62">
              <w:rPr>
                <w:rFonts w:cs="Arial"/>
                <w:lang w:eastAsia="en-GB"/>
              </w:rPr>
              <w:t>(95% CI)</w:t>
            </w:r>
          </w:p>
        </w:tc>
        <w:tc>
          <w:tcPr>
            <w:tcW w:w="0" w:type="auto"/>
            <w:shd w:val="clear" w:color="auto" w:fill="auto"/>
            <w:tcMar>
              <w:top w:w="72" w:type="dxa"/>
              <w:left w:w="144" w:type="dxa"/>
              <w:bottom w:w="72" w:type="dxa"/>
              <w:right w:w="144" w:type="dxa"/>
            </w:tcMar>
            <w:vAlign w:val="center"/>
            <w:hideMark/>
          </w:tcPr>
          <w:p w14:paraId="4D874901"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Indirect contact</w:t>
            </w:r>
          </w:p>
          <w:p w14:paraId="5A089B3B" w14:textId="77777777" w:rsidR="00F67557" w:rsidRPr="00B85D62" w:rsidRDefault="00F67557" w:rsidP="0066232B">
            <w:pPr>
              <w:jc w:val="center"/>
              <w:rPr>
                <w:rFonts w:cs="Arial"/>
                <w:lang w:eastAsia="en-GB"/>
              </w:rPr>
            </w:pPr>
            <w:r w:rsidRPr="00B85D62">
              <w:rPr>
                <w:rFonts w:cs="Arial"/>
                <w:lang w:eastAsia="en-GB"/>
              </w:rPr>
              <w:t>(95% CI)</w:t>
            </w:r>
          </w:p>
        </w:tc>
        <w:tc>
          <w:tcPr>
            <w:tcW w:w="0" w:type="auto"/>
            <w:shd w:val="clear" w:color="auto" w:fill="auto"/>
          </w:tcPr>
          <w:p w14:paraId="1738078B"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Indirect contact</w:t>
            </w:r>
          </w:p>
          <w:p w14:paraId="5B86228E" w14:textId="77777777" w:rsidR="00F67557" w:rsidRPr="00B85D62" w:rsidRDefault="00F67557" w:rsidP="0066232B">
            <w:pPr>
              <w:jc w:val="center"/>
              <w:rPr>
                <w:rFonts w:cs="Arial"/>
                <w:color w:val="000000" w:themeColor="dark1"/>
                <w:kern w:val="24"/>
                <w:lang w:eastAsia="en-GB"/>
              </w:rPr>
            </w:pPr>
            <w:r w:rsidRPr="00B85D62">
              <w:rPr>
                <w:rFonts w:cs="Arial"/>
                <w:lang w:eastAsia="en-GB"/>
              </w:rPr>
              <w:t>(95% CI)</w:t>
            </w:r>
          </w:p>
        </w:tc>
      </w:tr>
      <w:tr w:rsidR="00F67557" w:rsidRPr="00B85D62" w14:paraId="0728FD0A" w14:textId="77777777" w:rsidTr="00B85D62">
        <w:trPr>
          <w:cantSplit/>
        </w:trPr>
        <w:tc>
          <w:tcPr>
            <w:tcW w:w="0" w:type="auto"/>
            <w:shd w:val="clear" w:color="auto" w:fill="auto"/>
            <w:tcMar>
              <w:top w:w="72" w:type="dxa"/>
              <w:left w:w="144" w:type="dxa"/>
              <w:bottom w:w="72" w:type="dxa"/>
              <w:right w:w="144" w:type="dxa"/>
            </w:tcMar>
            <w:vAlign w:val="center"/>
            <w:hideMark/>
          </w:tcPr>
          <w:p w14:paraId="4C1850A3" w14:textId="77777777" w:rsidR="00F67557" w:rsidRPr="00B85D62" w:rsidRDefault="00F67557" w:rsidP="0066232B">
            <w:pPr>
              <w:rPr>
                <w:rFonts w:cs="Arial"/>
                <w:lang w:eastAsia="en-GB"/>
              </w:rPr>
            </w:pPr>
            <w:r w:rsidRPr="00B85D62">
              <w:rPr>
                <w:rFonts w:cs="Arial"/>
                <w:color w:val="000000" w:themeColor="dark1"/>
                <w:kern w:val="24"/>
                <w:lang w:eastAsia="en-GB"/>
              </w:rPr>
              <w:t>Female</w:t>
            </w:r>
          </w:p>
        </w:tc>
        <w:tc>
          <w:tcPr>
            <w:tcW w:w="0" w:type="auto"/>
            <w:shd w:val="clear" w:color="auto" w:fill="auto"/>
            <w:tcMar>
              <w:top w:w="72" w:type="dxa"/>
              <w:left w:w="144" w:type="dxa"/>
              <w:bottom w:w="72" w:type="dxa"/>
              <w:right w:w="144" w:type="dxa"/>
            </w:tcMar>
            <w:vAlign w:val="center"/>
            <w:hideMark/>
          </w:tcPr>
          <w:p w14:paraId="5BDA4CA3"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61.3%</w:t>
            </w:r>
          </w:p>
          <w:p w14:paraId="60BAF7BB" w14:textId="77777777" w:rsidR="00F67557" w:rsidRPr="00B85D62" w:rsidRDefault="00F67557" w:rsidP="0066232B">
            <w:pPr>
              <w:jc w:val="center"/>
              <w:rPr>
                <w:rFonts w:cs="Arial"/>
                <w:lang w:eastAsia="en-GB"/>
              </w:rPr>
            </w:pPr>
            <w:r w:rsidRPr="00B85D62">
              <w:rPr>
                <w:rFonts w:cs="Arial"/>
                <w:color w:val="000000" w:themeColor="dark1"/>
                <w:kern w:val="24"/>
                <w:lang w:eastAsia="en-GB"/>
              </w:rPr>
              <w:t>(56.2%, 66.4%)</w:t>
            </w:r>
          </w:p>
        </w:tc>
        <w:tc>
          <w:tcPr>
            <w:tcW w:w="0" w:type="auto"/>
            <w:shd w:val="clear" w:color="auto" w:fill="auto"/>
            <w:tcMar>
              <w:top w:w="72" w:type="dxa"/>
              <w:left w:w="144" w:type="dxa"/>
              <w:bottom w:w="72" w:type="dxa"/>
              <w:right w:w="144" w:type="dxa"/>
            </w:tcMar>
            <w:vAlign w:val="center"/>
            <w:hideMark/>
          </w:tcPr>
          <w:p w14:paraId="7FBEBE0F"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42.9%</w:t>
            </w:r>
          </w:p>
          <w:p w14:paraId="538E52B0" w14:textId="77777777" w:rsidR="00F67557" w:rsidRPr="00B85D62" w:rsidRDefault="00F67557" w:rsidP="0066232B">
            <w:pPr>
              <w:jc w:val="center"/>
              <w:rPr>
                <w:rFonts w:cs="Arial"/>
                <w:lang w:eastAsia="en-GB"/>
              </w:rPr>
            </w:pPr>
            <w:r w:rsidRPr="00B85D62">
              <w:rPr>
                <w:rFonts w:cs="Arial"/>
                <w:color w:val="000000" w:themeColor="dark1"/>
                <w:kern w:val="24"/>
                <w:lang w:eastAsia="en-GB"/>
              </w:rPr>
              <w:t>(37.2%, 48.6%)</w:t>
            </w:r>
          </w:p>
        </w:tc>
        <w:tc>
          <w:tcPr>
            <w:tcW w:w="0" w:type="auto"/>
            <w:shd w:val="clear" w:color="auto" w:fill="auto"/>
            <w:vAlign w:val="center"/>
          </w:tcPr>
          <w:p w14:paraId="160712EA"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47.2%</w:t>
            </w:r>
          </w:p>
          <w:p w14:paraId="286D60D8"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(40.3%, 54.1%)</w:t>
            </w:r>
          </w:p>
        </w:tc>
      </w:tr>
      <w:tr w:rsidR="00F67557" w:rsidRPr="00B85D62" w14:paraId="7BC5F7B2" w14:textId="77777777" w:rsidTr="00B85D62">
        <w:trPr>
          <w:cantSplit/>
        </w:trPr>
        <w:tc>
          <w:tcPr>
            <w:tcW w:w="0" w:type="auto"/>
            <w:shd w:val="clear" w:color="auto" w:fill="auto"/>
            <w:tcMar>
              <w:top w:w="72" w:type="dxa"/>
              <w:left w:w="144" w:type="dxa"/>
              <w:bottom w:w="72" w:type="dxa"/>
              <w:right w:w="144" w:type="dxa"/>
            </w:tcMar>
            <w:vAlign w:val="center"/>
            <w:hideMark/>
          </w:tcPr>
          <w:p w14:paraId="4A800F72" w14:textId="77777777" w:rsidR="00F67557" w:rsidRPr="00B85D62" w:rsidRDefault="00F67557" w:rsidP="0066232B">
            <w:pPr>
              <w:rPr>
                <w:rFonts w:cs="Arial"/>
                <w:lang w:eastAsia="en-GB"/>
              </w:rPr>
            </w:pPr>
            <w:r w:rsidRPr="00B85D62">
              <w:rPr>
                <w:rFonts w:cs="Arial"/>
                <w:color w:val="000000" w:themeColor="dark1"/>
                <w:kern w:val="24"/>
                <w:lang w:eastAsia="en-GB"/>
              </w:rPr>
              <w:t>Male</w:t>
            </w:r>
          </w:p>
        </w:tc>
        <w:tc>
          <w:tcPr>
            <w:tcW w:w="0" w:type="auto"/>
            <w:shd w:val="clear" w:color="auto" w:fill="auto"/>
            <w:tcMar>
              <w:top w:w="72" w:type="dxa"/>
              <w:left w:w="144" w:type="dxa"/>
              <w:bottom w:w="72" w:type="dxa"/>
              <w:right w:w="144" w:type="dxa"/>
            </w:tcMar>
            <w:vAlign w:val="center"/>
            <w:hideMark/>
          </w:tcPr>
          <w:p w14:paraId="2DDD65B4"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50.6%</w:t>
            </w:r>
          </w:p>
          <w:p w14:paraId="21936357" w14:textId="77777777" w:rsidR="00F67557" w:rsidRPr="00B85D62" w:rsidRDefault="00F67557" w:rsidP="0066232B">
            <w:pPr>
              <w:jc w:val="center"/>
              <w:rPr>
                <w:rFonts w:cs="Arial"/>
                <w:lang w:eastAsia="en-GB"/>
              </w:rPr>
            </w:pPr>
            <w:r w:rsidRPr="00B85D62">
              <w:rPr>
                <w:rFonts w:cs="Arial"/>
                <w:color w:val="000000" w:themeColor="dark1"/>
                <w:kern w:val="24"/>
                <w:lang w:eastAsia="en-GB"/>
              </w:rPr>
              <w:t>(45.1%, 56.1%)</w:t>
            </w:r>
          </w:p>
        </w:tc>
        <w:tc>
          <w:tcPr>
            <w:tcW w:w="0" w:type="auto"/>
            <w:shd w:val="clear" w:color="auto" w:fill="auto"/>
            <w:tcMar>
              <w:top w:w="72" w:type="dxa"/>
              <w:left w:w="144" w:type="dxa"/>
              <w:bottom w:w="72" w:type="dxa"/>
              <w:right w:w="144" w:type="dxa"/>
            </w:tcMar>
            <w:vAlign w:val="center"/>
            <w:hideMark/>
          </w:tcPr>
          <w:p w14:paraId="2E56B5E2"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32.6%</w:t>
            </w:r>
          </w:p>
          <w:p w14:paraId="4F8C5832" w14:textId="77777777" w:rsidR="00F67557" w:rsidRPr="00B85D62" w:rsidRDefault="00F67557" w:rsidP="0066232B">
            <w:pPr>
              <w:jc w:val="center"/>
              <w:rPr>
                <w:rFonts w:cs="Arial"/>
                <w:lang w:eastAsia="en-GB"/>
              </w:rPr>
            </w:pPr>
            <w:r w:rsidRPr="00B85D62">
              <w:rPr>
                <w:rFonts w:cs="Arial"/>
                <w:color w:val="000000" w:themeColor="dark1"/>
                <w:kern w:val="24"/>
                <w:lang w:eastAsia="en-GB"/>
              </w:rPr>
              <w:t>(27.3%, 37.9%)</w:t>
            </w:r>
          </w:p>
        </w:tc>
        <w:tc>
          <w:tcPr>
            <w:tcW w:w="0" w:type="auto"/>
            <w:shd w:val="clear" w:color="auto" w:fill="auto"/>
            <w:vAlign w:val="center"/>
          </w:tcPr>
          <w:p w14:paraId="56205FBD" w14:textId="77777777" w:rsidR="00F67557" w:rsidRPr="00B85D62" w:rsidRDefault="00F67557" w:rsidP="0066232B">
            <w:pPr>
              <w:spacing w:after="60"/>
              <w:jc w:val="center"/>
              <w:rPr>
                <w:rFonts w:cs="Arial"/>
                <w:color w:val="000000" w:themeColor="dark1"/>
                <w:kern w:val="24"/>
                <w:lang w:eastAsia="en-GB"/>
              </w:rPr>
            </w:pPr>
            <w:r w:rsidRPr="00B85D62">
              <w:rPr>
                <w:rFonts w:cs="Arial"/>
                <w:color w:val="000000" w:themeColor="dark1"/>
                <w:kern w:val="24"/>
                <w:lang w:eastAsia="en-GB"/>
              </w:rPr>
              <w:t>34.0%</w:t>
            </w:r>
          </w:p>
          <w:p w14:paraId="3305ACE1"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 xml:space="preserve">(27.6%, 40.4%) </w:t>
            </w:r>
          </w:p>
        </w:tc>
      </w:tr>
    </w:tbl>
    <w:p w14:paraId="0A71D61E" w14:textId="77777777" w:rsidR="00B85D62" w:rsidRPr="00B85D62" w:rsidRDefault="1A02A71F" w:rsidP="0066232B">
      <w:pPr>
        <w:spacing w:before="120"/>
        <w:rPr>
          <w:rFonts w:cs="Arial"/>
        </w:rPr>
      </w:pPr>
      <w:r w:rsidRPr="00B85D62">
        <w:rPr>
          <w:rFonts w:cs="Arial"/>
        </w:rPr>
        <w:t xml:space="preserve">95% </w:t>
      </w:r>
      <w:r w:rsidR="7207A20B" w:rsidRPr="00B85D62">
        <w:rPr>
          <w:rFonts w:cs="Arial"/>
        </w:rPr>
        <w:t xml:space="preserve">CI: </w:t>
      </w:r>
      <w:r w:rsidR="7C9F83D4" w:rsidRPr="00B85D62">
        <w:rPr>
          <w:rFonts w:cs="Arial"/>
        </w:rPr>
        <w:t xml:space="preserve">95% </w:t>
      </w:r>
      <w:r w:rsidR="7207A20B" w:rsidRPr="00B85D62">
        <w:rPr>
          <w:rFonts w:cs="Arial"/>
        </w:rPr>
        <w:t>Confidence interval</w:t>
      </w:r>
    </w:p>
    <w:p w14:paraId="6592FF31" w14:textId="5D058ADE" w:rsidR="00B85D62" w:rsidRPr="00B85D62" w:rsidRDefault="00B85D62" w:rsidP="0066232B">
      <w:pPr>
        <w:rPr>
          <w:rFonts w:cs="Arial"/>
        </w:rPr>
      </w:pPr>
      <w:r w:rsidRPr="00B85D62">
        <w:rPr>
          <w:rFonts w:cs="Arial"/>
          <w:color w:val="00B0F0"/>
        </w:rPr>
        <w:t>Among</w:t>
      </w:r>
      <w:r w:rsidR="75DE676D" w:rsidRPr="00B85D62">
        <w:rPr>
          <w:rFonts w:cs="Arial"/>
        </w:rPr>
        <w:t xml:space="preserve"> relatives that completed cascading in Wales (Wessex), 58.2% (60.1%) were female, average age was 40.1 years (30.9), and mean observed LDL-C of 4.92 (4.33) mmol/L. </w:t>
      </w:r>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13</w:t>
      </w:r>
      <w:r w:rsidR="00164EBF" w:rsidRPr="00B85D62">
        <w:rPr>
          <w:rFonts w:cs="Arial"/>
        </w:rPr>
        <w:t xml:space="preserve"> </w:t>
      </w:r>
      <w:r w:rsidR="75DE676D" w:rsidRPr="00B85D62">
        <w:rPr>
          <w:rFonts w:cs="Arial"/>
        </w:rPr>
        <w:t>presents the CV</w:t>
      </w:r>
      <w:r w:rsidR="003823CB" w:rsidRPr="00B85D62">
        <w:rPr>
          <w:rFonts w:cs="Arial"/>
        </w:rPr>
        <w:t>D</w:t>
      </w:r>
      <w:r w:rsidR="75DE676D" w:rsidRPr="00B85D62">
        <w:rPr>
          <w:rFonts w:cs="Arial"/>
        </w:rPr>
        <w:t xml:space="preserve"> and LLT histories of cascaded relatives prior to genetic testing in each service by FH status and age-group (</w:t>
      </w:r>
      <w:r w:rsidR="00114274" w:rsidRPr="00B85D62">
        <w:rPr>
          <w:rFonts w:eastAsia="Arial" w:cs="Arial"/>
          <w:i/>
          <w:color w:val="000000" w:themeColor="text1"/>
        </w:rPr>
        <w:t>Online Supplementary file 3</w:t>
      </w:r>
      <w:r w:rsidR="00114274" w:rsidRPr="00B85D62">
        <w:rPr>
          <w:rFonts w:eastAsia="Arial" w:cs="Arial"/>
          <w:color w:val="000000" w:themeColor="text1"/>
        </w:rPr>
        <w:t xml:space="preserve"> </w:t>
      </w:r>
      <w:r w:rsidR="00114274" w:rsidRPr="00B85D62">
        <w:rPr>
          <w:rFonts w:cs="Arial"/>
          <w:i/>
        </w:rPr>
        <w:t>(Additional information)</w:t>
      </w:r>
      <w:r w:rsidRPr="00B85D62">
        <w:rPr>
          <w:rFonts w:cs="Arial"/>
          <w:i/>
        </w:rPr>
        <w:t xml:space="preserve"> </w:t>
      </w:r>
      <w:r w:rsidR="45058E49" w:rsidRPr="00B85D62">
        <w:rPr>
          <w:rFonts w:cs="Arial"/>
        </w:rPr>
        <w:t>for</w:t>
      </w:r>
      <w:r w:rsidR="75DE676D" w:rsidRPr="00B85D62">
        <w:rPr>
          <w:rFonts w:cs="Arial"/>
        </w:rPr>
        <w:t xml:space="preserve"> further details). In both services, higher rates of CV</w:t>
      </w:r>
      <w:r w:rsidR="6A4A0627" w:rsidRPr="00B85D62">
        <w:rPr>
          <w:rFonts w:cs="Arial"/>
        </w:rPr>
        <w:t>D</w:t>
      </w:r>
      <w:r w:rsidR="75DE676D" w:rsidRPr="00B85D62">
        <w:rPr>
          <w:rFonts w:cs="Arial"/>
        </w:rPr>
        <w:t xml:space="preserve"> history were associated with older age groups and </w:t>
      </w:r>
      <w:r w:rsidR="11364873" w:rsidRPr="00B85D62">
        <w:rPr>
          <w:rFonts w:cs="Arial"/>
        </w:rPr>
        <w:t>FH</w:t>
      </w:r>
      <w:r w:rsidR="75DE676D" w:rsidRPr="00B85D62">
        <w:rPr>
          <w:rFonts w:cs="Arial"/>
        </w:rPr>
        <w:t xml:space="preserve"> status. The probability that individuals had received LLT prior to the cascade was more common in relatives with CV</w:t>
      </w:r>
      <w:r w:rsidR="78E30F0D" w:rsidRPr="00B85D62">
        <w:rPr>
          <w:rFonts w:cs="Arial"/>
        </w:rPr>
        <w:t>D</w:t>
      </w:r>
      <w:r w:rsidR="75DE676D" w:rsidRPr="00B85D62">
        <w:rPr>
          <w:rFonts w:cs="Arial"/>
        </w:rPr>
        <w:t xml:space="preserve"> history and had a positive gradient with respect to age at testing. Relatives without a CV</w:t>
      </w:r>
      <w:r w:rsidR="250AD5A9" w:rsidRPr="00B85D62">
        <w:rPr>
          <w:rFonts w:cs="Arial"/>
        </w:rPr>
        <w:t>D</w:t>
      </w:r>
      <w:r w:rsidR="75DE676D" w:rsidRPr="00B85D62">
        <w:rPr>
          <w:rFonts w:cs="Arial"/>
        </w:rPr>
        <w:t xml:space="preserve"> history were more likely to be treated if FH-positive. Numbers were too small to assess the influence of FH status on probability of being on LLT in those with a history of CV</w:t>
      </w:r>
      <w:r w:rsidR="009E34A2" w:rsidRPr="00B85D62">
        <w:rPr>
          <w:rFonts w:cs="Arial"/>
        </w:rPr>
        <w:t>D</w:t>
      </w:r>
      <w:r w:rsidR="75DE676D" w:rsidRPr="00B85D62">
        <w:rPr>
          <w:rFonts w:cs="Arial"/>
        </w:rPr>
        <w:t>.</w:t>
      </w:r>
    </w:p>
    <w:p w14:paraId="08A1E529" w14:textId="1DB1EB23" w:rsidR="00164EBF" w:rsidRPr="00B85D62" w:rsidRDefault="00B85D62" w:rsidP="00164EBF">
      <w:pPr>
        <w:pStyle w:val="Caption"/>
        <w:keepNext/>
        <w:rPr>
          <w:rFonts w:cs="Arial"/>
        </w:rPr>
      </w:pPr>
      <w:bookmarkStart w:id="201" w:name="_Toc79740208"/>
      <w:bookmarkStart w:id="202" w:name="_Toc107157367"/>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13</w:t>
      </w:r>
      <w:r w:rsidR="00164EBF" w:rsidRPr="00B85D62">
        <w:rPr>
          <w:rFonts w:cs="Arial"/>
        </w:rPr>
        <w:t xml:space="preserve"> The CVD history and prior lipid lowering drug therapy rates of cascaded relatives by service, age, FH status and CVD history</w:t>
      </w:r>
      <w:bookmarkEnd w:id="201"/>
      <w:bookmarkEnd w:id="202"/>
    </w:p>
    <w:tbl>
      <w:tblPr>
        <w:tblW w:w="0" w:type="auto"/>
        <w:tblCellMar>
          <w:top w:w="40" w:type="dxa"/>
          <w:left w:w="60" w:type="dxa"/>
          <w:bottom w:w="40" w:type="dxa"/>
          <w:right w:w="60" w:type="dxa"/>
        </w:tblCellMar>
        <w:tblLook w:val="0420" w:firstRow="1" w:lastRow="0" w:firstColumn="0" w:lastColumn="0" w:noHBand="0" w:noVBand="1"/>
      </w:tblPr>
      <w:tblGrid>
        <w:gridCol w:w="621"/>
        <w:gridCol w:w="661"/>
        <w:gridCol w:w="850"/>
        <w:gridCol w:w="810"/>
        <w:gridCol w:w="661"/>
        <w:gridCol w:w="850"/>
        <w:gridCol w:w="810"/>
        <w:gridCol w:w="661"/>
        <w:gridCol w:w="682"/>
        <w:gridCol w:w="642"/>
        <w:gridCol w:w="454"/>
        <w:gridCol w:w="682"/>
        <w:gridCol w:w="642"/>
      </w:tblGrid>
      <w:tr w:rsidR="00F67557" w:rsidRPr="00B85D62" w14:paraId="152F610B" w14:textId="77777777" w:rsidTr="00B85D62">
        <w:trPr>
          <w:cantSplit/>
        </w:trPr>
        <w:tc>
          <w:tcPr>
            <w:tcW w:w="0" w:type="auto"/>
            <w:vMerge w:val="restart"/>
            <w:shd w:val="clear" w:color="auto" w:fill="auto"/>
            <w:tcMar>
              <w:top w:w="72" w:type="dxa"/>
              <w:left w:w="144" w:type="dxa"/>
              <w:bottom w:w="72" w:type="dxa"/>
              <w:right w:w="144" w:type="dxa"/>
            </w:tcMar>
            <w:vAlign w:val="bottom"/>
          </w:tcPr>
          <w:p w14:paraId="70F41EA7"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Age band</w:t>
            </w:r>
          </w:p>
        </w:tc>
        <w:tc>
          <w:tcPr>
            <w:tcW w:w="0" w:type="auto"/>
            <w:gridSpan w:val="6"/>
            <w:shd w:val="clear" w:color="auto" w:fill="auto"/>
          </w:tcPr>
          <w:p w14:paraId="6048CFF2"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Wales</w:t>
            </w:r>
          </w:p>
        </w:tc>
        <w:tc>
          <w:tcPr>
            <w:tcW w:w="0" w:type="auto"/>
            <w:gridSpan w:val="6"/>
            <w:shd w:val="clear" w:color="auto" w:fill="auto"/>
          </w:tcPr>
          <w:p w14:paraId="645E6AAD"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Wessex</w:t>
            </w:r>
          </w:p>
        </w:tc>
      </w:tr>
      <w:tr w:rsidR="00F67557" w:rsidRPr="00B85D62" w14:paraId="6D4813A1" w14:textId="77777777" w:rsidTr="00B85D62">
        <w:trPr>
          <w:cantSplit/>
        </w:trPr>
        <w:tc>
          <w:tcPr>
            <w:tcW w:w="0" w:type="auto"/>
            <w:vMerge/>
            <w:shd w:val="clear" w:color="auto" w:fill="auto"/>
            <w:tcMar>
              <w:top w:w="72" w:type="dxa"/>
              <w:left w:w="144" w:type="dxa"/>
              <w:bottom w:w="72" w:type="dxa"/>
              <w:right w:w="144" w:type="dxa"/>
            </w:tcMar>
            <w:vAlign w:val="center"/>
            <w:hideMark/>
          </w:tcPr>
          <w:p w14:paraId="55AA8F94" w14:textId="77777777" w:rsidR="00F67557" w:rsidRPr="00B85D62" w:rsidRDefault="00F67557" w:rsidP="0066232B">
            <w:pPr>
              <w:rPr>
                <w:rFonts w:cs="Arial"/>
                <w:color w:val="000000" w:themeColor="dark1"/>
                <w:kern w:val="24"/>
                <w:lang w:eastAsia="en-GB"/>
              </w:rPr>
            </w:pPr>
          </w:p>
        </w:tc>
        <w:tc>
          <w:tcPr>
            <w:tcW w:w="0" w:type="auto"/>
            <w:gridSpan w:val="3"/>
            <w:shd w:val="clear" w:color="auto" w:fill="auto"/>
          </w:tcPr>
          <w:p w14:paraId="0B52FD88" w14:textId="2EE33AD7" w:rsidR="00F67557" w:rsidRPr="00B85D62" w:rsidRDefault="37AD4292" w:rsidP="0066232B">
            <w:pPr>
              <w:jc w:val="center"/>
              <w:rPr>
                <w:rFonts w:cs="Arial"/>
                <w:color w:val="000000" w:themeColor="dark1"/>
                <w:kern w:val="24"/>
                <w:lang w:eastAsia="en-GB"/>
              </w:rPr>
            </w:pPr>
            <w:r w:rsidRPr="00B85D62">
              <w:rPr>
                <w:rFonts w:cs="Arial"/>
                <w:color w:val="000000" w:themeColor="dark1"/>
                <w:kern w:val="24"/>
                <w:lang w:eastAsia="en-GB"/>
              </w:rPr>
              <w:t>F</w:t>
            </w:r>
            <w:r w:rsidR="7207A20B" w:rsidRPr="00B85D62">
              <w:rPr>
                <w:rFonts w:cs="Arial"/>
                <w:color w:val="000000" w:themeColor="dark1"/>
                <w:kern w:val="24"/>
                <w:lang w:eastAsia="en-GB"/>
              </w:rPr>
              <w:t xml:space="preserve">H +ve </w:t>
            </w:r>
          </w:p>
        </w:tc>
        <w:tc>
          <w:tcPr>
            <w:tcW w:w="0" w:type="auto"/>
            <w:gridSpan w:val="3"/>
            <w:shd w:val="clear" w:color="auto" w:fill="auto"/>
          </w:tcPr>
          <w:p w14:paraId="09D4F8F1" w14:textId="77777777"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 xml:space="preserve">Non-FH &amp; Non-VUS </w:t>
            </w:r>
          </w:p>
        </w:tc>
        <w:tc>
          <w:tcPr>
            <w:tcW w:w="0" w:type="auto"/>
            <w:gridSpan w:val="3"/>
            <w:shd w:val="clear" w:color="auto" w:fill="auto"/>
          </w:tcPr>
          <w:p w14:paraId="4A5EE14F" w14:textId="068E707A"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 xml:space="preserve">FH +ve </w:t>
            </w:r>
          </w:p>
        </w:tc>
        <w:tc>
          <w:tcPr>
            <w:tcW w:w="0" w:type="auto"/>
            <w:gridSpan w:val="3"/>
            <w:shd w:val="clear" w:color="auto" w:fill="auto"/>
          </w:tcPr>
          <w:p w14:paraId="34F67089" w14:textId="77777777"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 xml:space="preserve">Non-FH &amp; Non-VUS </w:t>
            </w:r>
          </w:p>
        </w:tc>
      </w:tr>
      <w:tr w:rsidR="00F67557" w:rsidRPr="00B85D62" w14:paraId="7324C69D" w14:textId="77777777" w:rsidTr="00B85D62">
        <w:trPr>
          <w:cantSplit/>
        </w:trPr>
        <w:tc>
          <w:tcPr>
            <w:tcW w:w="0" w:type="auto"/>
            <w:vMerge/>
            <w:shd w:val="clear" w:color="auto" w:fill="auto"/>
            <w:tcMar>
              <w:top w:w="72" w:type="dxa"/>
              <w:left w:w="144" w:type="dxa"/>
              <w:bottom w:w="72" w:type="dxa"/>
              <w:right w:w="144" w:type="dxa"/>
            </w:tcMar>
            <w:vAlign w:val="center"/>
          </w:tcPr>
          <w:p w14:paraId="0125FBDB" w14:textId="77777777" w:rsidR="00F67557" w:rsidRPr="00B85D62" w:rsidRDefault="00F67557" w:rsidP="0066232B">
            <w:pPr>
              <w:rPr>
                <w:rFonts w:cs="Arial"/>
                <w:color w:val="000000" w:themeColor="dark1"/>
                <w:kern w:val="24"/>
                <w:lang w:eastAsia="en-GB"/>
              </w:rPr>
            </w:pPr>
          </w:p>
        </w:tc>
        <w:tc>
          <w:tcPr>
            <w:tcW w:w="0" w:type="auto"/>
            <w:vMerge w:val="restart"/>
            <w:shd w:val="clear" w:color="auto" w:fill="auto"/>
            <w:vAlign w:val="bottom"/>
          </w:tcPr>
          <w:p w14:paraId="293BB77C" w14:textId="01C61271"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Individuals with CV</w:t>
            </w:r>
            <w:r w:rsidR="41B871AF" w:rsidRPr="00B85D62">
              <w:rPr>
                <w:rFonts w:cs="Arial"/>
                <w:color w:val="000000" w:themeColor="dark1"/>
                <w:kern w:val="24"/>
                <w:lang w:eastAsia="en-GB"/>
              </w:rPr>
              <w:t>D</w:t>
            </w:r>
            <w:r w:rsidRPr="00B85D62">
              <w:rPr>
                <w:rFonts w:cs="Arial"/>
                <w:color w:val="000000" w:themeColor="dark1"/>
                <w:kern w:val="24"/>
                <w:lang w:eastAsia="en-GB"/>
              </w:rPr>
              <w:t xml:space="preserve"> history</w:t>
            </w:r>
          </w:p>
        </w:tc>
        <w:tc>
          <w:tcPr>
            <w:tcW w:w="0" w:type="auto"/>
            <w:gridSpan w:val="2"/>
            <w:shd w:val="clear" w:color="auto" w:fill="auto"/>
          </w:tcPr>
          <w:p w14:paraId="72FAC8FE"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Individuals with prior LLT</w:t>
            </w:r>
          </w:p>
        </w:tc>
        <w:tc>
          <w:tcPr>
            <w:tcW w:w="0" w:type="auto"/>
            <w:vMerge w:val="restart"/>
            <w:shd w:val="clear" w:color="auto" w:fill="auto"/>
            <w:vAlign w:val="bottom"/>
          </w:tcPr>
          <w:p w14:paraId="19FD9F6A" w14:textId="07F895DD"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Individuals with CV</w:t>
            </w:r>
            <w:r w:rsidR="40ED28C1" w:rsidRPr="00B85D62">
              <w:rPr>
                <w:rFonts w:cs="Arial"/>
                <w:color w:val="000000" w:themeColor="dark1"/>
                <w:kern w:val="24"/>
                <w:lang w:eastAsia="en-GB"/>
              </w:rPr>
              <w:t>D</w:t>
            </w:r>
            <w:r w:rsidRPr="00B85D62">
              <w:rPr>
                <w:rFonts w:cs="Arial"/>
                <w:color w:val="000000" w:themeColor="dark1"/>
                <w:kern w:val="24"/>
                <w:lang w:eastAsia="en-GB"/>
              </w:rPr>
              <w:t xml:space="preserve"> history</w:t>
            </w:r>
          </w:p>
        </w:tc>
        <w:tc>
          <w:tcPr>
            <w:tcW w:w="0" w:type="auto"/>
            <w:gridSpan w:val="2"/>
            <w:shd w:val="clear" w:color="auto" w:fill="auto"/>
          </w:tcPr>
          <w:p w14:paraId="31D96D5E"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Individuals with prior LLT</w:t>
            </w:r>
          </w:p>
        </w:tc>
        <w:tc>
          <w:tcPr>
            <w:tcW w:w="0" w:type="auto"/>
            <w:vMerge w:val="restart"/>
            <w:shd w:val="clear" w:color="auto" w:fill="auto"/>
            <w:vAlign w:val="bottom"/>
          </w:tcPr>
          <w:p w14:paraId="7D456A0A" w14:textId="6C936748"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Individuals with CV</w:t>
            </w:r>
            <w:r w:rsidR="41E1AEA0" w:rsidRPr="00B85D62">
              <w:rPr>
                <w:rFonts w:cs="Arial"/>
                <w:color w:val="000000" w:themeColor="dark1"/>
                <w:kern w:val="24"/>
                <w:lang w:eastAsia="en-GB"/>
              </w:rPr>
              <w:t>D</w:t>
            </w:r>
            <w:r w:rsidRPr="00B85D62">
              <w:rPr>
                <w:rFonts w:cs="Arial"/>
                <w:color w:val="000000" w:themeColor="dark1"/>
                <w:kern w:val="24"/>
                <w:lang w:eastAsia="en-GB"/>
              </w:rPr>
              <w:t xml:space="preserve"> history</w:t>
            </w:r>
          </w:p>
        </w:tc>
        <w:tc>
          <w:tcPr>
            <w:tcW w:w="0" w:type="auto"/>
            <w:gridSpan w:val="2"/>
            <w:shd w:val="clear" w:color="auto" w:fill="auto"/>
          </w:tcPr>
          <w:p w14:paraId="6B01F8FE"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Individuals with prior LLT</w:t>
            </w:r>
          </w:p>
        </w:tc>
        <w:tc>
          <w:tcPr>
            <w:tcW w:w="0" w:type="auto"/>
            <w:vMerge w:val="restart"/>
            <w:shd w:val="clear" w:color="auto" w:fill="auto"/>
            <w:vAlign w:val="bottom"/>
          </w:tcPr>
          <w:p w14:paraId="45BA0FC0" w14:textId="61E9F0E1"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CV</w:t>
            </w:r>
            <w:r w:rsidR="66F25F51" w:rsidRPr="00B85D62">
              <w:rPr>
                <w:rFonts w:cs="Arial"/>
                <w:color w:val="000000" w:themeColor="dark1"/>
                <w:kern w:val="24"/>
                <w:lang w:eastAsia="en-GB"/>
              </w:rPr>
              <w:t>D</w:t>
            </w:r>
            <w:r w:rsidRPr="00B85D62">
              <w:rPr>
                <w:rFonts w:cs="Arial"/>
                <w:color w:val="000000" w:themeColor="dark1"/>
                <w:kern w:val="24"/>
                <w:lang w:eastAsia="en-GB"/>
              </w:rPr>
              <w:t xml:space="preserve"> history</w:t>
            </w:r>
          </w:p>
        </w:tc>
        <w:tc>
          <w:tcPr>
            <w:tcW w:w="0" w:type="auto"/>
            <w:gridSpan w:val="2"/>
            <w:shd w:val="clear" w:color="auto" w:fill="auto"/>
          </w:tcPr>
          <w:p w14:paraId="0DFB0CBF"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Individuals with prior LLT</w:t>
            </w:r>
          </w:p>
        </w:tc>
      </w:tr>
      <w:tr w:rsidR="00F67557" w:rsidRPr="00B85D62" w14:paraId="2ECFECAC" w14:textId="77777777" w:rsidTr="00B85D62">
        <w:trPr>
          <w:cantSplit/>
        </w:trPr>
        <w:tc>
          <w:tcPr>
            <w:tcW w:w="0" w:type="auto"/>
            <w:vMerge/>
            <w:shd w:val="clear" w:color="auto" w:fill="auto"/>
            <w:vAlign w:val="center"/>
            <w:hideMark/>
          </w:tcPr>
          <w:p w14:paraId="64E45CF5" w14:textId="77777777" w:rsidR="00F67557" w:rsidRPr="00B85D62" w:rsidRDefault="00F67557" w:rsidP="0066232B">
            <w:pPr>
              <w:rPr>
                <w:rFonts w:cs="Arial"/>
                <w:color w:val="000000" w:themeColor="dark1"/>
                <w:kern w:val="24"/>
                <w:lang w:eastAsia="en-GB"/>
              </w:rPr>
            </w:pPr>
          </w:p>
        </w:tc>
        <w:tc>
          <w:tcPr>
            <w:tcW w:w="0" w:type="auto"/>
            <w:vMerge/>
            <w:shd w:val="clear" w:color="auto" w:fill="auto"/>
            <w:vAlign w:val="center"/>
          </w:tcPr>
          <w:p w14:paraId="27CF20CF" w14:textId="77777777" w:rsidR="00F67557" w:rsidRPr="00B85D62" w:rsidRDefault="00F67557" w:rsidP="0066232B">
            <w:pPr>
              <w:jc w:val="center"/>
              <w:rPr>
                <w:rFonts w:cs="Arial"/>
                <w:color w:val="000000" w:themeColor="dark1"/>
                <w:kern w:val="24"/>
                <w:lang w:eastAsia="en-GB"/>
              </w:rPr>
            </w:pPr>
          </w:p>
        </w:tc>
        <w:tc>
          <w:tcPr>
            <w:tcW w:w="0" w:type="auto"/>
            <w:shd w:val="clear" w:color="auto" w:fill="auto"/>
            <w:tcMar>
              <w:top w:w="72" w:type="dxa"/>
              <w:left w:w="144" w:type="dxa"/>
              <w:bottom w:w="72" w:type="dxa"/>
              <w:right w:w="144" w:type="dxa"/>
            </w:tcMar>
            <w:vAlign w:val="center"/>
            <w:hideMark/>
          </w:tcPr>
          <w:p w14:paraId="502A7E10" w14:textId="79E44A7D"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CV</w:t>
            </w:r>
            <w:r w:rsidR="5A8BC164" w:rsidRPr="00B85D62">
              <w:rPr>
                <w:rFonts w:cs="Arial"/>
                <w:color w:val="000000" w:themeColor="dark1"/>
                <w:kern w:val="24"/>
                <w:lang w:eastAsia="en-GB"/>
              </w:rPr>
              <w:t>D</w:t>
            </w:r>
            <w:r w:rsidRPr="00B85D62">
              <w:rPr>
                <w:rFonts w:cs="Arial"/>
                <w:color w:val="000000" w:themeColor="dark1"/>
                <w:kern w:val="24"/>
                <w:lang w:eastAsia="en-GB"/>
              </w:rPr>
              <w:t xml:space="preserve"> history=yes</w:t>
            </w:r>
          </w:p>
        </w:tc>
        <w:tc>
          <w:tcPr>
            <w:tcW w:w="0" w:type="auto"/>
            <w:shd w:val="clear" w:color="auto" w:fill="auto"/>
            <w:tcMar>
              <w:top w:w="72" w:type="dxa"/>
              <w:left w:w="144" w:type="dxa"/>
              <w:bottom w:w="72" w:type="dxa"/>
              <w:right w:w="144" w:type="dxa"/>
            </w:tcMar>
            <w:vAlign w:val="center"/>
            <w:hideMark/>
          </w:tcPr>
          <w:p w14:paraId="093315FD" w14:textId="3FF88B59"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CV</w:t>
            </w:r>
            <w:r w:rsidR="53E95A13" w:rsidRPr="00B85D62">
              <w:rPr>
                <w:rFonts w:cs="Arial"/>
                <w:color w:val="000000" w:themeColor="dark1"/>
                <w:kern w:val="24"/>
                <w:lang w:eastAsia="en-GB"/>
              </w:rPr>
              <w:t>D</w:t>
            </w:r>
            <w:r w:rsidRPr="00B85D62">
              <w:rPr>
                <w:rFonts w:cs="Arial"/>
                <w:color w:val="000000" w:themeColor="dark1"/>
                <w:kern w:val="24"/>
                <w:lang w:eastAsia="en-GB"/>
              </w:rPr>
              <w:t xml:space="preserve"> history=no</w:t>
            </w:r>
          </w:p>
        </w:tc>
        <w:tc>
          <w:tcPr>
            <w:tcW w:w="0" w:type="auto"/>
            <w:vMerge/>
            <w:shd w:val="clear" w:color="auto" w:fill="auto"/>
            <w:vAlign w:val="center"/>
          </w:tcPr>
          <w:p w14:paraId="07DF4D27" w14:textId="77777777" w:rsidR="00F67557" w:rsidRPr="00B85D62" w:rsidRDefault="00F67557" w:rsidP="0066232B">
            <w:pPr>
              <w:jc w:val="center"/>
              <w:rPr>
                <w:rFonts w:cs="Arial"/>
                <w:color w:val="000000" w:themeColor="dark1"/>
                <w:kern w:val="24"/>
                <w:lang w:eastAsia="en-GB"/>
              </w:rPr>
            </w:pPr>
          </w:p>
        </w:tc>
        <w:tc>
          <w:tcPr>
            <w:tcW w:w="0" w:type="auto"/>
            <w:shd w:val="clear" w:color="auto" w:fill="auto"/>
            <w:tcMar>
              <w:top w:w="72" w:type="dxa"/>
              <w:left w:w="144" w:type="dxa"/>
              <w:bottom w:w="72" w:type="dxa"/>
              <w:right w:w="144" w:type="dxa"/>
            </w:tcMar>
            <w:vAlign w:val="center"/>
            <w:hideMark/>
          </w:tcPr>
          <w:p w14:paraId="1C9F7429" w14:textId="6851D8B3"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CV</w:t>
            </w:r>
            <w:r w:rsidR="2A1FFAB7" w:rsidRPr="00B85D62">
              <w:rPr>
                <w:rFonts w:cs="Arial"/>
                <w:color w:val="000000" w:themeColor="dark1"/>
                <w:kern w:val="24"/>
                <w:lang w:eastAsia="en-GB"/>
              </w:rPr>
              <w:t>D</w:t>
            </w:r>
            <w:r w:rsidRPr="00B85D62">
              <w:rPr>
                <w:rFonts w:cs="Arial"/>
                <w:color w:val="000000" w:themeColor="dark1"/>
                <w:kern w:val="24"/>
                <w:lang w:eastAsia="en-GB"/>
              </w:rPr>
              <w:t xml:space="preserve"> history=yes</w:t>
            </w:r>
          </w:p>
        </w:tc>
        <w:tc>
          <w:tcPr>
            <w:tcW w:w="0" w:type="auto"/>
            <w:shd w:val="clear" w:color="auto" w:fill="auto"/>
            <w:tcMar>
              <w:top w:w="72" w:type="dxa"/>
              <w:left w:w="144" w:type="dxa"/>
              <w:bottom w:w="72" w:type="dxa"/>
              <w:right w:w="144" w:type="dxa"/>
            </w:tcMar>
            <w:vAlign w:val="center"/>
            <w:hideMark/>
          </w:tcPr>
          <w:p w14:paraId="2C381C11" w14:textId="5B402835"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CV</w:t>
            </w:r>
            <w:r w:rsidR="0FFA41E1" w:rsidRPr="00B85D62">
              <w:rPr>
                <w:rFonts w:cs="Arial"/>
                <w:color w:val="000000" w:themeColor="dark1"/>
                <w:kern w:val="24"/>
                <w:lang w:eastAsia="en-GB"/>
              </w:rPr>
              <w:t>D</w:t>
            </w:r>
            <w:r w:rsidRPr="00B85D62">
              <w:rPr>
                <w:rFonts w:cs="Arial"/>
                <w:color w:val="000000" w:themeColor="dark1"/>
                <w:kern w:val="24"/>
                <w:lang w:eastAsia="en-GB"/>
              </w:rPr>
              <w:t xml:space="preserve"> history=no</w:t>
            </w:r>
          </w:p>
        </w:tc>
        <w:tc>
          <w:tcPr>
            <w:tcW w:w="0" w:type="auto"/>
            <w:vMerge/>
            <w:shd w:val="clear" w:color="auto" w:fill="auto"/>
            <w:vAlign w:val="center"/>
          </w:tcPr>
          <w:p w14:paraId="7F99837A" w14:textId="77777777" w:rsidR="00F67557" w:rsidRPr="00B85D62" w:rsidRDefault="00F67557" w:rsidP="0066232B">
            <w:pPr>
              <w:jc w:val="center"/>
              <w:rPr>
                <w:rFonts w:cs="Arial"/>
                <w:color w:val="000000" w:themeColor="dark1"/>
                <w:kern w:val="24"/>
                <w:lang w:eastAsia="en-GB"/>
              </w:rPr>
            </w:pPr>
          </w:p>
        </w:tc>
        <w:tc>
          <w:tcPr>
            <w:tcW w:w="0" w:type="auto"/>
            <w:shd w:val="clear" w:color="auto" w:fill="auto"/>
            <w:vAlign w:val="center"/>
          </w:tcPr>
          <w:p w14:paraId="3F55CE37" w14:textId="217C4AD3"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CV</w:t>
            </w:r>
            <w:r w:rsidR="1DC0869E" w:rsidRPr="00B85D62">
              <w:rPr>
                <w:rFonts w:cs="Arial"/>
                <w:color w:val="000000" w:themeColor="dark1"/>
                <w:kern w:val="24"/>
                <w:lang w:eastAsia="en-GB"/>
              </w:rPr>
              <w:t>D</w:t>
            </w:r>
            <w:r w:rsidRPr="00B85D62">
              <w:rPr>
                <w:rFonts w:cs="Arial"/>
                <w:color w:val="000000" w:themeColor="dark1"/>
                <w:kern w:val="24"/>
                <w:lang w:eastAsia="en-GB"/>
              </w:rPr>
              <w:t xml:space="preserve"> history=yes</w:t>
            </w:r>
          </w:p>
        </w:tc>
        <w:tc>
          <w:tcPr>
            <w:tcW w:w="0" w:type="auto"/>
            <w:shd w:val="clear" w:color="auto" w:fill="auto"/>
            <w:vAlign w:val="center"/>
          </w:tcPr>
          <w:p w14:paraId="59D4E739" w14:textId="1D6A4E47"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CV</w:t>
            </w:r>
            <w:r w:rsidR="6069E0CA" w:rsidRPr="00B85D62">
              <w:rPr>
                <w:rFonts w:cs="Arial"/>
                <w:color w:val="000000" w:themeColor="dark1"/>
                <w:kern w:val="24"/>
                <w:lang w:eastAsia="en-GB"/>
              </w:rPr>
              <w:t>D</w:t>
            </w:r>
            <w:r w:rsidRPr="00B85D62">
              <w:rPr>
                <w:rFonts w:cs="Arial"/>
                <w:color w:val="000000" w:themeColor="dark1"/>
                <w:kern w:val="24"/>
                <w:lang w:eastAsia="en-GB"/>
              </w:rPr>
              <w:t xml:space="preserve"> history=no</w:t>
            </w:r>
          </w:p>
        </w:tc>
        <w:tc>
          <w:tcPr>
            <w:tcW w:w="0" w:type="auto"/>
            <w:vMerge/>
            <w:shd w:val="clear" w:color="auto" w:fill="auto"/>
            <w:vAlign w:val="center"/>
          </w:tcPr>
          <w:p w14:paraId="57B76E57" w14:textId="77777777" w:rsidR="00F67557" w:rsidRPr="00B85D62" w:rsidRDefault="00F67557" w:rsidP="0066232B">
            <w:pPr>
              <w:jc w:val="center"/>
              <w:rPr>
                <w:rFonts w:cs="Arial"/>
                <w:color w:val="000000" w:themeColor="dark1"/>
                <w:kern w:val="24"/>
                <w:lang w:eastAsia="en-GB"/>
              </w:rPr>
            </w:pPr>
          </w:p>
        </w:tc>
        <w:tc>
          <w:tcPr>
            <w:tcW w:w="0" w:type="auto"/>
            <w:shd w:val="clear" w:color="auto" w:fill="auto"/>
            <w:vAlign w:val="center"/>
          </w:tcPr>
          <w:p w14:paraId="3310EA61" w14:textId="61ACAC7C"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CV</w:t>
            </w:r>
            <w:r w:rsidR="1232493E" w:rsidRPr="00B85D62">
              <w:rPr>
                <w:rFonts w:cs="Arial"/>
                <w:color w:val="000000" w:themeColor="dark1"/>
                <w:kern w:val="24"/>
                <w:lang w:eastAsia="en-GB"/>
              </w:rPr>
              <w:t>D</w:t>
            </w:r>
            <w:r w:rsidRPr="00B85D62">
              <w:rPr>
                <w:rFonts w:cs="Arial"/>
                <w:color w:val="000000" w:themeColor="dark1"/>
                <w:kern w:val="24"/>
                <w:lang w:eastAsia="en-GB"/>
              </w:rPr>
              <w:t xml:space="preserve"> history=yes</w:t>
            </w:r>
          </w:p>
        </w:tc>
        <w:tc>
          <w:tcPr>
            <w:tcW w:w="0" w:type="auto"/>
            <w:shd w:val="clear" w:color="auto" w:fill="auto"/>
            <w:vAlign w:val="center"/>
          </w:tcPr>
          <w:p w14:paraId="2AFC5EDC" w14:textId="2D837719" w:rsidR="00F67557" w:rsidRPr="00B85D62" w:rsidRDefault="7207A20B" w:rsidP="0066232B">
            <w:pPr>
              <w:jc w:val="center"/>
              <w:rPr>
                <w:rFonts w:cs="Arial"/>
                <w:color w:val="000000" w:themeColor="dark1"/>
                <w:kern w:val="24"/>
                <w:lang w:eastAsia="en-GB"/>
              </w:rPr>
            </w:pPr>
            <w:r w:rsidRPr="00B85D62">
              <w:rPr>
                <w:rFonts w:cs="Arial"/>
                <w:color w:val="000000" w:themeColor="dark1"/>
                <w:kern w:val="24"/>
                <w:lang w:eastAsia="en-GB"/>
              </w:rPr>
              <w:t>CV</w:t>
            </w:r>
            <w:r w:rsidR="2E4632D0" w:rsidRPr="00B85D62">
              <w:rPr>
                <w:rFonts w:cs="Arial"/>
                <w:color w:val="000000" w:themeColor="dark1"/>
                <w:kern w:val="24"/>
                <w:lang w:eastAsia="en-GB"/>
              </w:rPr>
              <w:t>D</w:t>
            </w:r>
            <w:r w:rsidRPr="00B85D62">
              <w:rPr>
                <w:rFonts w:cs="Arial"/>
                <w:color w:val="000000" w:themeColor="dark1"/>
                <w:kern w:val="24"/>
                <w:lang w:eastAsia="en-GB"/>
              </w:rPr>
              <w:t xml:space="preserve"> history=no</w:t>
            </w:r>
          </w:p>
        </w:tc>
      </w:tr>
      <w:tr w:rsidR="00F67557" w:rsidRPr="00B85D62" w14:paraId="74C737C4" w14:textId="77777777" w:rsidTr="00B85D62">
        <w:trPr>
          <w:cantSplit/>
        </w:trPr>
        <w:tc>
          <w:tcPr>
            <w:tcW w:w="0" w:type="auto"/>
            <w:shd w:val="clear" w:color="auto" w:fill="auto"/>
            <w:tcMar>
              <w:top w:w="72" w:type="dxa"/>
              <w:left w:w="144" w:type="dxa"/>
              <w:bottom w:w="72" w:type="dxa"/>
              <w:right w:w="144" w:type="dxa"/>
            </w:tcMar>
            <w:vAlign w:val="center"/>
            <w:hideMark/>
          </w:tcPr>
          <w:p w14:paraId="79B758A6" w14:textId="77777777" w:rsidR="00F67557" w:rsidRPr="00B85D62" w:rsidRDefault="00F67557" w:rsidP="0066232B">
            <w:pPr>
              <w:jc w:val="right"/>
              <w:rPr>
                <w:rFonts w:cs="Arial"/>
                <w:color w:val="000000" w:themeColor="dark1"/>
                <w:kern w:val="24"/>
                <w:lang w:eastAsia="en-GB"/>
              </w:rPr>
            </w:pPr>
            <w:r w:rsidRPr="00B85D62">
              <w:rPr>
                <w:rFonts w:cs="Arial"/>
                <w:color w:val="000000" w:themeColor="dark1"/>
                <w:kern w:val="24"/>
                <w:lang w:eastAsia="en-GB"/>
              </w:rPr>
              <w:t>Pooled</w:t>
            </w:r>
          </w:p>
        </w:tc>
        <w:tc>
          <w:tcPr>
            <w:tcW w:w="0" w:type="auto"/>
            <w:shd w:val="clear" w:color="auto" w:fill="auto"/>
            <w:vAlign w:val="center"/>
          </w:tcPr>
          <w:p w14:paraId="09D0D42A" w14:textId="77777777" w:rsidR="00F67557" w:rsidRPr="00B85D62" w:rsidRDefault="00F67557" w:rsidP="0066232B">
            <w:pPr>
              <w:jc w:val="center"/>
              <w:rPr>
                <w:rFonts w:cs="Arial"/>
                <w:color w:val="000000" w:themeColor="dark1"/>
                <w:kern w:val="24"/>
                <w:lang w:eastAsia="en-GB"/>
              </w:rPr>
            </w:pPr>
            <w:r w:rsidRPr="00B85D62">
              <w:rPr>
                <w:rFonts w:cs="Arial"/>
                <w:lang w:eastAsia="en-GB"/>
              </w:rPr>
              <w:t>7.2%</w:t>
            </w:r>
          </w:p>
        </w:tc>
        <w:tc>
          <w:tcPr>
            <w:tcW w:w="0" w:type="auto"/>
            <w:shd w:val="clear" w:color="auto" w:fill="auto"/>
            <w:tcMar>
              <w:top w:w="72" w:type="dxa"/>
              <w:left w:w="144" w:type="dxa"/>
              <w:bottom w:w="72" w:type="dxa"/>
              <w:right w:w="144" w:type="dxa"/>
            </w:tcMar>
            <w:vAlign w:val="center"/>
            <w:hideMark/>
          </w:tcPr>
          <w:p w14:paraId="2B680C7A"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85.7%</w:t>
            </w:r>
          </w:p>
        </w:tc>
        <w:tc>
          <w:tcPr>
            <w:tcW w:w="0" w:type="auto"/>
            <w:shd w:val="clear" w:color="auto" w:fill="auto"/>
            <w:tcMar>
              <w:top w:w="72" w:type="dxa"/>
              <w:left w:w="144" w:type="dxa"/>
              <w:bottom w:w="72" w:type="dxa"/>
              <w:right w:w="144" w:type="dxa"/>
            </w:tcMar>
            <w:vAlign w:val="center"/>
            <w:hideMark/>
          </w:tcPr>
          <w:p w14:paraId="51B36728"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38.5%</w:t>
            </w:r>
          </w:p>
        </w:tc>
        <w:tc>
          <w:tcPr>
            <w:tcW w:w="0" w:type="auto"/>
            <w:shd w:val="clear" w:color="auto" w:fill="auto"/>
            <w:vAlign w:val="center"/>
          </w:tcPr>
          <w:p w14:paraId="6A894444" w14:textId="77777777" w:rsidR="00F67557" w:rsidRPr="00B85D62" w:rsidRDefault="00F67557" w:rsidP="0066232B">
            <w:pPr>
              <w:jc w:val="center"/>
              <w:rPr>
                <w:rFonts w:cs="Arial"/>
                <w:color w:val="000000" w:themeColor="dark1"/>
                <w:kern w:val="24"/>
                <w:lang w:eastAsia="en-GB"/>
              </w:rPr>
            </w:pPr>
            <w:r w:rsidRPr="00B85D62">
              <w:rPr>
                <w:rFonts w:cs="Arial"/>
                <w:lang w:eastAsia="en-GB"/>
              </w:rPr>
              <w:t>2.3%</w:t>
            </w:r>
          </w:p>
        </w:tc>
        <w:tc>
          <w:tcPr>
            <w:tcW w:w="0" w:type="auto"/>
            <w:shd w:val="clear" w:color="auto" w:fill="auto"/>
            <w:tcMar>
              <w:top w:w="72" w:type="dxa"/>
              <w:left w:w="144" w:type="dxa"/>
              <w:bottom w:w="72" w:type="dxa"/>
              <w:right w:w="144" w:type="dxa"/>
            </w:tcMar>
            <w:vAlign w:val="center"/>
            <w:hideMark/>
          </w:tcPr>
          <w:p w14:paraId="2F0CE3A2"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50.0%</w:t>
            </w:r>
          </w:p>
        </w:tc>
        <w:tc>
          <w:tcPr>
            <w:tcW w:w="0" w:type="auto"/>
            <w:shd w:val="clear" w:color="auto" w:fill="auto"/>
            <w:tcMar>
              <w:top w:w="72" w:type="dxa"/>
              <w:left w:w="144" w:type="dxa"/>
              <w:bottom w:w="72" w:type="dxa"/>
              <w:right w:w="144" w:type="dxa"/>
            </w:tcMar>
            <w:vAlign w:val="center"/>
            <w:hideMark/>
          </w:tcPr>
          <w:p w14:paraId="1C858C27"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7.9%</w:t>
            </w:r>
          </w:p>
        </w:tc>
        <w:tc>
          <w:tcPr>
            <w:tcW w:w="0" w:type="auto"/>
            <w:shd w:val="clear" w:color="auto" w:fill="auto"/>
            <w:vAlign w:val="center"/>
          </w:tcPr>
          <w:p w14:paraId="4A5E86E3" w14:textId="77777777" w:rsidR="00F67557" w:rsidRPr="00B85D62" w:rsidRDefault="00F67557" w:rsidP="0066232B">
            <w:pPr>
              <w:jc w:val="center"/>
              <w:rPr>
                <w:rFonts w:cs="Arial"/>
                <w:color w:val="000000" w:themeColor="dark1"/>
                <w:kern w:val="24"/>
                <w:lang w:eastAsia="en-GB"/>
              </w:rPr>
            </w:pPr>
            <w:r w:rsidRPr="00B85D62">
              <w:rPr>
                <w:rFonts w:cs="Arial"/>
                <w:lang w:eastAsia="en-GB"/>
              </w:rPr>
              <w:t>10.0%</w:t>
            </w:r>
          </w:p>
        </w:tc>
        <w:tc>
          <w:tcPr>
            <w:tcW w:w="0" w:type="auto"/>
            <w:shd w:val="clear" w:color="auto" w:fill="auto"/>
            <w:vAlign w:val="center"/>
          </w:tcPr>
          <w:p w14:paraId="2769A0B0"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100.0%</w:t>
            </w:r>
          </w:p>
        </w:tc>
        <w:tc>
          <w:tcPr>
            <w:tcW w:w="0" w:type="auto"/>
            <w:shd w:val="clear" w:color="auto" w:fill="auto"/>
            <w:vAlign w:val="center"/>
          </w:tcPr>
          <w:p w14:paraId="1A463AD5"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18.9%</w:t>
            </w:r>
          </w:p>
        </w:tc>
        <w:tc>
          <w:tcPr>
            <w:tcW w:w="0" w:type="auto"/>
            <w:shd w:val="clear" w:color="auto" w:fill="auto"/>
            <w:vAlign w:val="center"/>
          </w:tcPr>
          <w:p w14:paraId="134BCE61" w14:textId="77777777" w:rsidR="00F67557" w:rsidRPr="00B85D62" w:rsidRDefault="00F67557" w:rsidP="0066232B">
            <w:pPr>
              <w:jc w:val="center"/>
              <w:rPr>
                <w:rFonts w:cs="Arial"/>
                <w:color w:val="000000" w:themeColor="dark1"/>
                <w:kern w:val="24"/>
                <w:lang w:eastAsia="en-GB"/>
              </w:rPr>
            </w:pPr>
            <w:r w:rsidRPr="00B85D62">
              <w:rPr>
                <w:rFonts w:cs="Arial"/>
                <w:lang w:eastAsia="en-GB"/>
              </w:rPr>
              <w:t>5.1%</w:t>
            </w:r>
          </w:p>
        </w:tc>
        <w:tc>
          <w:tcPr>
            <w:tcW w:w="0" w:type="auto"/>
            <w:shd w:val="clear" w:color="auto" w:fill="auto"/>
            <w:vAlign w:val="center"/>
          </w:tcPr>
          <w:p w14:paraId="5E392046"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100.0%</w:t>
            </w:r>
          </w:p>
        </w:tc>
        <w:tc>
          <w:tcPr>
            <w:tcW w:w="0" w:type="auto"/>
            <w:shd w:val="clear" w:color="auto" w:fill="auto"/>
            <w:vAlign w:val="center"/>
          </w:tcPr>
          <w:p w14:paraId="509810BE"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1.8%</w:t>
            </w:r>
          </w:p>
        </w:tc>
      </w:tr>
      <w:tr w:rsidR="00F67557" w:rsidRPr="00B85D62" w14:paraId="3FA4BCF8" w14:textId="77777777" w:rsidTr="00B85D62">
        <w:trPr>
          <w:cantSplit/>
        </w:trPr>
        <w:tc>
          <w:tcPr>
            <w:tcW w:w="0" w:type="auto"/>
            <w:shd w:val="clear" w:color="auto" w:fill="auto"/>
            <w:tcMar>
              <w:top w:w="72" w:type="dxa"/>
              <w:left w:w="144" w:type="dxa"/>
              <w:bottom w:w="72" w:type="dxa"/>
              <w:right w:w="144" w:type="dxa"/>
            </w:tcMar>
            <w:vAlign w:val="center"/>
            <w:hideMark/>
          </w:tcPr>
          <w:p w14:paraId="19B345E1" w14:textId="2DAC3840" w:rsidR="00F67557" w:rsidRPr="00B85D62" w:rsidRDefault="00F67557" w:rsidP="0066232B">
            <w:pPr>
              <w:jc w:val="right"/>
              <w:rPr>
                <w:rFonts w:cs="Arial"/>
                <w:color w:val="000000" w:themeColor="dark1"/>
                <w:kern w:val="24"/>
                <w:lang w:eastAsia="en-GB"/>
              </w:rPr>
            </w:pPr>
            <w:r w:rsidRPr="00B85D62">
              <w:rPr>
                <w:rFonts w:cs="Arial"/>
                <w:color w:val="000000" w:themeColor="dark1"/>
                <w:kern w:val="24"/>
                <w:lang w:eastAsia="en-GB"/>
              </w:rPr>
              <w:t>0</w:t>
            </w:r>
            <w:r w:rsidR="00B85D62" w:rsidRPr="00B85D62">
              <w:rPr>
                <w:rFonts w:cs="Arial"/>
                <w:color w:val="00B0F0"/>
                <w:kern w:val="24"/>
                <w:lang w:eastAsia="en-GB"/>
              </w:rPr>
              <w:t>–</w:t>
            </w:r>
            <w:r w:rsidR="00B85D62" w:rsidRPr="00B85D62">
              <w:rPr>
                <w:rFonts w:cs="Arial"/>
                <w:color w:val="00B0F0"/>
                <w:kern w:val="24"/>
                <w:lang w:eastAsia="en-GB"/>
              </w:rPr>
              <w:t>9</w:t>
            </w:r>
          </w:p>
        </w:tc>
        <w:tc>
          <w:tcPr>
            <w:tcW w:w="0" w:type="auto"/>
            <w:shd w:val="clear" w:color="auto" w:fill="auto"/>
            <w:vAlign w:val="center"/>
          </w:tcPr>
          <w:p w14:paraId="0D8C7CF7"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0.0%</w:t>
            </w:r>
          </w:p>
        </w:tc>
        <w:tc>
          <w:tcPr>
            <w:tcW w:w="0" w:type="auto"/>
            <w:shd w:val="clear" w:color="auto" w:fill="auto"/>
            <w:tcMar>
              <w:top w:w="72" w:type="dxa"/>
              <w:left w:w="144" w:type="dxa"/>
              <w:bottom w:w="72" w:type="dxa"/>
              <w:right w:w="144" w:type="dxa"/>
            </w:tcMar>
            <w:vAlign w:val="center"/>
            <w:hideMark/>
          </w:tcPr>
          <w:p w14:paraId="61A2DA5B"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tcMar>
              <w:top w:w="72" w:type="dxa"/>
              <w:left w:w="144" w:type="dxa"/>
              <w:bottom w:w="72" w:type="dxa"/>
              <w:right w:w="144" w:type="dxa"/>
            </w:tcMar>
            <w:vAlign w:val="center"/>
            <w:hideMark/>
          </w:tcPr>
          <w:p w14:paraId="3F9FD1F7"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6.7%</w:t>
            </w:r>
          </w:p>
        </w:tc>
        <w:tc>
          <w:tcPr>
            <w:tcW w:w="0" w:type="auto"/>
            <w:shd w:val="clear" w:color="auto" w:fill="auto"/>
            <w:vAlign w:val="center"/>
          </w:tcPr>
          <w:p w14:paraId="7146C2B3" w14:textId="77777777" w:rsidR="00F67557" w:rsidRPr="00B85D62" w:rsidRDefault="00F67557" w:rsidP="0066232B">
            <w:pPr>
              <w:jc w:val="center"/>
              <w:rPr>
                <w:rFonts w:cs="Arial"/>
                <w:color w:val="000000" w:themeColor="dark1"/>
                <w:kern w:val="24"/>
                <w:lang w:eastAsia="en-GB"/>
              </w:rPr>
            </w:pPr>
            <w:r w:rsidRPr="00B85D62">
              <w:rPr>
                <w:rFonts w:cs="Arial"/>
                <w:lang w:eastAsia="en-GB"/>
              </w:rPr>
              <w:t>0%</w:t>
            </w:r>
          </w:p>
        </w:tc>
        <w:tc>
          <w:tcPr>
            <w:tcW w:w="0" w:type="auto"/>
            <w:shd w:val="clear" w:color="auto" w:fill="auto"/>
            <w:tcMar>
              <w:top w:w="72" w:type="dxa"/>
              <w:left w:w="144" w:type="dxa"/>
              <w:bottom w:w="72" w:type="dxa"/>
              <w:right w:w="144" w:type="dxa"/>
            </w:tcMar>
            <w:vAlign w:val="center"/>
            <w:hideMark/>
          </w:tcPr>
          <w:p w14:paraId="42A8424A"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tcMar>
              <w:top w:w="72" w:type="dxa"/>
              <w:left w:w="144" w:type="dxa"/>
              <w:bottom w:w="72" w:type="dxa"/>
              <w:right w:w="144" w:type="dxa"/>
            </w:tcMar>
            <w:vAlign w:val="center"/>
            <w:hideMark/>
          </w:tcPr>
          <w:p w14:paraId="4C03F510"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0.0%</w:t>
            </w:r>
          </w:p>
        </w:tc>
        <w:tc>
          <w:tcPr>
            <w:tcW w:w="0" w:type="auto"/>
            <w:shd w:val="clear" w:color="auto" w:fill="auto"/>
            <w:vAlign w:val="center"/>
          </w:tcPr>
          <w:p w14:paraId="4EDD3B08"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vAlign w:val="center"/>
          </w:tcPr>
          <w:p w14:paraId="182E820B"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vAlign w:val="center"/>
          </w:tcPr>
          <w:p w14:paraId="4B3F9532"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vAlign w:val="center"/>
          </w:tcPr>
          <w:p w14:paraId="614B77A7" w14:textId="77777777" w:rsidR="00F67557" w:rsidRPr="00B85D62" w:rsidRDefault="00F67557" w:rsidP="0066232B">
            <w:pPr>
              <w:jc w:val="center"/>
              <w:rPr>
                <w:rFonts w:cs="Arial"/>
                <w:color w:val="000000" w:themeColor="dark1"/>
                <w:kern w:val="24"/>
                <w:lang w:eastAsia="en-GB"/>
              </w:rPr>
            </w:pPr>
            <w:r w:rsidRPr="00B85D62">
              <w:rPr>
                <w:rFonts w:cs="Arial"/>
                <w:lang w:eastAsia="en-GB"/>
              </w:rPr>
              <w:t>-</w:t>
            </w:r>
          </w:p>
        </w:tc>
        <w:tc>
          <w:tcPr>
            <w:tcW w:w="0" w:type="auto"/>
            <w:shd w:val="clear" w:color="auto" w:fill="auto"/>
            <w:vAlign w:val="center"/>
          </w:tcPr>
          <w:p w14:paraId="273A2F5D"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vAlign w:val="center"/>
          </w:tcPr>
          <w:p w14:paraId="7E37D9A0"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r>
      <w:tr w:rsidR="00F67557" w:rsidRPr="00B85D62" w14:paraId="51955143" w14:textId="77777777" w:rsidTr="00B85D62">
        <w:trPr>
          <w:cantSplit/>
        </w:trPr>
        <w:tc>
          <w:tcPr>
            <w:tcW w:w="0" w:type="auto"/>
            <w:shd w:val="clear" w:color="auto" w:fill="auto"/>
            <w:tcMar>
              <w:top w:w="72" w:type="dxa"/>
              <w:left w:w="144" w:type="dxa"/>
              <w:bottom w:w="72" w:type="dxa"/>
              <w:right w:w="144" w:type="dxa"/>
            </w:tcMar>
            <w:vAlign w:val="center"/>
            <w:hideMark/>
          </w:tcPr>
          <w:p w14:paraId="2DF25B06" w14:textId="7556CB6E" w:rsidR="00F67557" w:rsidRPr="00B85D62" w:rsidRDefault="00F67557" w:rsidP="0066232B">
            <w:pPr>
              <w:jc w:val="right"/>
              <w:rPr>
                <w:rFonts w:cs="Arial"/>
                <w:color w:val="000000" w:themeColor="dark1"/>
                <w:kern w:val="24"/>
                <w:lang w:eastAsia="en-GB"/>
              </w:rPr>
            </w:pPr>
            <w:r w:rsidRPr="00B85D62">
              <w:rPr>
                <w:rFonts w:cs="Arial"/>
                <w:color w:val="000000" w:themeColor="dark1"/>
                <w:kern w:val="24"/>
                <w:lang w:eastAsia="en-GB"/>
              </w:rPr>
              <w:t>10</w:t>
            </w:r>
            <w:r w:rsidR="00B85D62" w:rsidRPr="00B85D62">
              <w:rPr>
                <w:rFonts w:cs="Arial"/>
                <w:color w:val="00B0F0"/>
                <w:kern w:val="24"/>
                <w:lang w:eastAsia="en-GB"/>
              </w:rPr>
              <w:t>–</w:t>
            </w:r>
            <w:r w:rsidR="00B85D62" w:rsidRPr="00B85D62">
              <w:rPr>
                <w:rFonts w:cs="Arial"/>
                <w:color w:val="00B0F0"/>
                <w:kern w:val="24"/>
                <w:lang w:eastAsia="en-GB"/>
              </w:rPr>
              <w:t>1</w:t>
            </w:r>
            <w:r w:rsidRPr="00B85D62">
              <w:rPr>
                <w:rFonts w:cs="Arial"/>
                <w:color w:val="000000" w:themeColor="dark1"/>
                <w:kern w:val="24"/>
                <w:lang w:eastAsia="en-GB"/>
              </w:rPr>
              <w:t>7</w:t>
            </w:r>
          </w:p>
        </w:tc>
        <w:tc>
          <w:tcPr>
            <w:tcW w:w="0" w:type="auto"/>
            <w:shd w:val="clear" w:color="auto" w:fill="auto"/>
            <w:vAlign w:val="center"/>
          </w:tcPr>
          <w:p w14:paraId="459AC25B"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0.0%</w:t>
            </w:r>
          </w:p>
        </w:tc>
        <w:tc>
          <w:tcPr>
            <w:tcW w:w="0" w:type="auto"/>
            <w:shd w:val="clear" w:color="auto" w:fill="auto"/>
            <w:tcMar>
              <w:top w:w="72" w:type="dxa"/>
              <w:left w:w="144" w:type="dxa"/>
              <w:bottom w:w="72" w:type="dxa"/>
              <w:right w:w="144" w:type="dxa"/>
            </w:tcMar>
            <w:vAlign w:val="center"/>
            <w:hideMark/>
          </w:tcPr>
          <w:p w14:paraId="5D1EFA58"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tcMar>
              <w:top w:w="72" w:type="dxa"/>
              <w:left w:w="144" w:type="dxa"/>
              <w:bottom w:w="72" w:type="dxa"/>
              <w:right w:w="144" w:type="dxa"/>
            </w:tcMar>
            <w:vAlign w:val="center"/>
            <w:hideMark/>
          </w:tcPr>
          <w:p w14:paraId="0876E148"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15.5%</w:t>
            </w:r>
          </w:p>
        </w:tc>
        <w:tc>
          <w:tcPr>
            <w:tcW w:w="0" w:type="auto"/>
            <w:shd w:val="clear" w:color="auto" w:fill="auto"/>
            <w:vAlign w:val="center"/>
          </w:tcPr>
          <w:p w14:paraId="53AD3C6E" w14:textId="77777777" w:rsidR="00F67557" w:rsidRPr="00B85D62" w:rsidRDefault="00F67557" w:rsidP="0066232B">
            <w:pPr>
              <w:jc w:val="center"/>
              <w:rPr>
                <w:rFonts w:cs="Arial"/>
                <w:color w:val="000000" w:themeColor="dark1"/>
                <w:kern w:val="24"/>
                <w:lang w:eastAsia="en-GB"/>
              </w:rPr>
            </w:pPr>
            <w:r w:rsidRPr="00B85D62">
              <w:rPr>
                <w:rFonts w:cs="Arial"/>
                <w:lang w:eastAsia="en-GB"/>
              </w:rPr>
              <w:t>0%</w:t>
            </w:r>
          </w:p>
        </w:tc>
        <w:tc>
          <w:tcPr>
            <w:tcW w:w="0" w:type="auto"/>
            <w:shd w:val="clear" w:color="auto" w:fill="auto"/>
            <w:tcMar>
              <w:top w:w="72" w:type="dxa"/>
              <w:left w:w="144" w:type="dxa"/>
              <w:bottom w:w="72" w:type="dxa"/>
              <w:right w:w="144" w:type="dxa"/>
            </w:tcMar>
            <w:vAlign w:val="center"/>
            <w:hideMark/>
          </w:tcPr>
          <w:p w14:paraId="37F4276C"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tcMar>
              <w:top w:w="72" w:type="dxa"/>
              <w:left w:w="144" w:type="dxa"/>
              <w:bottom w:w="72" w:type="dxa"/>
              <w:right w:w="144" w:type="dxa"/>
            </w:tcMar>
            <w:vAlign w:val="center"/>
            <w:hideMark/>
          </w:tcPr>
          <w:p w14:paraId="2C991D72"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0.0%</w:t>
            </w:r>
          </w:p>
        </w:tc>
        <w:tc>
          <w:tcPr>
            <w:tcW w:w="0" w:type="auto"/>
            <w:shd w:val="clear" w:color="auto" w:fill="auto"/>
            <w:vAlign w:val="center"/>
          </w:tcPr>
          <w:p w14:paraId="090B75A2"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0.0%</w:t>
            </w:r>
          </w:p>
        </w:tc>
        <w:tc>
          <w:tcPr>
            <w:tcW w:w="0" w:type="auto"/>
            <w:shd w:val="clear" w:color="auto" w:fill="auto"/>
            <w:vAlign w:val="center"/>
          </w:tcPr>
          <w:p w14:paraId="17AC8BD0"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vAlign w:val="center"/>
          </w:tcPr>
          <w:p w14:paraId="517C7ABC"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w:t>
            </w:r>
          </w:p>
        </w:tc>
        <w:tc>
          <w:tcPr>
            <w:tcW w:w="0" w:type="auto"/>
            <w:shd w:val="clear" w:color="auto" w:fill="auto"/>
            <w:vAlign w:val="center"/>
          </w:tcPr>
          <w:p w14:paraId="2F7D65C6" w14:textId="77777777" w:rsidR="00F67557" w:rsidRPr="00B85D62" w:rsidRDefault="00F67557" w:rsidP="0066232B">
            <w:pPr>
              <w:jc w:val="center"/>
              <w:rPr>
                <w:rFonts w:cs="Arial"/>
                <w:color w:val="000000" w:themeColor="dark1"/>
                <w:kern w:val="24"/>
                <w:lang w:eastAsia="en-GB"/>
              </w:rPr>
            </w:pPr>
            <w:r w:rsidRPr="00B85D62">
              <w:rPr>
                <w:rFonts w:cs="Arial"/>
                <w:lang w:eastAsia="en-GB"/>
              </w:rPr>
              <w:t>0.0%</w:t>
            </w:r>
          </w:p>
        </w:tc>
        <w:tc>
          <w:tcPr>
            <w:tcW w:w="0" w:type="auto"/>
            <w:shd w:val="clear" w:color="auto" w:fill="auto"/>
            <w:vAlign w:val="center"/>
          </w:tcPr>
          <w:p w14:paraId="78B630D9"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vAlign w:val="center"/>
          </w:tcPr>
          <w:p w14:paraId="007CDF76"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0.0%</w:t>
            </w:r>
          </w:p>
        </w:tc>
      </w:tr>
      <w:tr w:rsidR="00F67557" w:rsidRPr="00B85D62" w14:paraId="2CFCD537" w14:textId="77777777" w:rsidTr="00B85D62">
        <w:trPr>
          <w:cantSplit/>
        </w:trPr>
        <w:tc>
          <w:tcPr>
            <w:tcW w:w="0" w:type="auto"/>
            <w:shd w:val="clear" w:color="auto" w:fill="auto"/>
            <w:tcMar>
              <w:top w:w="72" w:type="dxa"/>
              <w:left w:w="144" w:type="dxa"/>
              <w:bottom w:w="72" w:type="dxa"/>
              <w:right w:w="144" w:type="dxa"/>
            </w:tcMar>
            <w:vAlign w:val="center"/>
            <w:hideMark/>
          </w:tcPr>
          <w:p w14:paraId="685B554D" w14:textId="5D9ED8FF" w:rsidR="00F67557" w:rsidRPr="00B85D62" w:rsidRDefault="00F67557" w:rsidP="0066232B">
            <w:pPr>
              <w:jc w:val="right"/>
              <w:rPr>
                <w:rFonts w:cs="Arial"/>
                <w:color w:val="000000" w:themeColor="dark1"/>
                <w:kern w:val="24"/>
                <w:lang w:eastAsia="en-GB"/>
              </w:rPr>
            </w:pPr>
            <w:r w:rsidRPr="00B85D62">
              <w:rPr>
                <w:rFonts w:cs="Arial"/>
                <w:color w:val="000000" w:themeColor="dark1"/>
                <w:kern w:val="24"/>
                <w:lang w:eastAsia="en-GB"/>
              </w:rPr>
              <w:t>18</w:t>
            </w:r>
            <w:r w:rsidR="00B85D62" w:rsidRPr="00B85D62">
              <w:rPr>
                <w:rFonts w:cs="Arial"/>
                <w:color w:val="00B0F0"/>
                <w:kern w:val="24"/>
                <w:lang w:eastAsia="en-GB"/>
              </w:rPr>
              <w:t>–</w:t>
            </w:r>
            <w:r w:rsidR="00B85D62" w:rsidRPr="00B85D62">
              <w:rPr>
                <w:rFonts w:cs="Arial"/>
                <w:color w:val="00B0F0"/>
                <w:kern w:val="24"/>
                <w:lang w:eastAsia="en-GB"/>
              </w:rPr>
              <w:t>3</w:t>
            </w:r>
            <w:r w:rsidRPr="00B85D62">
              <w:rPr>
                <w:rFonts w:cs="Arial"/>
                <w:color w:val="000000" w:themeColor="dark1"/>
                <w:kern w:val="24"/>
                <w:lang w:eastAsia="en-GB"/>
              </w:rPr>
              <w:t>9</w:t>
            </w:r>
          </w:p>
        </w:tc>
        <w:tc>
          <w:tcPr>
            <w:tcW w:w="0" w:type="auto"/>
            <w:shd w:val="clear" w:color="auto" w:fill="auto"/>
            <w:vAlign w:val="center"/>
          </w:tcPr>
          <w:p w14:paraId="12E447BD"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1.9%</w:t>
            </w:r>
          </w:p>
        </w:tc>
        <w:tc>
          <w:tcPr>
            <w:tcW w:w="0" w:type="auto"/>
            <w:shd w:val="clear" w:color="auto" w:fill="auto"/>
            <w:tcMar>
              <w:top w:w="72" w:type="dxa"/>
              <w:left w:w="144" w:type="dxa"/>
              <w:bottom w:w="72" w:type="dxa"/>
              <w:right w:w="144" w:type="dxa"/>
            </w:tcMar>
            <w:vAlign w:val="center"/>
            <w:hideMark/>
          </w:tcPr>
          <w:p w14:paraId="5AA0CC30"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75.0%</w:t>
            </w:r>
          </w:p>
        </w:tc>
        <w:tc>
          <w:tcPr>
            <w:tcW w:w="0" w:type="auto"/>
            <w:shd w:val="clear" w:color="auto" w:fill="auto"/>
            <w:tcMar>
              <w:top w:w="72" w:type="dxa"/>
              <w:left w:w="144" w:type="dxa"/>
              <w:bottom w:w="72" w:type="dxa"/>
              <w:right w:w="144" w:type="dxa"/>
            </w:tcMar>
            <w:vAlign w:val="center"/>
            <w:hideMark/>
          </w:tcPr>
          <w:p w14:paraId="65C645EC"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36.3%</w:t>
            </w:r>
          </w:p>
        </w:tc>
        <w:tc>
          <w:tcPr>
            <w:tcW w:w="0" w:type="auto"/>
            <w:shd w:val="clear" w:color="auto" w:fill="auto"/>
            <w:vAlign w:val="center"/>
          </w:tcPr>
          <w:p w14:paraId="02754B93"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w:t>
            </w:r>
          </w:p>
        </w:tc>
        <w:tc>
          <w:tcPr>
            <w:tcW w:w="0" w:type="auto"/>
            <w:shd w:val="clear" w:color="auto" w:fill="auto"/>
            <w:tcMar>
              <w:top w:w="72" w:type="dxa"/>
              <w:left w:w="144" w:type="dxa"/>
              <w:bottom w:w="72" w:type="dxa"/>
              <w:right w:w="144" w:type="dxa"/>
            </w:tcMar>
            <w:vAlign w:val="center"/>
            <w:hideMark/>
          </w:tcPr>
          <w:p w14:paraId="68E0FBE6"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tcMar>
              <w:top w:w="72" w:type="dxa"/>
              <w:left w:w="144" w:type="dxa"/>
              <w:bottom w:w="72" w:type="dxa"/>
              <w:right w:w="144" w:type="dxa"/>
            </w:tcMar>
            <w:vAlign w:val="center"/>
            <w:hideMark/>
          </w:tcPr>
          <w:p w14:paraId="1A2C9AEC"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2.5%</w:t>
            </w:r>
          </w:p>
        </w:tc>
        <w:tc>
          <w:tcPr>
            <w:tcW w:w="0" w:type="auto"/>
            <w:shd w:val="clear" w:color="auto" w:fill="auto"/>
            <w:vAlign w:val="center"/>
          </w:tcPr>
          <w:p w14:paraId="3C401D96"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0.0%</w:t>
            </w:r>
          </w:p>
        </w:tc>
        <w:tc>
          <w:tcPr>
            <w:tcW w:w="0" w:type="auto"/>
            <w:shd w:val="clear" w:color="auto" w:fill="auto"/>
            <w:vAlign w:val="center"/>
          </w:tcPr>
          <w:p w14:paraId="02BBD2C5"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vAlign w:val="center"/>
          </w:tcPr>
          <w:p w14:paraId="7A9189C8"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8.0%</w:t>
            </w:r>
          </w:p>
        </w:tc>
        <w:tc>
          <w:tcPr>
            <w:tcW w:w="0" w:type="auto"/>
            <w:shd w:val="clear" w:color="auto" w:fill="auto"/>
            <w:vAlign w:val="center"/>
          </w:tcPr>
          <w:p w14:paraId="3C5FC308"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0.0%</w:t>
            </w:r>
          </w:p>
        </w:tc>
        <w:tc>
          <w:tcPr>
            <w:tcW w:w="0" w:type="auto"/>
            <w:shd w:val="clear" w:color="auto" w:fill="auto"/>
            <w:vAlign w:val="center"/>
          </w:tcPr>
          <w:p w14:paraId="40C9E0C0"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vAlign w:val="center"/>
          </w:tcPr>
          <w:p w14:paraId="1BBFED3C"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0.0%</w:t>
            </w:r>
          </w:p>
        </w:tc>
      </w:tr>
      <w:tr w:rsidR="00F67557" w:rsidRPr="00B85D62" w14:paraId="20F75173" w14:textId="77777777" w:rsidTr="00B85D62">
        <w:trPr>
          <w:cantSplit/>
        </w:trPr>
        <w:tc>
          <w:tcPr>
            <w:tcW w:w="0" w:type="auto"/>
            <w:shd w:val="clear" w:color="auto" w:fill="auto"/>
            <w:tcMar>
              <w:top w:w="72" w:type="dxa"/>
              <w:left w:w="144" w:type="dxa"/>
              <w:bottom w:w="72" w:type="dxa"/>
              <w:right w:w="144" w:type="dxa"/>
            </w:tcMar>
            <w:vAlign w:val="center"/>
            <w:hideMark/>
          </w:tcPr>
          <w:p w14:paraId="7A8C5E37" w14:textId="6A4A82C5" w:rsidR="00F67557" w:rsidRPr="00B85D62" w:rsidRDefault="00F67557" w:rsidP="0066232B">
            <w:pPr>
              <w:jc w:val="right"/>
              <w:rPr>
                <w:rFonts w:cs="Arial"/>
                <w:color w:val="000000" w:themeColor="dark1"/>
                <w:kern w:val="24"/>
                <w:lang w:eastAsia="en-GB"/>
              </w:rPr>
            </w:pPr>
            <w:r w:rsidRPr="00B85D62">
              <w:rPr>
                <w:rFonts w:cs="Arial"/>
                <w:color w:val="000000" w:themeColor="dark1"/>
                <w:kern w:val="24"/>
                <w:lang w:eastAsia="en-GB"/>
              </w:rPr>
              <w:t>40</w:t>
            </w:r>
            <w:r w:rsidR="00B85D62" w:rsidRPr="00B85D62">
              <w:rPr>
                <w:rFonts w:cs="Arial"/>
                <w:color w:val="00B0F0"/>
                <w:kern w:val="24"/>
                <w:lang w:eastAsia="en-GB"/>
              </w:rPr>
              <w:t>–</w:t>
            </w:r>
            <w:r w:rsidR="00B85D62" w:rsidRPr="00B85D62">
              <w:rPr>
                <w:rFonts w:cs="Arial"/>
                <w:color w:val="00B0F0"/>
                <w:kern w:val="24"/>
                <w:lang w:eastAsia="en-GB"/>
              </w:rPr>
              <w:t>5</w:t>
            </w:r>
            <w:r w:rsidRPr="00B85D62">
              <w:rPr>
                <w:rFonts w:cs="Arial"/>
                <w:color w:val="000000" w:themeColor="dark1"/>
                <w:kern w:val="24"/>
                <w:lang w:eastAsia="en-GB"/>
              </w:rPr>
              <w:t>9</w:t>
            </w:r>
          </w:p>
        </w:tc>
        <w:tc>
          <w:tcPr>
            <w:tcW w:w="0" w:type="auto"/>
            <w:shd w:val="clear" w:color="auto" w:fill="auto"/>
            <w:vAlign w:val="center"/>
          </w:tcPr>
          <w:p w14:paraId="76076FDE"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13.3%</w:t>
            </w:r>
          </w:p>
        </w:tc>
        <w:tc>
          <w:tcPr>
            <w:tcW w:w="0" w:type="auto"/>
            <w:shd w:val="clear" w:color="auto" w:fill="auto"/>
            <w:tcMar>
              <w:top w:w="72" w:type="dxa"/>
              <w:left w:w="144" w:type="dxa"/>
              <w:bottom w:w="72" w:type="dxa"/>
              <w:right w:w="144" w:type="dxa"/>
            </w:tcMar>
            <w:vAlign w:val="center"/>
            <w:hideMark/>
          </w:tcPr>
          <w:p w14:paraId="165B9CA6"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91.7%</w:t>
            </w:r>
          </w:p>
        </w:tc>
        <w:tc>
          <w:tcPr>
            <w:tcW w:w="0" w:type="auto"/>
            <w:shd w:val="clear" w:color="auto" w:fill="auto"/>
            <w:tcMar>
              <w:top w:w="72" w:type="dxa"/>
              <w:left w:w="144" w:type="dxa"/>
              <w:bottom w:w="72" w:type="dxa"/>
              <w:right w:w="144" w:type="dxa"/>
            </w:tcMar>
            <w:vAlign w:val="center"/>
            <w:hideMark/>
          </w:tcPr>
          <w:p w14:paraId="53954FAA"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62.4%</w:t>
            </w:r>
          </w:p>
        </w:tc>
        <w:tc>
          <w:tcPr>
            <w:tcW w:w="0" w:type="auto"/>
            <w:shd w:val="clear" w:color="auto" w:fill="auto"/>
            <w:vAlign w:val="center"/>
          </w:tcPr>
          <w:p w14:paraId="221E11EA"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3.7%</w:t>
            </w:r>
          </w:p>
        </w:tc>
        <w:tc>
          <w:tcPr>
            <w:tcW w:w="0" w:type="auto"/>
            <w:shd w:val="clear" w:color="auto" w:fill="auto"/>
            <w:tcMar>
              <w:top w:w="72" w:type="dxa"/>
              <w:left w:w="144" w:type="dxa"/>
              <w:bottom w:w="72" w:type="dxa"/>
              <w:right w:w="144" w:type="dxa"/>
            </w:tcMar>
            <w:vAlign w:val="center"/>
            <w:hideMark/>
          </w:tcPr>
          <w:p w14:paraId="76A1F9B9"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w:t>
            </w:r>
          </w:p>
        </w:tc>
        <w:tc>
          <w:tcPr>
            <w:tcW w:w="0" w:type="auto"/>
            <w:shd w:val="clear" w:color="auto" w:fill="auto"/>
            <w:tcMar>
              <w:top w:w="72" w:type="dxa"/>
              <w:left w:w="144" w:type="dxa"/>
              <w:bottom w:w="72" w:type="dxa"/>
              <w:right w:w="144" w:type="dxa"/>
            </w:tcMar>
            <w:vAlign w:val="center"/>
            <w:hideMark/>
          </w:tcPr>
          <w:p w14:paraId="3EF6257E"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13.5%</w:t>
            </w:r>
          </w:p>
        </w:tc>
        <w:tc>
          <w:tcPr>
            <w:tcW w:w="0" w:type="auto"/>
            <w:shd w:val="clear" w:color="auto" w:fill="auto"/>
            <w:vAlign w:val="center"/>
          </w:tcPr>
          <w:p w14:paraId="04093336"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6.0%</w:t>
            </w:r>
          </w:p>
        </w:tc>
        <w:tc>
          <w:tcPr>
            <w:tcW w:w="0" w:type="auto"/>
            <w:shd w:val="clear" w:color="auto" w:fill="auto"/>
            <w:vAlign w:val="center"/>
          </w:tcPr>
          <w:p w14:paraId="6FFE4953"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vAlign w:val="center"/>
          </w:tcPr>
          <w:p w14:paraId="094FE386"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27.3%</w:t>
            </w:r>
          </w:p>
        </w:tc>
        <w:tc>
          <w:tcPr>
            <w:tcW w:w="0" w:type="auto"/>
            <w:shd w:val="clear" w:color="auto" w:fill="auto"/>
            <w:vAlign w:val="center"/>
          </w:tcPr>
          <w:p w14:paraId="58D85495"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5.3%</w:t>
            </w:r>
          </w:p>
        </w:tc>
        <w:tc>
          <w:tcPr>
            <w:tcW w:w="0" w:type="auto"/>
            <w:shd w:val="clear" w:color="auto" w:fill="auto"/>
            <w:vAlign w:val="center"/>
          </w:tcPr>
          <w:p w14:paraId="7E31CE36"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w:t>
            </w:r>
          </w:p>
        </w:tc>
        <w:tc>
          <w:tcPr>
            <w:tcW w:w="0" w:type="auto"/>
            <w:shd w:val="clear" w:color="auto" w:fill="auto"/>
            <w:vAlign w:val="center"/>
          </w:tcPr>
          <w:p w14:paraId="57C0F802"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0.0%</w:t>
            </w:r>
          </w:p>
        </w:tc>
      </w:tr>
      <w:tr w:rsidR="00F67557" w:rsidRPr="00B85D62" w14:paraId="1ACAAE42" w14:textId="77777777" w:rsidTr="00B85D62">
        <w:trPr>
          <w:cantSplit/>
        </w:trPr>
        <w:tc>
          <w:tcPr>
            <w:tcW w:w="0" w:type="auto"/>
            <w:shd w:val="clear" w:color="auto" w:fill="auto"/>
            <w:tcMar>
              <w:top w:w="72" w:type="dxa"/>
              <w:left w:w="144" w:type="dxa"/>
              <w:bottom w:w="72" w:type="dxa"/>
              <w:right w:w="144" w:type="dxa"/>
            </w:tcMar>
            <w:vAlign w:val="center"/>
            <w:hideMark/>
          </w:tcPr>
          <w:p w14:paraId="4AFC71C2" w14:textId="1B8C2EA0" w:rsidR="00F67557" w:rsidRPr="00B85D62" w:rsidRDefault="00F67557" w:rsidP="0066232B">
            <w:pPr>
              <w:jc w:val="right"/>
              <w:rPr>
                <w:rFonts w:cs="Arial"/>
                <w:color w:val="000000" w:themeColor="dark1"/>
                <w:kern w:val="24"/>
                <w:lang w:eastAsia="en-GB"/>
              </w:rPr>
            </w:pPr>
            <w:r w:rsidRPr="00B85D62">
              <w:rPr>
                <w:rFonts w:cs="Arial"/>
                <w:color w:val="000000" w:themeColor="dark1"/>
                <w:kern w:val="24"/>
                <w:lang w:eastAsia="en-GB"/>
              </w:rPr>
              <w:lastRenderedPageBreak/>
              <w:t>6</w:t>
            </w:r>
            <w:r w:rsidR="00B85D62" w:rsidRPr="00B85D62">
              <w:rPr>
                <w:rFonts w:cs="Arial"/>
                <w:color w:val="00B0F0"/>
                <w:kern w:val="24"/>
                <w:lang w:eastAsia="en-GB"/>
              </w:rPr>
              <w:t>0</w:t>
            </w:r>
            <w:r w:rsidR="00B85D62" w:rsidRPr="00B85D62">
              <w:rPr>
                <w:rFonts w:cs="Arial"/>
                <w:color w:val="00B0F0"/>
                <w:kern w:val="24"/>
                <w:lang w:eastAsia="en-GB"/>
              </w:rPr>
              <w:t> </w:t>
            </w:r>
            <w:r w:rsidR="00B85D62" w:rsidRPr="00B85D62">
              <w:rPr>
                <w:rFonts w:cs="Arial"/>
                <w:color w:val="00B0F0"/>
                <w:kern w:val="24"/>
                <w:lang w:eastAsia="en-GB"/>
              </w:rPr>
              <w:t>+</w:t>
            </w:r>
          </w:p>
        </w:tc>
        <w:tc>
          <w:tcPr>
            <w:tcW w:w="0" w:type="auto"/>
            <w:shd w:val="clear" w:color="auto" w:fill="auto"/>
            <w:vAlign w:val="center"/>
          </w:tcPr>
          <w:p w14:paraId="51A4F62B"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30.9%</w:t>
            </w:r>
          </w:p>
        </w:tc>
        <w:tc>
          <w:tcPr>
            <w:tcW w:w="0" w:type="auto"/>
            <w:shd w:val="clear" w:color="auto" w:fill="auto"/>
            <w:tcMar>
              <w:top w:w="72" w:type="dxa"/>
              <w:left w:w="144" w:type="dxa"/>
              <w:bottom w:w="72" w:type="dxa"/>
              <w:right w:w="144" w:type="dxa"/>
            </w:tcMar>
            <w:vAlign w:val="center"/>
            <w:hideMark/>
          </w:tcPr>
          <w:p w14:paraId="4084AF88"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83.3%</w:t>
            </w:r>
          </w:p>
        </w:tc>
        <w:tc>
          <w:tcPr>
            <w:tcW w:w="0" w:type="auto"/>
            <w:shd w:val="clear" w:color="auto" w:fill="auto"/>
            <w:tcMar>
              <w:top w:w="72" w:type="dxa"/>
              <w:left w:w="144" w:type="dxa"/>
              <w:bottom w:w="72" w:type="dxa"/>
              <w:right w:w="144" w:type="dxa"/>
            </w:tcMar>
            <w:vAlign w:val="center"/>
            <w:hideMark/>
          </w:tcPr>
          <w:p w14:paraId="3D4EBB10"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86.2%</w:t>
            </w:r>
          </w:p>
        </w:tc>
        <w:tc>
          <w:tcPr>
            <w:tcW w:w="0" w:type="auto"/>
            <w:shd w:val="clear" w:color="auto" w:fill="auto"/>
            <w:vAlign w:val="center"/>
          </w:tcPr>
          <w:p w14:paraId="106B39AB"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9.4%</w:t>
            </w:r>
          </w:p>
        </w:tc>
        <w:tc>
          <w:tcPr>
            <w:tcW w:w="0" w:type="auto"/>
            <w:shd w:val="clear" w:color="auto" w:fill="auto"/>
            <w:tcMar>
              <w:top w:w="72" w:type="dxa"/>
              <w:left w:w="144" w:type="dxa"/>
              <w:bottom w:w="72" w:type="dxa"/>
              <w:right w:w="144" w:type="dxa"/>
            </w:tcMar>
            <w:vAlign w:val="center"/>
            <w:hideMark/>
          </w:tcPr>
          <w:p w14:paraId="7C901B53"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100.0%</w:t>
            </w:r>
          </w:p>
        </w:tc>
        <w:tc>
          <w:tcPr>
            <w:tcW w:w="0" w:type="auto"/>
            <w:shd w:val="clear" w:color="auto" w:fill="auto"/>
            <w:tcMar>
              <w:top w:w="72" w:type="dxa"/>
              <w:left w:w="144" w:type="dxa"/>
              <w:bottom w:w="72" w:type="dxa"/>
              <w:right w:w="144" w:type="dxa"/>
            </w:tcMar>
            <w:vAlign w:val="center"/>
            <w:hideMark/>
          </w:tcPr>
          <w:p w14:paraId="3F7546EC"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31.0%</w:t>
            </w:r>
          </w:p>
        </w:tc>
        <w:tc>
          <w:tcPr>
            <w:tcW w:w="0" w:type="auto"/>
            <w:shd w:val="clear" w:color="auto" w:fill="auto"/>
            <w:vAlign w:val="center"/>
          </w:tcPr>
          <w:p w14:paraId="112EAAAC"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34.6%</w:t>
            </w:r>
          </w:p>
        </w:tc>
        <w:tc>
          <w:tcPr>
            <w:tcW w:w="0" w:type="auto"/>
            <w:shd w:val="clear" w:color="auto" w:fill="auto"/>
            <w:vAlign w:val="center"/>
          </w:tcPr>
          <w:p w14:paraId="46564148"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100.0%</w:t>
            </w:r>
          </w:p>
        </w:tc>
        <w:tc>
          <w:tcPr>
            <w:tcW w:w="0" w:type="auto"/>
            <w:shd w:val="clear" w:color="auto" w:fill="auto"/>
            <w:vAlign w:val="center"/>
          </w:tcPr>
          <w:p w14:paraId="761334DB"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50.0%</w:t>
            </w:r>
          </w:p>
        </w:tc>
        <w:tc>
          <w:tcPr>
            <w:tcW w:w="0" w:type="auto"/>
            <w:shd w:val="clear" w:color="auto" w:fill="auto"/>
            <w:vAlign w:val="center"/>
          </w:tcPr>
          <w:p w14:paraId="59DF9D42"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15.0%</w:t>
            </w:r>
          </w:p>
        </w:tc>
        <w:tc>
          <w:tcPr>
            <w:tcW w:w="0" w:type="auto"/>
            <w:shd w:val="clear" w:color="auto" w:fill="auto"/>
            <w:vAlign w:val="center"/>
          </w:tcPr>
          <w:p w14:paraId="72A0D5CC"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100.0%</w:t>
            </w:r>
          </w:p>
        </w:tc>
        <w:tc>
          <w:tcPr>
            <w:tcW w:w="0" w:type="auto"/>
            <w:shd w:val="clear" w:color="auto" w:fill="auto"/>
            <w:vAlign w:val="center"/>
          </w:tcPr>
          <w:p w14:paraId="1F36F7BC" w14:textId="77777777" w:rsidR="00F67557" w:rsidRPr="00B85D62" w:rsidRDefault="00F67557" w:rsidP="0066232B">
            <w:pPr>
              <w:jc w:val="center"/>
              <w:rPr>
                <w:rFonts w:cs="Arial"/>
                <w:color w:val="000000" w:themeColor="dark1"/>
                <w:kern w:val="24"/>
                <w:lang w:eastAsia="en-GB"/>
              </w:rPr>
            </w:pPr>
            <w:r w:rsidRPr="00B85D62">
              <w:rPr>
                <w:rFonts w:cs="Arial"/>
                <w:color w:val="000000" w:themeColor="dark1"/>
                <w:kern w:val="24"/>
                <w:lang w:eastAsia="en-GB"/>
              </w:rPr>
              <w:t>10.0%</w:t>
            </w:r>
          </w:p>
        </w:tc>
      </w:tr>
    </w:tbl>
    <w:p w14:paraId="57A06EF4" w14:textId="31BCC1C7" w:rsidR="004945A6" w:rsidRPr="00B85D62" w:rsidRDefault="00B85D62" w:rsidP="006C7E71">
      <w:pPr>
        <w:pStyle w:val="Heading3"/>
      </w:pPr>
      <w:r w:rsidRPr="00B85D62">
        <w:rPr>
          <w:szCs w:val="22"/>
        </w:rPr>
        <w:t xml:space="preserve"> </w:t>
      </w:r>
      <w:bookmarkStart w:id="203" w:name="_Toc107157487"/>
      <w:r w:rsidR="000731D6" w:rsidRPr="00B85D62">
        <w:t>Summary of Results and Study limitations</w:t>
      </w:r>
      <w:bookmarkEnd w:id="203"/>
    </w:p>
    <w:p w14:paraId="307CF938" w14:textId="224FA9E7" w:rsidR="00B85D62" w:rsidRPr="00B85D62" w:rsidRDefault="75DE676D" w:rsidP="00A54F5E">
      <w:pPr>
        <w:jc w:val="both"/>
        <w:rPr>
          <w:rFonts w:cs="Arial"/>
        </w:rPr>
      </w:pPr>
      <w:r w:rsidRPr="00B85D62">
        <w:rPr>
          <w:rFonts w:cs="Arial"/>
        </w:rPr>
        <w:t xml:space="preserve">This analysis has used </w:t>
      </w:r>
      <w:r w:rsidRPr="00B85D62">
        <w:rPr>
          <w:rFonts w:cs="Arial"/>
          <w:highlight w:val="magenta"/>
        </w:rPr>
        <w:t>data</w:t>
      </w:r>
      <w:r w:rsidRPr="00B85D62">
        <w:rPr>
          <w:rFonts w:cs="Arial"/>
        </w:rPr>
        <w:t xml:space="preserve"> from two of the largest FH cascade services in the UK and includes detailed patient-level records on 3,839 indexes and 14,951 linked relatives. Analysis of index cases indicated high yields of individuals with FH within both services with 21% of index</w:t>
      </w:r>
      <w:r w:rsidR="003823CB" w:rsidRPr="00B85D62">
        <w:rPr>
          <w:rFonts w:cs="Arial"/>
        </w:rPr>
        <w:t xml:space="preserve"> cas</w:t>
      </w:r>
      <w:r w:rsidRPr="00B85D62">
        <w:rPr>
          <w:rFonts w:cs="Arial"/>
        </w:rPr>
        <w:t xml:space="preserve">es testing positive for FH mutations in the Welsh service and 29% in the Wessex service. </w:t>
      </w:r>
      <w:r w:rsidR="00B85D62" w:rsidRPr="00B85D62">
        <w:rPr>
          <w:rFonts w:cs="Arial"/>
          <w:color w:val="00B0F0"/>
        </w:rPr>
        <w:t>Among</w:t>
      </w:r>
      <w:r w:rsidRPr="00B85D62">
        <w:rPr>
          <w:rFonts w:cs="Arial"/>
        </w:rPr>
        <w:t xml:space="preserve"> index</w:t>
      </w:r>
      <w:r w:rsidR="002E03A3" w:rsidRPr="00B85D62">
        <w:rPr>
          <w:rFonts w:cs="Arial"/>
        </w:rPr>
        <w:t xml:space="preserve"> cas</w:t>
      </w:r>
      <w:r w:rsidRPr="00B85D62">
        <w:rPr>
          <w:rFonts w:cs="Arial"/>
        </w:rPr>
        <w:t xml:space="preserve">es meeting the full criteria for genetic testing, rates of </w:t>
      </w:r>
      <w:r w:rsidR="11364873" w:rsidRPr="00B85D62">
        <w:rPr>
          <w:rFonts w:cs="Arial"/>
        </w:rPr>
        <w:t>FH</w:t>
      </w:r>
      <w:r w:rsidRPr="00B85D62">
        <w:rPr>
          <w:rFonts w:cs="Arial"/>
        </w:rPr>
        <w:t xml:space="preserve"> were even higher at 25</w:t>
      </w:r>
      <w:r w:rsidR="00B85D62" w:rsidRPr="00B85D62">
        <w:rPr>
          <w:rFonts w:cs="Arial"/>
          <w:color w:val="00B0F0"/>
        </w:rPr>
        <w:t>–</w:t>
      </w:r>
      <w:r w:rsidR="00B85D62" w:rsidRPr="00B85D62">
        <w:rPr>
          <w:rFonts w:cs="Arial"/>
          <w:color w:val="00B0F0"/>
        </w:rPr>
        <w:t>4</w:t>
      </w:r>
      <w:r w:rsidRPr="00B85D62">
        <w:rPr>
          <w:rFonts w:cs="Arial"/>
        </w:rPr>
        <w:t>0% (depending on scoring criteria used) for Wales, and 30% for Wessex.</w:t>
      </w:r>
    </w:p>
    <w:p w14:paraId="1B0EDA02" w14:textId="201AEA9B" w:rsidR="00B85D62" w:rsidRPr="00B85D62" w:rsidRDefault="75DE676D" w:rsidP="00A54F5E">
      <w:pPr>
        <w:jc w:val="both"/>
        <w:rPr>
          <w:rFonts w:cs="Arial"/>
        </w:rPr>
      </w:pPr>
      <w:r w:rsidRPr="00B85D62">
        <w:rPr>
          <w:rFonts w:cs="Arial"/>
        </w:rPr>
        <w:t xml:space="preserve">In line with previous studies </w:t>
      </w:r>
      <w:r w:rsidR="00C35B5E" w:rsidRPr="00B85D62">
        <w:rPr>
          <w:rFonts w:cs="Arial"/>
          <w:noProof/>
          <w:color w:val="2B579A"/>
          <w:shd w:val="clear" w:color="auto" w:fill="E6E6E6"/>
          <w:vertAlign w:val="superscript"/>
        </w:rPr>
        <w:t>10, 136</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38</w:t>
      </w:r>
      <w:r w:rsidRPr="00B85D62">
        <w:rPr>
          <w:rFonts w:cs="Arial"/>
        </w:rPr>
        <w:t>, we found a strong relationship between the stringency of thresholds used to select index</w:t>
      </w:r>
      <w:r w:rsidR="5025457D" w:rsidRPr="00B85D62">
        <w:rPr>
          <w:rFonts w:cs="Arial"/>
        </w:rPr>
        <w:t xml:space="preserve"> cas</w:t>
      </w:r>
      <w:r w:rsidRPr="00B85D62">
        <w:rPr>
          <w:rFonts w:cs="Arial"/>
        </w:rPr>
        <w:t xml:space="preserve">es for genetic testing and the likelihood an individual carries </w:t>
      </w:r>
      <w:r w:rsidRPr="00B85D62">
        <w:rPr>
          <w:rFonts w:cs="Arial"/>
          <w:highlight w:val="magenta"/>
        </w:rPr>
        <w:t>an F</w:t>
      </w:r>
      <w:r w:rsidRPr="00B85D62">
        <w:rPr>
          <w:rFonts w:cs="Arial"/>
        </w:rPr>
        <w:t xml:space="preserve">H mutation. Increasing or decreasing the threshold used to inform which indexes are eligible for genetic testing will have implications for the number of individuals correctly identified as FH and the number of individuals requiring genetic testing. The cost-effectiveness of alternative thresholds is evaluated in </w:t>
      </w:r>
      <w:r w:rsidR="04981661" w:rsidRPr="00B85D62">
        <w:rPr>
          <w:rFonts w:cs="Arial"/>
        </w:rPr>
        <w:t xml:space="preserve">Section </w:t>
      </w:r>
      <w:r w:rsidR="003823CB" w:rsidRPr="00B85D62">
        <w:rPr>
          <w:rFonts w:cs="Arial"/>
        </w:rPr>
        <w:t>8</w:t>
      </w:r>
      <w:r w:rsidR="04981661" w:rsidRPr="00B85D62">
        <w:rPr>
          <w:rFonts w:cs="Arial"/>
        </w:rPr>
        <w:t>.5</w:t>
      </w:r>
      <w:r w:rsidR="009B04EE" w:rsidRPr="00B85D62">
        <w:rPr>
          <w:rFonts w:cs="Arial"/>
        </w:rPr>
        <w:t>.</w:t>
      </w:r>
    </w:p>
    <w:p w14:paraId="3B2BE6C0" w14:textId="244D0301" w:rsidR="00B85D62" w:rsidRPr="00B85D62" w:rsidRDefault="75DE676D" w:rsidP="00A54F5E">
      <w:pPr>
        <w:jc w:val="both"/>
        <w:rPr>
          <w:rFonts w:cs="Arial"/>
        </w:rPr>
      </w:pPr>
      <w:r w:rsidRPr="00B85D62">
        <w:rPr>
          <w:rFonts w:cs="Arial"/>
        </w:rPr>
        <w:t>Detailed analysis of the linked relatives shows that 25%</w:t>
      </w:r>
      <w:r w:rsidR="00B85D62" w:rsidRPr="00B85D62">
        <w:rPr>
          <w:rFonts w:cs="Arial"/>
          <w:color w:val="00B0F0"/>
        </w:rPr>
        <w:t>–</w:t>
      </w:r>
      <w:r w:rsidR="00B85D62" w:rsidRPr="00B85D62">
        <w:rPr>
          <w:rFonts w:cs="Arial"/>
          <w:color w:val="00B0F0"/>
        </w:rPr>
        <w:t>2</w:t>
      </w:r>
      <w:r w:rsidRPr="00B85D62">
        <w:rPr>
          <w:rFonts w:cs="Arial"/>
        </w:rPr>
        <w:t xml:space="preserve">9% of individuals who could potentially be contacted for cascade testing live outside of the geographical area covered by the cascade service. For these individuals the lack of a nationally co-ordinated service may prevent access to appropriate diagnosis and management, and </w:t>
      </w:r>
      <w:r w:rsidRPr="00B85D62">
        <w:rPr>
          <w:rFonts w:cs="Arial"/>
          <w:highlight w:val="magenta"/>
        </w:rPr>
        <w:t>lead</w:t>
      </w:r>
      <w:r w:rsidRPr="00B85D62">
        <w:rPr>
          <w:rFonts w:cs="Arial"/>
        </w:rPr>
        <w:t xml:space="preserve"> to the duplicat</w:t>
      </w:r>
      <w:r w:rsidR="18A549AF" w:rsidRPr="00B85D62">
        <w:rPr>
          <w:rFonts w:cs="Arial"/>
        </w:rPr>
        <w:t>e</w:t>
      </w:r>
      <w:r w:rsidRPr="00B85D62">
        <w:rPr>
          <w:rFonts w:cs="Arial"/>
        </w:rPr>
        <w:t xml:space="preserve"> genetic testing. </w:t>
      </w:r>
      <w:r w:rsidR="370C8154" w:rsidRPr="00B85D62">
        <w:rPr>
          <w:rFonts w:cs="Arial"/>
        </w:rPr>
        <w:t xml:space="preserve">Section </w:t>
      </w:r>
      <w:r w:rsidR="003823CB" w:rsidRPr="00B85D62">
        <w:rPr>
          <w:rFonts w:cs="Arial"/>
        </w:rPr>
        <w:t>8</w:t>
      </w:r>
      <w:r w:rsidR="370C8154" w:rsidRPr="00B85D62">
        <w:rPr>
          <w:rFonts w:cs="Arial"/>
        </w:rPr>
        <w:t>.5</w:t>
      </w:r>
      <w:r w:rsidRPr="00B85D62">
        <w:rPr>
          <w:rFonts w:cs="Arial"/>
        </w:rPr>
        <w:t xml:space="preserve"> uses this information to assess the potential for a co-ordinated national service to improve the cost-effectiveness of cascade testing.</w:t>
      </w:r>
    </w:p>
    <w:p w14:paraId="1C9DE880" w14:textId="77777777" w:rsidR="00B85D62" w:rsidRPr="00B85D62" w:rsidRDefault="009E34A2" w:rsidP="00A54F5E">
      <w:pPr>
        <w:jc w:val="both"/>
      </w:pPr>
      <w:r w:rsidRPr="00B85D62">
        <w:t xml:space="preserve">As shown by the systematic review in Section 5.1, there is very limited </w:t>
      </w:r>
      <w:r w:rsidRPr="00B85D62">
        <w:rPr>
          <w:highlight w:val="magenta"/>
        </w:rPr>
        <w:t>data</w:t>
      </w:r>
      <w:r w:rsidRPr="00B85D62">
        <w:t xml:space="preserve"> available to inform the preferred approach to contacting relatives. The available studies are not comparative in nature and attempting to make inferences across studies is hampered by heterogeneity. The analysis of the Welsh </w:t>
      </w:r>
      <w:r w:rsidRPr="00B85D62">
        <w:rPr>
          <w:highlight w:val="magenta"/>
        </w:rPr>
        <w:t>data</w:t>
      </w:r>
      <w:r w:rsidRPr="00B85D62">
        <w:t xml:space="preserve"> represents the first available within-service comparison of direct and indirect contact. This analysis shows that that direct contact by the service rather than contact indirectly via family members is associated with a significantly higher probability that an individual will complete the cascade process. The cost-effectiveness of direct and indirect contact methods is evaluated in Section </w:t>
      </w:r>
      <w:r w:rsidR="003823CB" w:rsidRPr="00B85D62">
        <w:t>8</w:t>
      </w:r>
      <w:r w:rsidRPr="00B85D62">
        <w:t xml:space="preserve">.5. We also show that the probability of completing the cascade is significantly lower in men and in more distant relatives (second- or higher-degree), though the </w:t>
      </w:r>
      <w:r w:rsidRPr="00B85D62">
        <w:rPr>
          <w:highlight w:val="magenta"/>
        </w:rPr>
        <w:t>latter</w:t>
      </w:r>
      <w:r w:rsidRPr="00B85D62">
        <w:t xml:space="preserve"> effect was only observed in Wales. Policy measures to enhance engagement in these groups are therefore warranted. Results were not comparable between services given fundamental differences in demography and relevant contextual factors.</w:t>
      </w:r>
    </w:p>
    <w:p w14:paraId="55BAEA21" w14:textId="77777777" w:rsidR="00B85D62" w:rsidRPr="00B85D62" w:rsidRDefault="75DE676D" w:rsidP="00A54F5E">
      <w:pPr>
        <w:jc w:val="both"/>
        <w:rPr>
          <w:rFonts w:cs="Arial"/>
        </w:rPr>
      </w:pPr>
      <w:r w:rsidRPr="00B85D62">
        <w:rPr>
          <w:rFonts w:cs="Arial"/>
        </w:rPr>
        <w:t>We also identified a significant group of relatives who are within-area but not contacted by the service.</w:t>
      </w:r>
      <w:r w:rsidR="0008145B" w:rsidRPr="00B85D62">
        <w:t xml:space="preserve"> </w:t>
      </w:r>
      <w:r w:rsidR="0008145B" w:rsidRPr="00B85D62">
        <w:rPr>
          <w:rFonts w:cs="Arial"/>
        </w:rPr>
        <w:t xml:space="preserve">Detailed information on why these individuals were not contacted were not available from PASS and remains an important priority for future research and </w:t>
      </w:r>
      <w:r w:rsidR="0008145B" w:rsidRPr="00B85D62">
        <w:rPr>
          <w:rFonts w:cs="Arial"/>
          <w:highlight w:val="magenta"/>
        </w:rPr>
        <w:t>data</w:t>
      </w:r>
      <w:r w:rsidR="0008145B" w:rsidRPr="00B85D62">
        <w:rPr>
          <w:rFonts w:cs="Arial"/>
        </w:rPr>
        <w:t xml:space="preserve"> collection.</w:t>
      </w:r>
    </w:p>
    <w:p w14:paraId="7A6882C0" w14:textId="77777777" w:rsidR="00B85D62" w:rsidRPr="00B85D62" w:rsidRDefault="75DE676D" w:rsidP="00A54F5E">
      <w:pPr>
        <w:rPr>
          <w:rFonts w:cs="Arial"/>
        </w:rPr>
      </w:pPr>
      <w:r w:rsidRPr="00B85D62">
        <w:rPr>
          <w:rFonts w:cs="Arial"/>
        </w:rPr>
        <w:t>The strengths of this study lie</w:t>
      </w:r>
      <w:r w:rsidR="002E03A3" w:rsidRPr="00B85D62">
        <w:rPr>
          <w:rFonts w:cs="Arial"/>
        </w:rPr>
        <w:t>s</w:t>
      </w:r>
      <w:r w:rsidRPr="00B85D62">
        <w:rPr>
          <w:rFonts w:cs="Arial"/>
        </w:rPr>
        <w:t xml:space="preserve"> in the large available sample size, the direct derivation of the </w:t>
      </w:r>
      <w:r w:rsidRPr="00B85D62">
        <w:rPr>
          <w:rFonts w:cs="Arial"/>
          <w:highlight w:val="magenta"/>
        </w:rPr>
        <w:t>data</w:t>
      </w:r>
      <w:r w:rsidRPr="00B85D62">
        <w:rPr>
          <w:rFonts w:cs="Arial"/>
        </w:rPr>
        <w:t xml:space="preserve"> from two services, and the availability of specialist FH nurse input to support the development of additional variables (e.g., by recoding free text fields within PAS</w:t>
      </w:r>
      <w:r w:rsidR="69655C1B" w:rsidRPr="00B85D62">
        <w:rPr>
          <w:rFonts w:cs="Arial"/>
        </w:rPr>
        <w:t>S</w:t>
      </w:r>
      <w:r w:rsidRPr="00B85D62">
        <w:rPr>
          <w:rFonts w:cs="Arial"/>
        </w:rPr>
        <w:t xml:space="preserve">) and provide a detailed understanding of the </w:t>
      </w:r>
      <w:r w:rsidRPr="00B85D62">
        <w:rPr>
          <w:rFonts w:cs="Arial"/>
          <w:highlight w:val="magenta"/>
        </w:rPr>
        <w:t>data</w:t>
      </w:r>
      <w:r w:rsidRPr="00B85D62">
        <w:rPr>
          <w:rFonts w:cs="Arial"/>
        </w:rPr>
        <w:t>.</w:t>
      </w:r>
    </w:p>
    <w:p w14:paraId="55CAB27B" w14:textId="1015B88D" w:rsidR="00B85D62" w:rsidRPr="00B85D62" w:rsidRDefault="75DE676D" w:rsidP="00A54F5E">
      <w:pPr>
        <w:rPr>
          <w:rFonts w:cs="Arial"/>
        </w:rPr>
      </w:pPr>
      <w:bookmarkStart w:id="204" w:name="_Hlk73447208"/>
      <w:r w:rsidRPr="00B85D62">
        <w:rPr>
          <w:rFonts w:cs="Arial"/>
        </w:rPr>
        <w:t xml:space="preserve">The limitations of the study relate to its observational nature, the levels of missingness and generalisability for some variables. The assessment of unmodified Simon Broome in Wessex reduced the representativeness of our findings to the Wessex service. </w:t>
      </w:r>
      <w:bookmarkEnd w:id="204"/>
      <w:r w:rsidRPr="00B85D62">
        <w:rPr>
          <w:rFonts w:cs="Arial"/>
        </w:rPr>
        <w:t xml:space="preserve">For the comparison of direct and indirect contact methods, we were able to adjust for the degree of relative and relative gender, but other confounding factors that are difficult to measure are also likely to be present. For example, age has been identified as a predictor of cascade success in previous work </w:t>
      </w:r>
      <w:r w:rsidR="00F80015" w:rsidRPr="00B85D62">
        <w:rPr>
          <w:rFonts w:cs="Arial"/>
          <w:noProof/>
          <w:vertAlign w:val="superscript"/>
        </w:rPr>
        <w:t>42</w:t>
      </w:r>
      <w:r w:rsidRPr="00B85D62">
        <w:rPr>
          <w:rFonts w:cs="Arial"/>
        </w:rPr>
        <w:t xml:space="preserve">, however our analysis failed to include age as a predictor </w:t>
      </w:r>
      <w:r w:rsidRPr="00B85D62">
        <w:rPr>
          <w:rFonts w:cs="Arial"/>
          <w:highlight w:val="magenta"/>
        </w:rPr>
        <w:t>due to</w:t>
      </w:r>
      <w:r w:rsidRPr="00B85D62">
        <w:rPr>
          <w:rFonts w:cs="Arial"/>
        </w:rPr>
        <w:t xml:space="preserve"> missingness. As the choice of contact method was made on a case-by-case basis, the indirect method may have been used more frequently in cases where direct contact was challenging </w:t>
      </w:r>
      <w:r w:rsidRPr="00B85D62">
        <w:rPr>
          <w:rFonts w:cs="Arial"/>
          <w:highlight w:val="magenta"/>
        </w:rPr>
        <w:t>due to</w:t>
      </w:r>
      <w:r w:rsidRPr="00B85D62">
        <w:rPr>
          <w:rFonts w:cs="Arial"/>
        </w:rPr>
        <w:t xml:space="preserve"> a lack of information and engagement </w:t>
      </w:r>
      <w:r w:rsidR="41040A38" w:rsidRPr="00B85D62">
        <w:rPr>
          <w:rFonts w:cs="Arial"/>
        </w:rPr>
        <w:t>with the family</w:t>
      </w:r>
      <w:r w:rsidRPr="00B85D62">
        <w:rPr>
          <w:rFonts w:cs="Arial"/>
        </w:rPr>
        <w:t xml:space="preserve">. This would exert a </w:t>
      </w:r>
      <w:r w:rsidR="00B85D62" w:rsidRPr="00B85D62">
        <w:rPr>
          <w:rFonts w:cs="Arial"/>
          <w:color w:val="00B0F0"/>
        </w:rPr>
        <w:t>downwards</w:t>
      </w:r>
      <w:r w:rsidRPr="00B85D62">
        <w:rPr>
          <w:rFonts w:cs="Arial"/>
        </w:rPr>
        <w:t xml:space="preserve"> bias in our estimates of completion for indirectly contacted relatives. However, it is also likely that some indirect contacts which did not </w:t>
      </w:r>
      <w:r w:rsidRPr="00B85D62">
        <w:rPr>
          <w:rFonts w:cs="Arial"/>
          <w:highlight w:val="magenta"/>
        </w:rPr>
        <w:t>lead</w:t>
      </w:r>
      <w:r w:rsidRPr="00B85D62">
        <w:rPr>
          <w:rFonts w:cs="Arial"/>
        </w:rPr>
        <w:t xml:space="preserve"> to further interaction with the service went unrecorded. This would exert an </w:t>
      </w:r>
      <w:r w:rsidR="00B85D62" w:rsidRPr="00B85D62">
        <w:rPr>
          <w:rFonts w:cs="Arial"/>
          <w:color w:val="00B0F0"/>
        </w:rPr>
        <w:t>upwards</w:t>
      </w:r>
      <w:r w:rsidRPr="00B85D62">
        <w:rPr>
          <w:rFonts w:cs="Arial"/>
        </w:rPr>
        <w:t xml:space="preserve"> bias in our estimates of completion for indirectly contacted relatives.</w:t>
      </w:r>
    </w:p>
    <w:p w14:paraId="720D3D57" w14:textId="77777777" w:rsidR="00B85D62" w:rsidRPr="00B85D62" w:rsidRDefault="75DE676D" w:rsidP="006C7E71">
      <w:pPr>
        <w:pStyle w:val="Heading2"/>
      </w:pPr>
      <w:r w:rsidRPr="00B85D62">
        <w:t>All analyses were conducted on a complete case basis, this may have resulted in biases if the complete cases are not representative of the patients diagnosed by the services. This bias is likely to be particularly acute for the analysis of the characteristics of those who completed the cascade. For this group, CV</w:t>
      </w:r>
      <w:r w:rsidR="500E7A9D" w:rsidRPr="00B85D62">
        <w:t>D</w:t>
      </w:r>
      <w:r w:rsidRPr="00B85D62">
        <w:t xml:space="preserve"> history and LLT history were missing for a substantive proportion of patients. This is an important consideration as these results may have significant influence on the results of the cost-effectiveness analysis. </w:t>
      </w:r>
      <w:r w:rsidR="00B85D62" w:rsidRPr="00B85D62">
        <w:rPr>
          <w:b w:val="0"/>
          <w:highlight w:val="green"/>
        </w:rPr>
        <w:t xml:space="preserve">  </w:t>
      </w:r>
      <w:bookmarkStart w:id="205" w:name="_Toc107157488"/>
      <w:r w:rsidR="5180D632" w:rsidRPr="00B85D62">
        <w:t>Cost and health benefits of diagnosis of people with familial hypercholesterolaemia in the long term</w:t>
      </w:r>
      <w:bookmarkEnd w:id="205"/>
    </w:p>
    <w:p w14:paraId="122B4845" w14:textId="2F913E3C" w:rsidR="003250C1" w:rsidRPr="00B85D62" w:rsidRDefault="003250C1" w:rsidP="006C7E71">
      <w:pPr>
        <w:pStyle w:val="Heading3"/>
      </w:pPr>
      <w:bookmarkStart w:id="206" w:name="_Toc107157489"/>
      <w:r w:rsidRPr="00B85D62">
        <w:t>Introduction</w:t>
      </w:r>
      <w:bookmarkEnd w:id="206"/>
    </w:p>
    <w:p w14:paraId="6C0835F7" w14:textId="3897B43C" w:rsidR="00B85D62" w:rsidRPr="00B85D62" w:rsidRDefault="003250C1" w:rsidP="0066232B">
      <w:pPr>
        <w:rPr>
          <w:rFonts w:cs="Arial"/>
        </w:rPr>
      </w:pPr>
      <w:r w:rsidRPr="00B85D62">
        <w:rPr>
          <w:rFonts w:cs="Arial"/>
        </w:rPr>
        <w:t xml:space="preserve">There is widespread consensus that people with FH should be diagnosed and treated early, given that treatment is effective, safe, cost-effective, and inexpensive </w:t>
      </w:r>
      <w:r w:rsidR="00C35B5E" w:rsidRPr="00B85D62">
        <w:rPr>
          <w:rFonts w:cs="Arial"/>
          <w:noProof/>
          <w:color w:val="2B579A"/>
          <w:shd w:val="clear" w:color="auto" w:fill="E6E6E6"/>
          <w:vertAlign w:val="superscript"/>
        </w:rPr>
        <w:t>9, 26, 131, 139</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41</w:t>
      </w:r>
      <w:r w:rsidRPr="00B85D62">
        <w:rPr>
          <w:rFonts w:cs="Arial"/>
        </w:rPr>
        <w:t xml:space="preserve">. However, the magnitude of health losses and costs </w:t>
      </w:r>
      <w:r w:rsidRPr="00B85D62">
        <w:rPr>
          <w:rFonts w:cs="Arial"/>
          <w:highlight w:val="magenta"/>
        </w:rPr>
        <w:t>due to</w:t>
      </w:r>
      <w:r w:rsidRPr="00B85D62">
        <w:rPr>
          <w:rFonts w:cs="Arial"/>
        </w:rPr>
        <w:t xml:space="preserve"> underdiagnosis, and the magnitude of the benefits from diagnosis and treatment, have had relatively little attention. The cost-effectiveness of diagnosis and treatment has been investigated mainly in the context of cascade testing </w:t>
      </w:r>
      <w:r w:rsidR="00C35B5E" w:rsidRPr="00B85D62">
        <w:rPr>
          <w:rFonts w:cs="Arial"/>
          <w:noProof/>
          <w:color w:val="2B579A"/>
          <w:shd w:val="clear" w:color="auto" w:fill="E6E6E6"/>
          <w:vertAlign w:val="superscript"/>
        </w:rPr>
        <w:t>11</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3, 26, 118, 140</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44</w:t>
      </w:r>
      <w:r w:rsidRPr="00B85D62">
        <w:rPr>
          <w:rFonts w:cs="Arial"/>
        </w:rPr>
        <w:t xml:space="preserve">. Most studies predicted </w:t>
      </w:r>
      <w:r w:rsidR="00736E0B" w:rsidRPr="00B85D62">
        <w:rPr>
          <w:rFonts w:cs="Arial"/>
        </w:rPr>
        <w:t xml:space="preserve">cardiovascular </w:t>
      </w:r>
      <w:r w:rsidRPr="00B85D62">
        <w:rPr>
          <w:rFonts w:cs="Arial"/>
        </w:rPr>
        <w:t xml:space="preserve">risk based on </w:t>
      </w:r>
      <w:r w:rsidRPr="00B85D62">
        <w:rPr>
          <w:rFonts w:cs="Arial"/>
          <w:highlight w:val="magenta"/>
        </w:rPr>
        <w:t>data</w:t>
      </w:r>
      <w:r w:rsidRPr="00B85D62">
        <w:rPr>
          <w:rFonts w:cs="Arial"/>
        </w:rPr>
        <w:t xml:space="preserve"> from the general population, adjusted upwards to reflect the increased risk of people with FH, did not consider the impact of prognostic risk factors on </w:t>
      </w:r>
      <w:r w:rsidR="00736E0B" w:rsidRPr="00B85D62">
        <w:rPr>
          <w:rFonts w:cs="Arial"/>
        </w:rPr>
        <w:t xml:space="preserve">cardiovascular </w:t>
      </w:r>
      <w:r w:rsidRPr="00B85D62">
        <w:rPr>
          <w:rFonts w:cs="Arial"/>
        </w:rPr>
        <w:t xml:space="preserve">risk or the increased effect on </w:t>
      </w:r>
      <w:r w:rsidR="00736E0B" w:rsidRPr="00B85D62">
        <w:rPr>
          <w:rFonts w:cs="Arial"/>
        </w:rPr>
        <w:t xml:space="preserve">cardiovascular </w:t>
      </w:r>
      <w:r w:rsidRPr="00B85D62">
        <w:rPr>
          <w:rFonts w:cs="Arial"/>
        </w:rPr>
        <w:t xml:space="preserve">risk of exposure to LDL-C over time (known as </w:t>
      </w:r>
      <w:r w:rsidR="00B85D62" w:rsidRPr="00B85D62">
        <w:rPr>
          <w:rFonts w:cs="Arial"/>
        </w:rPr>
        <w:t>‘</w:t>
      </w:r>
      <w:r w:rsidRPr="00B85D62">
        <w:rPr>
          <w:rFonts w:cs="Arial"/>
        </w:rPr>
        <w:t>LDL-C burden</w:t>
      </w:r>
      <w:r w:rsidR="00B85D62" w:rsidRPr="00B85D62">
        <w:rPr>
          <w:rFonts w:cs="Arial"/>
        </w:rPr>
        <w:t>’</w:t>
      </w:r>
      <w:r w:rsidRPr="00B85D62">
        <w:rPr>
          <w:rFonts w:cs="Arial"/>
        </w:rPr>
        <w:t>). The exception is Ademi</w:t>
      </w:r>
      <w:r w:rsidRPr="00B85D62">
        <w:rPr>
          <w:rFonts w:cs="Arial"/>
          <w:i/>
          <w:color w:val="00B0F0"/>
        </w:rPr>
        <w:t xml:space="preserve"> et al</w:t>
      </w:r>
      <w:r w:rsidRPr="00B85D62">
        <w:rPr>
          <w:rFonts w:cs="Arial"/>
        </w:rPr>
        <w:t xml:space="preserve"> </w:t>
      </w:r>
      <w:r w:rsidR="00C35B5E" w:rsidRPr="00B85D62">
        <w:rPr>
          <w:rFonts w:cs="Arial"/>
          <w:noProof/>
          <w:color w:val="2B579A"/>
          <w:shd w:val="clear" w:color="auto" w:fill="E6E6E6"/>
          <w:vertAlign w:val="superscript"/>
        </w:rPr>
        <w:t>141</w:t>
      </w:r>
      <w:r w:rsidRPr="00B85D62">
        <w:rPr>
          <w:rFonts w:cs="Arial"/>
        </w:rPr>
        <w:t xml:space="preserve">, a cost-effectiveness analysis which compared screening and treatment at 10 years to no screening in the Australian setting, which used historical </w:t>
      </w:r>
      <w:r w:rsidRPr="00B85D62">
        <w:rPr>
          <w:rFonts w:cs="Arial"/>
          <w:highlight w:val="magenta"/>
        </w:rPr>
        <w:t>data</w:t>
      </w:r>
      <w:r w:rsidRPr="00B85D62">
        <w:rPr>
          <w:rFonts w:cs="Arial"/>
        </w:rPr>
        <w:t xml:space="preserve"> from FH people and accounted for LDL-C burden. However, in Ademi</w:t>
      </w:r>
      <w:r w:rsidRPr="00B85D62">
        <w:rPr>
          <w:rFonts w:cs="Arial"/>
          <w:i/>
          <w:color w:val="00B0F0"/>
        </w:rPr>
        <w:t xml:space="preserve"> et al</w:t>
      </w:r>
      <w:r w:rsidRPr="00B85D62">
        <w:rPr>
          <w:rFonts w:cs="Arial"/>
        </w:rPr>
        <w:t xml:space="preserve"> </w:t>
      </w:r>
      <w:r w:rsidR="00C35B5E" w:rsidRPr="00B85D62">
        <w:rPr>
          <w:rFonts w:cs="Arial"/>
          <w:noProof/>
          <w:color w:val="2B579A"/>
          <w:shd w:val="clear" w:color="auto" w:fill="E6E6E6"/>
          <w:vertAlign w:val="superscript"/>
        </w:rPr>
        <w:t>141</w:t>
      </w:r>
      <w:r w:rsidRPr="00B85D62">
        <w:rPr>
          <w:rFonts w:cs="Arial"/>
        </w:rPr>
        <w:t xml:space="preserve">, </w:t>
      </w:r>
      <w:r w:rsidR="00665340" w:rsidRPr="00B85D62">
        <w:rPr>
          <w:rFonts w:cs="Arial"/>
        </w:rPr>
        <w:t xml:space="preserve">cardiovascular </w:t>
      </w:r>
      <w:r w:rsidRPr="00B85D62">
        <w:rPr>
          <w:rFonts w:cs="Arial"/>
        </w:rPr>
        <w:t>risk depended only on age and results were presented for the entire individual population without exploring differences by prognostic factors.</w:t>
      </w:r>
    </w:p>
    <w:p w14:paraId="55CD91A8" w14:textId="5EB3D5BC" w:rsidR="00B85D62" w:rsidRPr="00B85D62" w:rsidRDefault="29556E7B" w:rsidP="0066232B">
      <w:pPr>
        <w:rPr>
          <w:rFonts w:cs="Arial"/>
        </w:rPr>
      </w:pPr>
      <w:r w:rsidRPr="00B85D62">
        <w:rPr>
          <w:rFonts w:cs="Arial"/>
        </w:rPr>
        <w:t xml:space="preserve">Our decision model is unique in that it uses </w:t>
      </w:r>
      <w:r w:rsidRPr="00B85D62">
        <w:rPr>
          <w:rFonts w:cs="Arial"/>
          <w:highlight w:val="magenta"/>
        </w:rPr>
        <w:t>data</w:t>
      </w:r>
      <w:r w:rsidRPr="00B85D62">
        <w:rPr>
          <w:rFonts w:cs="Arial"/>
        </w:rPr>
        <w:t xml:space="preserve"> from UK people with FH (CPRD cohort), considers LDL-C burden </w:t>
      </w:r>
      <w:r w:rsidR="00F80015" w:rsidRPr="00B85D62">
        <w:rPr>
          <w:rFonts w:cs="Arial"/>
          <w:noProof/>
          <w:vertAlign w:val="superscript"/>
        </w:rPr>
        <w:t>17</w:t>
      </w:r>
      <w:r w:rsidRPr="00B85D62">
        <w:rPr>
          <w:rFonts w:cs="Arial"/>
        </w:rPr>
        <w:t xml:space="preserve">, and accounts for the impact of prognostic factors on lifetime risk of </w:t>
      </w:r>
      <w:r w:rsidR="00665340" w:rsidRPr="00B85D62">
        <w:rPr>
          <w:rFonts w:cs="Arial"/>
        </w:rPr>
        <w:t xml:space="preserve">cardiovascular </w:t>
      </w:r>
      <w:r w:rsidRPr="00B85D62">
        <w:rPr>
          <w:rFonts w:cs="Arial"/>
        </w:rPr>
        <w:t>events, hence both on the benefits of treatment and the outcomes of diagnosis. A model was required because the CPRD cohort comprised diagnosed people who were on LLT, included few younger people, the follow-up did not span to individuals</w:t>
      </w:r>
      <w:r w:rsidR="00B85D62" w:rsidRPr="00B85D62">
        <w:rPr>
          <w:rFonts w:cs="Arial"/>
        </w:rPr>
        <w:t>’</w:t>
      </w:r>
      <w:r w:rsidRPr="00B85D62">
        <w:rPr>
          <w:rFonts w:cs="Arial"/>
        </w:rPr>
        <w:t xml:space="preserve"> expected lifetime, and there was no information on health-related quality of life over time.</w:t>
      </w:r>
    </w:p>
    <w:p w14:paraId="6ED79DDD" w14:textId="77777777" w:rsidR="00B85D62" w:rsidRPr="00B85D62" w:rsidRDefault="29556E7B" w:rsidP="0066232B">
      <w:pPr>
        <w:rPr>
          <w:rFonts w:cs="Arial"/>
        </w:rPr>
      </w:pPr>
      <w:r w:rsidRPr="00B85D62">
        <w:rPr>
          <w:rFonts w:cs="Arial"/>
        </w:rPr>
        <w:t xml:space="preserve">The objective was to estimate the health benefits and healthcare costs of diagnosis and treatment, </w:t>
      </w:r>
      <w:r w:rsidRPr="00B85D62">
        <w:rPr>
          <w:rFonts w:cs="Arial"/>
          <w:highlight w:val="magenta"/>
        </w:rPr>
        <w:t>compared to</w:t>
      </w:r>
      <w:r w:rsidRPr="00B85D62">
        <w:rPr>
          <w:rFonts w:cs="Arial"/>
        </w:rPr>
        <w:t xml:space="preserve"> no diagnosis (and no treatment), to inform the cost-effectiveness analysis of alternative cascade protocols, which is reported in the next </w:t>
      </w:r>
      <w:r w:rsidR="46ECAE20" w:rsidRPr="00B85D62">
        <w:rPr>
          <w:rFonts w:cs="Arial"/>
        </w:rPr>
        <w:t>section</w:t>
      </w:r>
      <w:r w:rsidRPr="00B85D62">
        <w:rPr>
          <w:rFonts w:cs="Arial"/>
        </w:rPr>
        <w:t xml:space="preserve">. Our model allows us to capture the differential outcomes of policies that diagnose different individual groups, considering </w:t>
      </w:r>
      <w:r w:rsidR="00665340" w:rsidRPr="00B85D62">
        <w:rPr>
          <w:rFonts w:cs="Arial"/>
        </w:rPr>
        <w:t xml:space="preserve">cardiovascular </w:t>
      </w:r>
      <w:r w:rsidRPr="00B85D62">
        <w:rPr>
          <w:rFonts w:cs="Arial"/>
        </w:rPr>
        <w:t>risk factors (e.g. sex, LDL-C) and age at diagnosis.</w:t>
      </w:r>
    </w:p>
    <w:p w14:paraId="1C2B5C81" w14:textId="4A59B73E" w:rsidR="003250C1" w:rsidRPr="00B85D62" w:rsidRDefault="003250C1" w:rsidP="006C7E71">
      <w:pPr>
        <w:pStyle w:val="Heading3"/>
      </w:pPr>
      <w:bookmarkStart w:id="207" w:name="_Toc107157490"/>
      <w:r w:rsidRPr="00B85D62">
        <w:t>Methods</w:t>
      </w:r>
      <w:bookmarkEnd w:id="207"/>
    </w:p>
    <w:p w14:paraId="46886F78" w14:textId="06EB3282" w:rsidR="003250C1" w:rsidRPr="00B85D62" w:rsidRDefault="29556E7B" w:rsidP="007750E2">
      <w:pPr>
        <w:rPr>
          <w:rFonts w:cs="Arial"/>
        </w:rPr>
      </w:pPr>
      <w:r w:rsidRPr="00B85D62">
        <w:rPr>
          <w:rFonts w:cs="Arial"/>
        </w:rPr>
        <w:t xml:space="preserve">We took the perspective of the UK NHS at 2019 price base, discounting future costs and health benefits to their present value at 3.5% per annum </w:t>
      </w:r>
      <w:r w:rsidR="00C35B5E" w:rsidRPr="00B85D62">
        <w:rPr>
          <w:rFonts w:cs="Arial"/>
          <w:noProof/>
          <w:color w:val="2B579A"/>
          <w:shd w:val="clear" w:color="auto" w:fill="E6E6E6"/>
          <w:vertAlign w:val="superscript"/>
        </w:rPr>
        <w:t>145</w:t>
      </w:r>
      <w:r w:rsidRPr="00B85D62">
        <w:rPr>
          <w:rFonts w:cs="Arial"/>
        </w:rPr>
        <w:t xml:space="preserve">. We validated the model using the Advishe and the TECH-VER checklists </w:t>
      </w:r>
      <w:r w:rsidR="00C35B5E" w:rsidRPr="00B85D62">
        <w:rPr>
          <w:rFonts w:cs="Arial"/>
          <w:noProof/>
          <w:color w:val="2B579A"/>
          <w:shd w:val="clear" w:color="auto" w:fill="E6E6E6"/>
          <w:vertAlign w:val="superscript"/>
        </w:rPr>
        <w:t>142, 146</w:t>
      </w:r>
      <w:r w:rsidRPr="00B85D62">
        <w:rPr>
          <w:rFonts w:cs="Arial"/>
        </w:rPr>
        <w:t xml:space="preserve"> (see</w:t>
      </w:r>
      <w:r w:rsidR="00895586" w:rsidRPr="00B85D62">
        <w:rPr>
          <w:rFonts w:cs="Arial"/>
        </w:rPr>
        <w:t xml:space="preserve"> </w:t>
      </w:r>
      <w:r w:rsidR="007750E2" w:rsidRPr="00B85D62">
        <w:rPr>
          <w:rFonts w:eastAsia="Arial" w:cs="Arial"/>
          <w:i/>
          <w:color w:val="000000" w:themeColor="text1"/>
        </w:rPr>
        <w:t xml:space="preserve">Online Supplementary file </w:t>
      </w:r>
      <w:r w:rsidR="00181AC5" w:rsidRPr="00B85D62">
        <w:rPr>
          <w:rFonts w:eastAsia="Arial" w:cs="Arial"/>
          <w:i/>
          <w:color w:val="000000" w:themeColor="text1"/>
        </w:rPr>
        <w:t>4</w:t>
      </w:r>
      <w:r w:rsidR="007750E2" w:rsidRPr="00B85D62">
        <w:rPr>
          <w:rFonts w:eastAsia="Arial" w:cs="Arial"/>
          <w:i/>
          <w:color w:val="000000" w:themeColor="text1"/>
        </w:rPr>
        <w:t xml:space="preserve"> </w:t>
      </w:r>
      <w:r w:rsidR="007750E2" w:rsidRPr="00B85D62">
        <w:rPr>
          <w:rFonts w:cs="Arial"/>
          <w:i/>
        </w:rPr>
        <w:t>(</w:t>
      </w:r>
      <w:r w:rsidR="00173E0B" w:rsidRPr="00B85D62">
        <w:rPr>
          <w:rFonts w:cs="Arial"/>
          <w:i/>
        </w:rPr>
        <w:t>Cost and health benefits</w:t>
      </w:r>
      <w:r w:rsidR="00173E0B" w:rsidRPr="00B85D62">
        <w:rPr>
          <w:rFonts w:cs="Arial"/>
        </w:rPr>
        <w:t>)</w:t>
      </w:r>
      <w:r w:rsidRPr="00B85D62">
        <w:rPr>
          <w:rFonts w:cs="Arial"/>
        </w:rPr>
        <w:t>). We built the model in MS Office Excel® 2016.</w:t>
      </w:r>
    </w:p>
    <w:p w14:paraId="7B2927AE" w14:textId="77777777" w:rsidR="003250C1" w:rsidRPr="00B85D62" w:rsidRDefault="003250C1" w:rsidP="006C7E71">
      <w:pPr>
        <w:pStyle w:val="Heading4"/>
        <w:numPr>
          <w:ilvl w:val="0"/>
          <w:numId w:val="0"/>
        </w:numPr>
      </w:pPr>
      <w:r w:rsidRPr="00B85D62">
        <w:t>Population and subgroups</w:t>
      </w:r>
    </w:p>
    <w:p w14:paraId="4B590244" w14:textId="77777777" w:rsidR="00B85D62" w:rsidRPr="00B85D62" w:rsidRDefault="29556E7B" w:rsidP="0066232B">
      <w:pPr>
        <w:rPr>
          <w:rFonts w:cs="Arial"/>
        </w:rPr>
      </w:pPr>
      <w:r w:rsidRPr="00B85D62">
        <w:rPr>
          <w:rFonts w:cs="Arial"/>
        </w:rPr>
        <w:t>The population comprises people with heterozygo</w:t>
      </w:r>
      <w:r w:rsidR="48175578" w:rsidRPr="00B85D62">
        <w:rPr>
          <w:rFonts w:cs="Arial"/>
        </w:rPr>
        <w:t>te</w:t>
      </w:r>
      <w:r w:rsidRPr="00B85D62">
        <w:rPr>
          <w:rFonts w:cs="Arial"/>
        </w:rPr>
        <w:t xml:space="preserve"> </w:t>
      </w:r>
      <w:r w:rsidR="07C79390" w:rsidRPr="00B85D62">
        <w:rPr>
          <w:rFonts w:cs="Arial"/>
        </w:rPr>
        <w:t>genetically-confirmed</w:t>
      </w:r>
      <w:r w:rsidRPr="00B85D62">
        <w:rPr>
          <w:rFonts w:cs="Arial"/>
        </w:rPr>
        <w:t xml:space="preserve"> FH (henceforth referred to as people with FH). Heterogeneity in </w:t>
      </w:r>
      <w:r w:rsidR="0058762A" w:rsidRPr="00B85D62">
        <w:rPr>
          <w:rFonts w:cs="Arial"/>
        </w:rPr>
        <w:t>cardiovascular</w:t>
      </w:r>
      <w:r w:rsidR="0058762A" w:rsidRPr="00B85D62" w:rsidDel="0058762A">
        <w:rPr>
          <w:rFonts w:cs="Arial"/>
        </w:rPr>
        <w:t xml:space="preserve"> </w:t>
      </w:r>
      <w:r w:rsidRPr="00B85D62">
        <w:rPr>
          <w:rFonts w:cs="Arial"/>
        </w:rPr>
        <w:t xml:space="preserve">risk, hence in the magnitude of benefit from diagnosis, was reflected where evidence was available and in line with the risk factors considered in the cost-effectiveness analysis of cascade strategies. We defined subgroups according to age, sex, CVD history (with or without a prior </w:t>
      </w:r>
      <w:r w:rsidR="0058762A" w:rsidRPr="00B85D62">
        <w:rPr>
          <w:rFonts w:cs="Arial"/>
        </w:rPr>
        <w:t>cardiovascular</w:t>
      </w:r>
      <w:r w:rsidR="0058762A" w:rsidRPr="00B85D62" w:rsidDel="0058762A">
        <w:rPr>
          <w:rFonts w:cs="Arial"/>
        </w:rPr>
        <w:t xml:space="preserve"> </w:t>
      </w:r>
      <w:r w:rsidRPr="00B85D62">
        <w:rPr>
          <w:rFonts w:cs="Arial"/>
        </w:rPr>
        <w:t xml:space="preserve">event) and pre-treatment (PT) LDL-C, given their influence in the risk of </w:t>
      </w:r>
      <w:r w:rsidR="0058762A" w:rsidRPr="00B85D62">
        <w:rPr>
          <w:rFonts w:cs="Arial"/>
        </w:rPr>
        <w:t>cardiovascular</w:t>
      </w:r>
      <w:r w:rsidR="0058762A" w:rsidRPr="00B85D62" w:rsidDel="0058762A">
        <w:rPr>
          <w:rFonts w:cs="Arial"/>
        </w:rPr>
        <w:t xml:space="preserve"> </w:t>
      </w:r>
      <w:r w:rsidRPr="00B85D62">
        <w:rPr>
          <w:rFonts w:cs="Arial"/>
        </w:rPr>
        <w:t xml:space="preserve">events, and age and PT-LDL-C, given their influence in the magnitude of treatment effect, as detailed in the </w:t>
      </w:r>
      <w:r w:rsidR="119841CC" w:rsidRPr="00B85D62">
        <w:rPr>
          <w:rFonts w:cs="Arial"/>
        </w:rPr>
        <w:t xml:space="preserve">Section </w:t>
      </w:r>
      <w:r w:rsidR="00823C9F" w:rsidRPr="00B85D62">
        <w:rPr>
          <w:rFonts w:cs="Arial"/>
        </w:rPr>
        <w:t>8</w:t>
      </w:r>
      <w:r w:rsidR="119841CC" w:rsidRPr="00B85D62">
        <w:rPr>
          <w:rFonts w:cs="Arial"/>
        </w:rPr>
        <w:t>.2.</w:t>
      </w:r>
    </w:p>
    <w:p w14:paraId="73101C1E" w14:textId="06C7BD4C" w:rsidR="003250C1" w:rsidRPr="00B85D62" w:rsidRDefault="003250C1" w:rsidP="0066232B">
      <w:pPr>
        <w:rPr>
          <w:rFonts w:cs="Arial"/>
        </w:rPr>
      </w:pPr>
      <w:r w:rsidRPr="00B85D62">
        <w:rPr>
          <w:rFonts w:cs="Arial"/>
        </w:rPr>
        <w:t>So that the individuals</w:t>
      </w:r>
      <w:r w:rsidR="00B85D62" w:rsidRPr="00B85D62">
        <w:rPr>
          <w:rFonts w:cs="Arial"/>
        </w:rPr>
        <w:t>’</w:t>
      </w:r>
      <w:r w:rsidRPr="00B85D62">
        <w:rPr>
          <w:rFonts w:cs="Arial"/>
        </w:rPr>
        <w:t xml:space="preserve"> characteristics aligned with the cascade model, the age subgroups correspond to the same age groups (aged 0</w:t>
      </w:r>
      <w:r w:rsidR="00B85D62" w:rsidRPr="00B85D62">
        <w:rPr>
          <w:rFonts w:cs="Arial"/>
          <w:color w:val="00B0F0"/>
        </w:rPr>
        <w:t>–</w:t>
      </w:r>
      <w:r w:rsidR="00B85D62" w:rsidRPr="00B85D62">
        <w:rPr>
          <w:rFonts w:cs="Arial"/>
          <w:color w:val="00B0F0"/>
        </w:rPr>
        <w:t>9</w:t>
      </w:r>
      <w:r w:rsidRPr="00B85D62">
        <w:rPr>
          <w:rFonts w:cs="Arial"/>
        </w:rPr>
        <w:t>, aged 10</w:t>
      </w:r>
      <w:r w:rsidR="00B85D62" w:rsidRPr="00B85D62">
        <w:rPr>
          <w:rFonts w:cs="Arial"/>
          <w:color w:val="00B0F0"/>
        </w:rPr>
        <w:t>–</w:t>
      </w:r>
      <w:r w:rsidR="00B85D62" w:rsidRPr="00B85D62">
        <w:rPr>
          <w:rFonts w:cs="Arial"/>
          <w:color w:val="00B0F0"/>
        </w:rPr>
        <w:t>1</w:t>
      </w:r>
      <w:r w:rsidRPr="00B85D62">
        <w:rPr>
          <w:rFonts w:cs="Arial"/>
        </w:rPr>
        <w:t>7, aged 18</w:t>
      </w:r>
      <w:r w:rsidR="00B85D62" w:rsidRPr="00B85D62">
        <w:rPr>
          <w:rFonts w:cs="Arial"/>
          <w:color w:val="00B0F0"/>
        </w:rPr>
        <w:t>–</w:t>
      </w:r>
      <w:r w:rsidR="00B85D62" w:rsidRPr="00B85D62">
        <w:rPr>
          <w:rFonts w:cs="Arial"/>
          <w:color w:val="00B0F0"/>
        </w:rPr>
        <w:t>3</w:t>
      </w:r>
      <w:r w:rsidRPr="00B85D62">
        <w:rPr>
          <w:rFonts w:cs="Arial"/>
        </w:rPr>
        <w:t>9, aged 40</w:t>
      </w:r>
      <w:r w:rsidR="00B85D62" w:rsidRPr="00B85D62">
        <w:rPr>
          <w:rFonts w:cs="Arial"/>
          <w:color w:val="00B0F0"/>
        </w:rPr>
        <w:t>–</w:t>
      </w:r>
      <w:r w:rsidR="00B85D62" w:rsidRPr="00B85D62">
        <w:rPr>
          <w:rFonts w:cs="Arial"/>
          <w:color w:val="00B0F0"/>
        </w:rPr>
        <w:t>5</w:t>
      </w:r>
      <w:r w:rsidRPr="00B85D62">
        <w:rPr>
          <w:rFonts w:cs="Arial"/>
        </w:rPr>
        <w:t>9 and aged 6</w:t>
      </w:r>
      <w:r w:rsidR="00B85D62" w:rsidRPr="00B85D62">
        <w:rPr>
          <w:rFonts w:cs="Arial"/>
          <w:color w:val="00B0F0"/>
        </w:rPr>
        <w:t>0</w:t>
      </w:r>
      <w:r w:rsidR="00B85D62" w:rsidRPr="00B85D62">
        <w:rPr>
          <w:rFonts w:cs="Arial"/>
          <w:color w:val="00B0F0"/>
        </w:rPr>
        <w:t> </w:t>
      </w:r>
      <w:r w:rsidR="00B85D62" w:rsidRPr="00B85D62">
        <w:rPr>
          <w:rFonts w:cs="Arial"/>
          <w:color w:val="00B0F0"/>
        </w:rPr>
        <w:t>+</w:t>
      </w:r>
      <w:r w:rsidRPr="00B85D62">
        <w:rPr>
          <w:rFonts w:cs="Arial"/>
        </w:rPr>
        <w:t>) and the same PT-LDL-C bins, assuming that the midpoints represented the entire interval. Overall, we stratified the population into 144 subgroups.</w:t>
      </w:r>
    </w:p>
    <w:p w14:paraId="4C139BD1" w14:textId="77777777" w:rsidR="003250C1" w:rsidRPr="00B85D62" w:rsidRDefault="003250C1" w:rsidP="006C7E71">
      <w:pPr>
        <w:pStyle w:val="Heading4"/>
        <w:numPr>
          <w:ilvl w:val="0"/>
          <w:numId w:val="0"/>
        </w:numPr>
      </w:pPr>
      <w:r w:rsidRPr="00B85D62">
        <w:t>Options</w:t>
      </w:r>
    </w:p>
    <w:p w14:paraId="274D7094" w14:textId="60AE3DFC" w:rsidR="003250C1" w:rsidRPr="00B85D62" w:rsidRDefault="003250C1" w:rsidP="0066232B">
      <w:pPr>
        <w:rPr>
          <w:rFonts w:cs="Arial"/>
        </w:rPr>
      </w:pPr>
      <w:r w:rsidRPr="00B85D62">
        <w:rPr>
          <w:rFonts w:cs="Arial"/>
        </w:rPr>
        <w:t>The model estimates long-term health outcomes and costs for two options: diagnosis and management for FH (including monitoring with and without LLT, depending on age and PT-LDL-C), and no diagnosis (hence no treatment), so that the results can inform the cost-effectiveness analysis of cascade testing protocols (see</w:t>
      </w:r>
      <w:r w:rsidR="004D7464" w:rsidRPr="00B85D62">
        <w:rPr>
          <w:rFonts w:cs="Arial"/>
        </w:rPr>
        <w:t xml:space="preserve"> Section </w:t>
      </w:r>
      <w:r w:rsidR="0058762A" w:rsidRPr="00B85D62">
        <w:rPr>
          <w:rFonts w:cs="Arial"/>
        </w:rPr>
        <w:t>8</w:t>
      </w:r>
      <w:r w:rsidR="004D7464" w:rsidRPr="00B85D62">
        <w:rPr>
          <w:rFonts w:cs="Arial"/>
        </w:rPr>
        <w:t>.5</w:t>
      </w:r>
      <w:r w:rsidRPr="00B85D62">
        <w:rPr>
          <w:rFonts w:cs="Arial"/>
        </w:rPr>
        <w:t>).</w:t>
      </w:r>
    </w:p>
    <w:p w14:paraId="60E49476" w14:textId="77777777" w:rsidR="003250C1" w:rsidRPr="00B85D62" w:rsidRDefault="003250C1" w:rsidP="006C7E71">
      <w:pPr>
        <w:pStyle w:val="Heading4"/>
        <w:numPr>
          <w:ilvl w:val="0"/>
          <w:numId w:val="0"/>
        </w:numPr>
      </w:pPr>
      <w:r w:rsidRPr="00B85D62">
        <w:t>Model structure</w:t>
      </w:r>
    </w:p>
    <w:p w14:paraId="3A47C674" w14:textId="60E8AEEA" w:rsidR="00B85D62" w:rsidRPr="00B85D62" w:rsidRDefault="29556E7B" w:rsidP="0066232B">
      <w:pPr>
        <w:rPr>
          <w:rFonts w:cs="Arial"/>
        </w:rPr>
      </w:pPr>
      <w:r w:rsidRPr="00B85D62">
        <w:rPr>
          <w:rFonts w:cs="Arial"/>
        </w:rPr>
        <w:t xml:space="preserve">We designed the model based on previous cost-effectiveness models in FH </w:t>
      </w:r>
      <w:r w:rsidR="00C35B5E" w:rsidRPr="00B85D62">
        <w:rPr>
          <w:rFonts w:cs="Arial"/>
          <w:noProof/>
          <w:color w:val="2B579A"/>
          <w:shd w:val="clear" w:color="auto" w:fill="E6E6E6"/>
          <w:vertAlign w:val="superscript"/>
        </w:rPr>
        <w:t>11</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3, 26, 118, 119, 140</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44</w:t>
      </w:r>
      <w:r w:rsidR="00B85D62" w:rsidRPr="00B85D62">
        <w:rPr>
          <w:rFonts w:cs="Arial"/>
          <w:color w:val="00B0F0"/>
        </w:rPr>
        <w:t>,</w:t>
      </w:r>
      <w:r w:rsidRPr="00B85D62">
        <w:rPr>
          <w:rFonts w:cs="Arial"/>
        </w:rPr>
        <w:t xml:space="preserve"> our understanding of the disease and the impact of diagnosis and treatment, discussions with our Stakeholder Group, relevant clinical literature, and the availability of </w:t>
      </w:r>
      <w:r w:rsidRPr="00B85D62">
        <w:rPr>
          <w:rFonts w:cs="Arial"/>
          <w:highlight w:val="magenta"/>
        </w:rPr>
        <w:t>data</w:t>
      </w:r>
      <w:r w:rsidRPr="00B85D62">
        <w:rPr>
          <w:rFonts w:cs="Arial"/>
        </w:rPr>
        <w:t xml:space="preserve"> to parameterise key aspects of the model. Our conceptual model assumes that people with FH are at risk of </w:t>
      </w:r>
      <w:r w:rsidR="0058762A" w:rsidRPr="00B85D62">
        <w:rPr>
          <w:rFonts w:cs="Arial"/>
        </w:rPr>
        <w:t>cardiovascular</w:t>
      </w:r>
      <w:r w:rsidR="0058762A" w:rsidRPr="00B85D62" w:rsidDel="0058762A">
        <w:rPr>
          <w:rFonts w:cs="Arial"/>
        </w:rPr>
        <w:t xml:space="preserve"> </w:t>
      </w:r>
      <w:r w:rsidRPr="00B85D62">
        <w:rPr>
          <w:rFonts w:cs="Arial"/>
        </w:rPr>
        <w:t xml:space="preserve">events, both fatal and non-fatal. The risk of </w:t>
      </w:r>
      <w:r w:rsidR="0058762A" w:rsidRPr="00B85D62">
        <w:rPr>
          <w:rFonts w:cs="Arial"/>
        </w:rPr>
        <w:t>cardiovascular</w:t>
      </w:r>
      <w:r w:rsidR="0058762A" w:rsidRPr="00B85D62" w:rsidDel="0058762A">
        <w:rPr>
          <w:rFonts w:cs="Arial"/>
        </w:rPr>
        <w:t xml:space="preserve"> </w:t>
      </w:r>
      <w:r w:rsidRPr="00B85D62">
        <w:rPr>
          <w:rFonts w:cs="Arial"/>
        </w:rPr>
        <w:t>event depends on the individuals</w:t>
      </w:r>
      <w:r w:rsidR="00B85D62" w:rsidRPr="00B85D62">
        <w:rPr>
          <w:rFonts w:cs="Arial"/>
        </w:rPr>
        <w:t>’</w:t>
      </w:r>
      <w:r w:rsidRPr="00B85D62">
        <w:rPr>
          <w:rFonts w:cs="Arial"/>
        </w:rPr>
        <w:t xml:space="preserve"> characteristics defined earlier and included in the analysis of the time to the first major CVD event (see </w:t>
      </w:r>
      <w:r w:rsidR="119841CC" w:rsidRPr="00B85D62">
        <w:rPr>
          <w:rFonts w:cs="Arial"/>
        </w:rPr>
        <w:t xml:space="preserve">Section </w:t>
      </w:r>
      <w:r w:rsidR="00823C9F" w:rsidRPr="00B85D62">
        <w:rPr>
          <w:rFonts w:cs="Arial"/>
        </w:rPr>
        <w:t>8</w:t>
      </w:r>
      <w:r w:rsidR="119841CC" w:rsidRPr="00B85D62">
        <w:rPr>
          <w:rFonts w:cs="Arial"/>
        </w:rPr>
        <w:t>.2</w:t>
      </w:r>
      <w:r w:rsidRPr="00B85D62">
        <w:rPr>
          <w:rFonts w:cs="Arial"/>
        </w:rPr>
        <w:t>).</w:t>
      </w:r>
    </w:p>
    <w:p w14:paraId="6C94E70D" w14:textId="7924C021" w:rsidR="00B85D62" w:rsidRPr="00B85D62" w:rsidRDefault="00B85D62" w:rsidP="0066232B">
      <w:pPr>
        <w:rPr>
          <w:rFonts w:cs="Arial"/>
        </w:rPr>
      </w:pPr>
      <w:r w:rsidRPr="00B85D62">
        <w:rPr>
          <w:rFonts w:cs="Arial"/>
          <w:i/>
          <w:color w:val="FF0000"/>
        </w:rPr>
        <w:t>F</w:t>
      </w:r>
      <w:r w:rsidRPr="00B85D62">
        <w:rPr>
          <w:rFonts w:cs="Arial"/>
          <w:i/>
          <w:color w:val="FF0000"/>
        </w:rPr>
        <w:t>igure</w:t>
      </w:r>
      <w:r w:rsidRPr="00B85D62">
        <w:rPr>
          <w:rFonts w:cs="Arial"/>
          <w:i/>
          <w:color w:val="FF0000"/>
        </w:rPr>
        <w:t xml:space="preserve"> </w:t>
      </w:r>
      <w:r w:rsidRPr="00B85D62">
        <w:rPr>
          <w:rFonts w:cs="Arial"/>
          <w:i/>
          <w:color w:val="FF0000"/>
        </w:rPr>
        <w:t>11</w:t>
      </w:r>
      <w:r w:rsidR="29556E7B" w:rsidRPr="00B85D62">
        <w:rPr>
          <w:rFonts w:cs="Arial"/>
        </w:rPr>
        <w:t xml:space="preserve"> shows the model structure. The model is a cohort Markov model. People with FH enter the model in the </w:t>
      </w:r>
      <w:r w:rsidRPr="00B85D62">
        <w:rPr>
          <w:rFonts w:cs="Arial"/>
        </w:rPr>
        <w:t>‘</w:t>
      </w:r>
      <w:r w:rsidR="29556E7B" w:rsidRPr="00B85D62">
        <w:rPr>
          <w:rFonts w:cs="Arial"/>
        </w:rPr>
        <w:t>well state</w:t>
      </w:r>
      <w:r w:rsidRPr="00B85D62">
        <w:rPr>
          <w:rFonts w:cs="Arial"/>
        </w:rPr>
        <w:t>’</w:t>
      </w:r>
      <w:r w:rsidR="29556E7B" w:rsidRPr="00B85D62">
        <w:rPr>
          <w:rFonts w:cs="Arial"/>
        </w:rPr>
        <w:t xml:space="preserve"> either diagnosed (hence undergoing management for FH), or undiagnosed (hence untreated), depending on the option under evaluation. The age at model entry represents the age at diagnosis if they were diagnosed, or the same age, but assuming the counterfactual option of what would happen if they were not diagnosed at this same age. In the </w:t>
      </w:r>
      <w:r w:rsidRPr="00B85D62">
        <w:rPr>
          <w:rFonts w:cs="Arial"/>
        </w:rPr>
        <w:t>‘</w:t>
      </w:r>
      <w:r w:rsidR="29556E7B" w:rsidRPr="00B85D62">
        <w:rPr>
          <w:rFonts w:cs="Arial"/>
        </w:rPr>
        <w:t>well state</w:t>
      </w:r>
      <w:r w:rsidRPr="00B85D62">
        <w:rPr>
          <w:rFonts w:cs="Arial"/>
        </w:rPr>
        <w:t>’</w:t>
      </w:r>
      <w:r w:rsidR="29556E7B" w:rsidRPr="00B85D62">
        <w:rPr>
          <w:rFonts w:cs="Arial"/>
        </w:rPr>
        <w:t>, people are at risk of having the first major CVD event since diagnosis (i.e. model entry) and of non-CVD death.</w:t>
      </w:r>
    </w:p>
    <w:p w14:paraId="2C4A0986" w14:textId="77777777" w:rsidR="00B85D62" w:rsidRPr="00B85D62" w:rsidRDefault="29556E7B" w:rsidP="0066232B">
      <w:pPr>
        <w:rPr>
          <w:rFonts w:cs="Arial"/>
        </w:rPr>
      </w:pPr>
      <w:r w:rsidRPr="00B85D62">
        <w:rPr>
          <w:rFonts w:cs="Arial"/>
        </w:rPr>
        <w:t>The risk of first major CVD event depends on their age at diagnosis, sex, PT-LDL-C, and prior CVD history, as discussed in</w:t>
      </w:r>
      <w:r w:rsidR="5ADFA33D" w:rsidRPr="00B85D62">
        <w:rPr>
          <w:rFonts w:cs="Arial"/>
        </w:rPr>
        <w:t xml:space="preserve"> Section </w:t>
      </w:r>
      <w:r w:rsidR="0058762A" w:rsidRPr="00B85D62">
        <w:rPr>
          <w:rFonts w:cs="Arial"/>
        </w:rPr>
        <w:t>8</w:t>
      </w:r>
      <w:r w:rsidR="5ADFA33D" w:rsidRPr="00B85D62">
        <w:rPr>
          <w:rFonts w:cs="Arial"/>
        </w:rPr>
        <w:t>.2</w:t>
      </w:r>
      <w:r w:rsidRPr="00B85D62">
        <w:rPr>
          <w:rFonts w:cs="Arial"/>
        </w:rPr>
        <w:t xml:space="preserve">. This first CVD event can be fatal, non-fatal ACS (which includes unstable angina, myocardial infarction and unspecified ACS) or non-fatal IS/TIA. We distinguished between non-fatal ACS and non-fatal IS/TIA given their different lifetime implications to the risk of death, costs and health-related quality of life. The risk of all-cause death following a first non-fatal CVD event depends on the nature of this first major CVD event, either ACS or IS/TIA. The model cycle length is annual, with half-cycle correction. The </w:t>
      </w:r>
      <w:r w:rsidRPr="00B85D62">
        <w:rPr>
          <w:rFonts w:cs="Arial"/>
          <w:i/>
          <w:iCs/>
        </w:rPr>
        <w:t>Model structure</w:t>
      </w:r>
      <w:r w:rsidRPr="00B85D62">
        <w:rPr>
          <w:rFonts w:cs="Arial"/>
        </w:rPr>
        <w:t xml:space="preserve"> </w:t>
      </w:r>
      <w:r w:rsidR="5D90DA4B" w:rsidRPr="00B85D62">
        <w:rPr>
          <w:rFonts w:cs="Arial"/>
        </w:rPr>
        <w:t xml:space="preserve">in </w:t>
      </w:r>
      <w:r w:rsidR="00181AC5" w:rsidRPr="00B85D62">
        <w:rPr>
          <w:rFonts w:cs="Arial"/>
          <w:i/>
        </w:rPr>
        <w:t>Online Supplementary file 4 (Cost and health benefits)</w:t>
      </w:r>
      <w:r w:rsidR="5D90DA4B" w:rsidRPr="00B85D62">
        <w:rPr>
          <w:rFonts w:cs="Arial"/>
        </w:rPr>
        <w:t xml:space="preserve"> </w:t>
      </w:r>
      <w:r w:rsidRPr="00B85D62">
        <w:rPr>
          <w:rFonts w:cs="Arial"/>
        </w:rPr>
        <w:t>justifies the model structure in more detail.</w:t>
      </w:r>
    </w:p>
    <w:p w14:paraId="6BE73856" w14:textId="3B8F9CDC" w:rsidR="00B85D62" w:rsidRPr="00B85D62" w:rsidRDefault="00B85D62" w:rsidP="00E26BF7">
      <w:pPr>
        <w:pStyle w:val="Caption"/>
        <w:keepNext/>
      </w:pPr>
      <w:bookmarkStart w:id="208" w:name="_Toc79740230"/>
      <w:bookmarkStart w:id="209" w:name="_Toc107157393"/>
      <w:r w:rsidRPr="00B85D62">
        <w:rPr>
          <w:i/>
          <w:color w:val="FF0000"/>
        </w:rPr>
        <w:t>F</w:t>
      </w:r>
      <w:r w:rsidRPr="00B85D62">
        <w:rPr>
          <w:i/>
          <w:color w:val="FF0000"/>
        </w:rPr>
        <w:t>igure</w:t>
      </w:r>
      <w:r w:rsidRPr="00B85D62">
        <w:rPr>
          <w:i/>
          <w:color w:val="FF0000"/>
        </w:rPr>
        <w:t xml:space="preserve"> </w:t>
      </w:r>
      <w:r w:rsidRPr="00B85D62">
        <w:rPr>
          <w:i/>
          <w:noProof/>
          <w:color w:val="FF0000"/>
        </w:rPr>
        <w:t>11</w:t>
      </w:r>
      <w:r w:rsidR="00E26BF7" w:rsidRPr="00B85D62">
        <w:t xml:space="preserve"> </w:t>
      </w:r>
      <w:r w:rsidR="00E26BF7" w:rsidRPr="00B85D62">
        <w:rPr>
          <w:b w:val="0"/>
          <w:bCs/>
        </w:rPr>
        <w:t>Model structure</w:t>
      </w:r>
      <w:bookmarkEnd w:id="208"/>
      <w:bookmarkEnd w:id="209"/>
    </w:p>
    <w:p w14:paraId="4FB83799" w14:textId="1BD595F9" w:rsidR="00E26BF7" w:rsidRPr="00B85D62" w:rsidRDefault="00E26BF7" w:rsidP="00E26BF7">
      <w:pPr>
        <w:rPr>
          <w:sz w:val="18"/>
          <w:szCs w:val="18"/>
        </w:rPr>
      </w:pPr>
      <w:r w:rsidRPr="00B85D62">
        <w:rPr>
          <w:sz w:val="18"/>
          <w:szCs w:val="18"/>
        </w:rPr>
        <w:t>ACS: acute coronary syndrome. CVD: cardiovascular</w:t>
      </w:r>
      <w:r w:rsidR="004E284C" w:rsidRPr="00B85D62">
        <w:rPr>
          <w:sz w:val="18"/>
          <w:szCs w:val="18"/>
        </w:rPr>
        <w:t xml:space="preserve"> disease</w:t>
      </w:r>
      <w:r w:rsidRPr="00B85D62">
        <w:rPr>
          <w:sz w:val="18"/>
          <w:szCs w:val="18"/>
        </w:rPr>
        <w:t>. FH: familial hypercholesterolaemia. TIA: transient ischaemic attack.</w:t>
      </w:r>
    </w:p>
    <w:p w14:paraId="6939C6EA" w14:textId="77777777" w:rsidR="00E26BF7" w:rsidRPr="00B85D62" w:rsidRDefault="00E26BF7" w:rsidP="00E26BF7">
      <w:pPr>
        <w:rPr>
          <w:sz w:val="18"/>
          <w:szCs w:val="18"/>
        </w:rPr>
      </w:pPr>
      <w:r w:rsidRPr="00B85D62">
        <w:rPr>
          <w:sz w:val="18"/>
          <w:szCs w:val="18"/>
        </w:rPr>
        <w:t>ACS includes unstable angina, myocardial infarction, and acute coronary syndrome unspecified. TIA/Stroke includes transient ischaemic attacks and ischaemic stroke.</w:t>
      </w:r>
    </w:p>
    <w:p w14:paraId="7F232148" w14:textId="72E45FF5" w:rsidR="00B85D62" w:rsidRPr="00B85D62" w:rsidRDefault="00E26BF7" w:rsidP="00E26BF7">
      <w:pPr>
        <w:rPr>
          <w:sz w:val="18"/>
          <w:szCs w:val="18"/>
        </w:rPr>
      </w:pPr>
      <w:r w:rsidRPr="00B85D62">
        <w:rPr>
          <w:sz w:val="18"/>
          <w:szCs w:val="18"/>
        </w:rPr>
        <w:t xml:space="preserve">The </w:t>
      </w:r>
      <w:r w:rsidR="00B85D62" w:rsidRPr="00B85D62">
        <w:rPr>
          <w:color w:val="00B0F0"/>
          <w:sz w:val="18"/>
          <w:szCs w:val="18"/>
        </w:rPr>
        <w:t>1st</w:t>
      </w:r>
      <w:r w:rsidRPr="00B85D62">
        <w:rPr>
          <w:sz w:val="18"/>
          <w:szCs w:val="18"/>
        </w:rPr>
        <w:t xml:space="preserve"> CVD event represents the </w:t>
      </w:r>
      <w:r w:rsidR="00B85D62" w:rsidRPr="00B85D62">
        <w:rPr>
          <w:color w:val="00B0F0"/>
          <w:sz w:val="18"/>
          <w:szCs w:val="18"/>
        </w:rPr>
        <w:t>1st</w:t>
      </w:r>
      <w:r w:rsidRPr="00B85D62">
        <w:rPr>
          <w:sz w:val="18"/>
          <w:szCs w:val="18"/>
        </w:rPr>
        <w:t xml:space="preserve"> CVD event since model entry, which is the age at diagnosis if the model is evaluating the option where patients are diagnosed, or the same age but under the counterfactual scenario that patients were not diagnosed.</w:t>
      </w:r>
    </w:p>
    <w:p w14:paraId="61DF9DAE" w14:textId="20693501" w:rsidR="003250C1" w:rsidRPr="00B85D62" w:rsidRDefault="003250C1" w:rsidP="006C7E71">
      <w:pPr>
        <w:pStyle w:val="Heading4"/>
        <w:numPr>
          <w:ilvl w:val="0"/>
          <w:numId w:val="0"/>
        </w:numPr>
      </w:pPr>
      <w:r w:rsidRPr="00B85D62">
        <w:t>Effect of diagnosis</w:t>
      </w:r>
    </w:p>
    <w:p w14:paraId="7CC453E8" w14:textId="248F86B7" w:rsidR="00B85D62" w:rsidRPr="00B85D62" w:rsidRDefault="003250C1" w:rsidP="0066232B">
      <w:pPr>
        <w:rPr>
          <w:rFonts w:cs="Arial"/>
        </w:rPr>
      </w:pPr>
      <w:r w:rsidRPr="00B85D62">
        <w:rPr>
          <w:rFonts w:cs="Arial"/>
        </w:rPr>
        <w:t>In the model, diagnosis leads to monitoring with or without LLT initiation (depending on PT-LDL-C and age), thereby reducing the risk of the first CVD event and of non-CVD death</w:t>
      </w:r>
      <w:r w:rsidR="00895586" w:rsidRPr="00B85D62">
        <w:rPr>
          <w:rFonts w:cs="Arial"/>
        </w:rPr>
        <w:t xml:space="preserve"> </w:t>
      </w:r>
      <w:r w:rsidR="00F80015" w:rsidRPr="00B85D62">
        <w:rPr>
          <w:rFonts w:cs="Arial"/>
          <w:noProof/>
          <w:vertAlign w:val="superscript"/>
        </w:rPr>
        <w:t>17, 18</w:t>
      </w:r>
      <w:r w:rsidRPr="00B85D62">
        <w:rPr>
          <w:rFonts w:cs="Arial"/>
        </w:rPr>
        <w:t>. The magnitude of the LDL-C reduction depends on individuals</w:t>
      </w:r>
      <w:r w:rsidR="00B85D62" w:rsidRPr="00B85D62">
        <w:rPr>
          <w:rFonts w:cs="Arial"/>
        </w:rPr>
        <w:t>’</w:t>
      </w:r>
      <w:r w:rsidRPr="00B85D62">
        <w:rPr>
          <w:rFonts w:cs="Arial"/>
        </w:rPr>
        <w:t xml:space="preserve"> PT-LDL-C, while the effect of 1 mmol/L LDL-C reduction on </w:t>
      </w:r>
      <w:r w:rsidR="0058762A" w:rsidRPr="00B85D62">
        <w:rPr>
          <w:rFonts w:cs="Arial"/>
        </w:rPr>
        <w:t>cardiovascular</w:t>
      </w:r>
      <w:r w:rsidR="0058762A" w:rsidRPr="00B85D62" w:rsidDel="0058762A">
        <w:rPr>
          <w:rFonts w:cs="Arial"/>
        </w:rPr>
        <w:t xml:space="preserve"> </w:t>
      </w:r>
      <w:r w:rsidRPr="00B85D62">
        <w:rPr>
          <w:rFonts w:cs="Arial"/>
        </w:rPr>
        <w:t>risk depends on the time from treatment (</w:t>
      </w:r>
      <w:r w:rsidRPr="00B85D62">
        <w:rPr>
          <w:rFonts w:cs="Arial"/>
          <w:highlight w:val="magenta"/>
        </w:rPr>
        <w:t>due to</w:t>
      </w:r>
      <w:r w:rsidRPr="00B85D62">
        <w:rPr>
          <w:rFonts w:cs="Arial"/>
        </w:rPr>
        <w:t xml:space="preserve"> effect of LDL-C burden </w:t>
      </w:r>
      <w:r w:rsidR="00F80015" w:rsidRPr="00B85D62">
        <w:rPr>
          <w:rFonts w:cs="Arial"/>
          <w:noProof/>
          <w:vertAlign w:val="superscript"/>
        </w:rPr>
        <w:t>17</w:t>
      </w:r>
      <w:r w:rsidRPr="00B85D62">
        <w:rPr>
          <w:rFonts w:cs="Arial"/>
        </w:rPr>
        <w:t xml:space="preserve">), as documented in </w:t>
      </w:r>
      <w:r w:rsidRPr="00B85D62">
        <w:rPr>
          <w:rFonts w:cs="Arial"/>
          <w:i/>
          <w:iCs/>
        </w:rPr>
        <w:t>Model inputs</w:t>
      </w:r>
      <w:r w:rsidRPr="00B85D62">
        <w:rPr>
          <w:rFonts w:cs="Arial"/>
        </w:rPr>
        <w:t xml:space="preserve">. As CVD events reduce health-related quality of life and life expectancy, as well as leading to greater NHS costs, diagnosis improves quality-adjusted life expectancy and reduces the costs related to CVD events. Conversely, FH diagnosis increases costs </w:t>
      </w:r>
      <w:r w:rsidRPr="00B85D62">
        <w:rPr>
          <w:rFonts w:cs="Arial"/>
          <w:highlight w:val="magenta"/>
        </w:rPr>
        <w:t>due to</w:t>
      </w:r>
      <w:r w:rsidRPr="00B85D62">
        <w:rPr>
          <w:rFonts w:cs="Arial"/>
        </w:rPr>
        <w:t xml:space="preserve"> the costs of treatment, namely acquisition costs of LLT, monitoring costs and costs of managing adverse effects. We did not include the cost of diagnosis given that this is considered in the cost-effectiveness analysis of cascade protocols, for which these results are inputs for (see</w:t>
      </w:r>
      <w:r w:rsidR="00DA3D22" w:rsidRPr="00B85D62">
        <w:rPr>
          <w:rFonts w:cs="Arial"/>
        </w:rPr>
        <w:t xml:space="preserve"> section </w:t>
      </w:r>
      <w:r w:rsidR="0058762A" w:rsidRPr="00B85D62">
        <w:rPr>
          <w:rFonts w:cs="Arial"/>
        </w:rPr>
        <w:t>8</w:t>
      </w:r>
      <w:r w:rsidR="00DA3D22" w:rsidRPr="00B85D62">
        <w:rPr>
          <w:rFonts w:cs="Arial"/>
        </w:rPr>
        <w:t>.5</w:t>
      </w:r>
      <w:r w:rsidRPr="00B85D62">
        <w:rPr>
          <w:rFonts w:cs="Arial"/>
        </w:rPr>
        <w:t>). Our base-case assumption is that the risk of death after a first non-fatal CVD event is the same irrespective of prior diagnosis. This was based on feedback from our Stakeholder Group that all people in secondary prevention are (or should be) treated with LLT intensely.</w:t>
      </w:r>
    </w:p>
    <w:p w14:paraId="5717A621" w14:textId="3B992244" w:rsidR="003250C1" w:rsidRPr="00B85D62" w:rsidRDefault="003250C1" w:rsidP="006C7E71">
      <w:pPr>
        <w:pStyle w:val="Heading4"/>
        <w:numPr>
          <w:ilvl w:val="0"/>
          <w:numId w:val="0"/>
        </w:numPr>
      </w:pPr>
      <w:r w:rsidRPr="00B85D62">
        <w:t>Model inputs</w:t>
      </w:r>
    </w:p>
    <w:p w14:paraId="414D1721" w14:textId="280344F1" w:rsidR="003250C1" w:rsidRPr="00B85D62" w:rsidRDefault="00B85D62" w:rsidP="0066232B">
      <w:pPr>
        <w:rPr>
          <w:rFonts w:cs="Arial"/>
        </w:rPr>
      </w:pPr>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color w:val="FF0000"/>
        </w:rPr>
        <w:t>14</w:t>
      </w:r>
      <w:r w:rsidR="29556E7B" w:rsidRPr="00B85D62">
        <w:rPr>
          <w:rFonts w:cs="Arial"/>
        </w:rPr>
        <w:t xml:space="preserve"> summarises the model inputs, with details provided in the </w:t>
      </w:r>
      <w:r w:rsidR="29556E7B" w:rsidRPr="00B85D62">
        <w:rPr>
          <w:rFonts w:cs="Arial"/>
          <w:i/>
          <w:iCs/>
        </w:rPr>
        <w:t>Model Inputs</w:t>
      </w:r>
      <w:r w:rsidR="4FEA9198" w:rsidRPr="00B85D62">
        <w:rPr>
          <w:rFonts w:cs="Arial"/>
          <w:i/>
          <w:iCs/>
        </w:rPr>
        <w:t xml:space="preserve"> </w:t>
      </w:r>
      <w:r w:rsidR="4FEA9198" w:rsidRPr="00B85D62">
        <w:rPr>
          <w:rFonts w:cs="Arial"/>
        </w:rPr>
        <w:t xml:space="preserve">section </w:t>
      </w:r>
      <w:r w:rsidR="00822322" w:rsidRPr="00B85D62">
        <w:rPr>
          <w:rFonts w:cs="Arial"/>
        </w:rPr>
        <w:t>of Online</w:t>
      </w:r>
      <w:r w:rsidR="00822322" w:rsidRPr="00B85D62">
        <w:rPr>
          <w:rFonts w:eastAsia="Arial" w:cs="Arial"/>
          <w:i/>
          <w:color w:val="000000" w:themeColor="text1"/>
        </w:rPr>
        <w:t xml:space="preserve"> Supplementary file 4 </w:t>
      </w:r>
      <w:r w:rsidR="00822322" w:rsidRPr="00B85D62">
        <w:rPr>
          <w:rFonts w:cs="Arial"/>
          <w:i/>
        </w:rPr>
        <w:t>(Cost and health benefits</w:t>
      </w:r>
      <w:r w:rsidR="00822322" w:rsidRPr="00B85D62">
        <w:rPr>
          <w:rFonts w:cs="Arial"/>
        </w:rPr>
        <w:t>)</w:t>
      </w:r>
      <w:r w:rsidR="29556E7B" w:rsidRPr="00B85D62">
        <w:rPr>
          <w:rFonts w:cs="Arial"/>
        </w:rPr>
        <w:t>.</w:t>
      </w:r>
    </w:p>
    <w:p w14:paraId="457D3058" w14:textId="7B8DD5C2" w:rsidR="003250C1" w:rsidRPr="00B85D62" w:rsidRDefault="003250C1" w:rsidP="0066232B">
      <w:pPr>
        <w:rPr>
          <w:rFonts w:cs="Arial"/>
          <w:b/>
          <w:bCs/>
        </w:rPr>
      </w:pPr>
      <w:r w:rsidRPr="00B85D62">
        <w:rPr>
          <w:rFonts w:cs="Arial"/>
          <w:b/>
          <w:bCs/>
        </w:rPr>
        <w:t xml:space="preserve">Risk of </w:t>
      </w:r>
      <w:r w:rsidR="00B85D62" w:rsidRPr="00B85D62">
        <w:rPr>
          <w:rFonts w:cs="Arial"/>
          <w:b/>
          <w:bCs/>
          <w:color w:val="00B0F0"/>
        </w:rPr>
        <w:t>1st</w:t>
      </w:r>
      <w:r w:rsidRPr="00B85D62">
        <w:rPr>
          <w:rFonts w:cs="Arial"/>
          <w:b/>
          <w:bCs/>
        </w:rPr>
        <w:t xml:space="preserve"> major CVD event</w:t>
      </w:r>
    </w:p>
    <w:p w14:paraId="63E74948" w14:textId="1DF7B204" w:rsidR="00B85D62" w:rsidRPr="00B85D62" w:rsidRDefault="29556E7B" w:rsidP="0066232B">
      <w:pPr>
        <w:rPr>
          <w:rFonts w:cs="Arial"/>
        </w:rPr>
      </w:pPr>
      <w:r w:rsidRPr="00B85D62">
        <w:rPr>
          <w:rFonts w:cs="Arial"/>
        </w:rPr>
        <w:t xml:space="preserve">To inform the risk of the first CVD event in patients who were diagnosed and treated, we took the risk estimated from the CPRD cohort, given they were all diagnosed and treated, and the observed distribution by type of event (see </w:t>
      </w:r>
      <w:r w:rsidR="3FF5A39F" w:rsidRPr="00B85D62">
        <w:rPr>
          <w:rFonts w:cs="Arial"/>
        </w:rPr>
        <w:t>section</w:t>
      </w:r>
      <w:r w:rsidR="06875C31" w:rsidRPr="00B85D62">
        <w:rPr>
          <w:rFonts w:cs="Arial"/>
        </w:rPr>
        <w:t xml:space="preserve"> </w:t>
      </w:r>
      <w:r w:rsidR="0058762A" w:rsidRPr="00B85D62">
        <w:rPr>
          <w:rFonts w:cs="Arial"/>
        </w:rPr>
        <w:t>8</w:t>
      </w:r>
      <w:r w:rsidR="06875C31" w:rsidRPr="00B85D62">
        <w:rPr>
          <w:rFonts w:cs="Arial"/>
        </w:rPr>
        <w:t>.2</w:t>
      </w:r>
      <w:r w:rsidRPr="00B85D62">
        <w:rPr>
          <w:rFonts w:cs="Arial"/>
        </w:rPr>
        <w:t xml:space="preserve">). These risk equations predicted that the </w:t>
      </w:r>
      <w:r w:rsidR="0058762A" w:rsidRPr="00B85D62">
        <w:rPr>
          <w:rFonts w:cs="Arial"/>
        </w:rPr>
        <w:t>cardiovascular</w:t>
      </w:r>
      <w:r w:rsidR="0058762A" w:rsidRPr="00B85D62" w:rsidDel="0058762A">
        <w:rPr>
          <w:rFonts w:cs="Arial"/>
        </w:rPr>
        <w:t xml:space="preserve"> </w:t>
      </w:r>
      <w:r w:rsidRPr="00B85D62">
        <w:rPr>
          <w:rFonts w:cs="Arial"/>
        </w:rPr>
        <w:t xml:space="preserve">risk was relatively stable over time, which we thought was unrealistic and did not reflect another study with a longer follow-up and a large sample size </w:t>
      </w:r>
      <w:r w:rsidR="00C35B5E" w:rsidRPr="00B85D62">
        <w:rPr>
          <w:rFonts w:cs="Arial"/>
          <w:noProof/>
          <w:color w:val="2B579A"/>
          <w:shd w:val="clear" w:color="auto" w:fill="E6E6E6"/>
          <w:vertAlign w:val="superscript"/>
        </w:rPr>
        <w:t>105</w:t>
      </w:r>
      <w:r w:rsidRPr="00B85D62">
        <w:rPr>
          <w:rFonts w:cs="Arial"/>
        </w:rPr>
        <w:t>. Perak</w:t>
      </w:r>
      <w:r w:rsidRPr="00B85D62">
        <w:rPr>
          <w:rFonts w:cs="Arial"/>
          <w:i/>
          <w:color w:val="00B0F0"/>
        </w:rPr>
        <w:t xml:space="preserve"> et al</w:t>
      </w:r>
      <w:r w:rsidRPr="00B85D62">
        <w:rPr>
          <w:rFonts w:cs="Arial"/>
        </w:rPr>
        <w:t xml:space="preserve"> used </w:t>
      </w:r>
      <w:r w:rsidRPr="00B85D62">
        <w:rPr>
          <w:rFonts w:cs="Arial"/>
          <w:highlight w:val="magenta"/>
        </w:rPr>
        <w:t>data</w:t>
      </w:r>
      <w:r w:rsidRPr="00B85D62">
        <w:rPr>
          <w:rFonts w:cs="Arial"/>
        </w:rPr>
        <w:t xml:space="preserve"> from six large US epidemiological cohorts to identify people with the PT-LDL-C indicating FH over a follow-up of up to 30 years. Using the curves of adjusted 30-year survival free from coronary heart disease presented in Perak</w:t>
      </w:r>
      <w:r w:rsidRPr="00B85D62">
        <w:rPr>
          <w:rFonts w:cs="Arial"/>
          <w:i/>
          <w:color w:val="00B0F0"/>
        </w:rPr>
        <w:t xml:space="preserve"> et al</w:t>
      </w:r>
      <w:r w:rsidRPr="00B85D62">
        <w:rPr>
          <w:rFonts w:cs="Arial"/>
        </w:rPr>
        <w:t>, which we digitised, we estimated a hazard ratio associated with longer follow-up, by comparing the cumulative hazard rate between 0</w:t>
      </w:r>
      <w:r w:rsidR="00B85D62" w:rsidRPr="00B85D62">
        <w:rPr>
          <w:rFonts w:cs="Arial"/>
          <w:color w:val="00B0F0"/>
        </w:rPr>
        <w:t>–</w:t>
      </w:r>
      <w:r w:rsidR="00B85D62" w:rsidRPr="00B85D62">
        <w:rPr>
          <w:rFonts w:cs="Arial"/>
          <w:color w:val="00B0F0"/>
        </w:rPr>
        <w:t>1</w:t>
      </w:r>
      <w:r w:rsidRPr="00B85D62">
        <w:rPr>
          <w:rFonts w:cs="Arial"/>
        </w:rPr>
        <w:t>0 years to 10</w:t>
      </w:r>
      <w:r w:rsidR="00B85D62" w:rsidRPr="00B85D62">
        <w:rPr>
          <w:rFonts w:cs="Arial"/>
          <w:color w:val="00B0F0"/>
        </w:rPr>
        <w:t>–</w:t>
      </w:r>
      <w:r w:rsidR="00B85D62" w:rsidRPr="00B85D62">
        <w:rPr>
          <w:rFonts w:cs="Arial"/>
          <w:color w:val="00B0F0"/>
        </w:rPr>
        <w:t>2</w:t>
      </w:r>
      <w:r w:rsidRPr="00B85D62">
        <w:rPr>
          <w:rFonts w:cs="Arial"/>
        </w:rPr>
        <w:t>0 years and 2</w:t>
      </w:r>
      <w:r w:rsidR="00B85D62" w:rsidRPr="00B85D62">
        <w:rPr>
          <w:rFonts w:cs="Arial"/>
          <w:color w:val="00B0F0"/>
        </w:rPr>
        <w:t>0</w:t>
      </w:r>
      <w:r w:rsidR="00B85D62" w:rsidRPr="00B85D62">
        <w:rPr>
          <w:rFonts w:cs="Arial"/>
          <w:color w:val="00B0F0"/>
        </w:rPr>
        <w:t> </w:t>
      </w:r>
      <w:r w:rsidR="00B85D62" w:rsidRPr="00B85D62">
        <w:rPr>
          <w:rFonts w:cs="Arial"/>
          <w:color w:val="00B0F0"/>
        </w:rPr>
        <w:t>+</w:t>
      </w:r>
      <w:r w:rsidRPr="00B85D62">
        <w:rPr>
          <w:rFonts w:cs="Arial"/>
        </w:rPr>
        <w:t xml:space="preserve"> years. We multiplied this hazard ratio by the estimated hazard rate (according to the risk equations estimated in </w:t>
      </w:r>
      <w:r w:rsidR="06875C31" w:rsidRPr="00B85D62">
        <w:rPr>
          <w:rFonts w:cs="Arial"/>
        </w:rPr>
        <w:t xml:space="preserve">section </w:t>
      </w:r>
      <w:r w:rsidR="0058762A" w:rsidRPr="00B85D62">
        <w:rPr>
          <w:rFonts w:cs="Arial"/>
        </w:rPr>
        <w:t>8</w:t>
      </w:r>
      <w:r w:rsidR="06875C31" w:rsidRPr="00B85D62">
        <w:rPr>
          <w:rFonts w:cs="Arial"/>
        </w:rPr>
        <w:t xml:space="preserve">.2 </w:t>
      </w:r>
      <w:r w:rsidRPr="00B85D62">
        <w:rPr>
          <w:rFonts w:cs="Arial"/>
        </w:rPr>
        <w:t>after 10 years from model entry or being at risk of CVD, whichever earlier</w:t>
      </w:r>
      <w:r w:rsidR="1B0BA2B6" w:rsidRPr="00B85D62">
        <w:rPr>
          <w:rFonts w:cs="Arial"/>
        </w:rPr>
        <w:t>)</w:t>
      </w:r>
      <w:r w:rsidR="006A155D" w:rsidRPr="00B85D62">
        <w:rPr>
          <w:rFonts w:cs="Arial"/>
        </w:rPr>
        <w:t>.</w:t>
      </w:r>
    </w:p>
    <w:p w14:paraId="20838D43" w14:textId="43D4E50F" w:rsidR="00B85D62" w:rsidRPr="00B85D62" w:rsidRDefault="29556E7B" w:rsidP="0066232B">
      <w:pPr>
        <w:rPr>
          <w:rFonts w:cs="Arial"/>
        </w:rPr>
      </w:pPr>
      <w:r w:rsidRPr="00B85D62">
        <w:rPr>
          <w:rFonts w:cs="Arial"/>
        </w:rPr>
        <w:t xml:space="preserve">To estimate the risk of the </w:t>
      </w:r>
      <w:r w:rsidR="00B85D62" w:rsidRPr="00B85D62">
        <w:rPr>
          <w:rFonts w:cs="Arial"/>
          <w:color w:val="00B0F0"/>
        </w:rPr>
        <w:t>1st</w:t>
      </w:r>
      <w:r w:rsidRPr="00B85D62">
        <w:rPr>
          <w:rFonts w:cs="Arial"/>
        </w:rPr>
        <w:t xml:space="preserve"> major CVD event in undiagnosed (and untreated) people, we assumed that diagnosis affected the risk of the first CVD event only via LDL-C, and that the effect of LDL-C on </w:t>
      </w:r>
      <w:r w:rsidR="0058762A" w:rsidRPr="00B85D62">
        <w:rPr>
          <w:rFonts w:cs="Arial"/>
        </w:rPr>
        <w:t>cardiovascular</w:t>
      </w:r>
      <w:r w:rsidR="0058762A" w:rsidRPr="00B85D62" w:rsidDel="0058762A">
        <w:rPr>
          <w:rFonts w:cs="Arial"/>
        </w:rPr>
        <w:t xml:space="preserve"> </w:t>
      </w:r>
      <w:r w:rsidRPr="00B85D62">
        <w:rPr>
          <w:rFonts w:cs="Arial"/>
        </w:rPr>
        <w:t xml:space="preserve">risk increases over time (known as </w:t>
      </w:r>
      <w:r w:rsidR="00B85D62" w:rsidRPr="00B85D62">
        <w:rPr>
          <w:rFonts w:cs="Arial"/>
        </w:rPr>
        <w:t>‘</w:t>
      </w:r>
      <w:r w:rsidRPr="00B85D62">
        <w:rPr>
          <w:rFonts w:cs="Arial"/>
        </w:rPr>
        <w:t>LDL-C burden</w:t>
      </w:r>
      <w:r w:rsidR="00B85D62" w:rsidRPr="00B85D62">
        <w:rPr>
          <w:rFonts w:cs="Arial"/>
        </w:rPr>
        <w:t>’</w:t>
      </w:r>
      <w:r w:rsidRPr="00B85D62">
        <w:rPr>
          <w:rFonts w:cs="Arial"/>
        </w:rPr>
        <w:t xml:space="preserve"> </w:t>
      </w:r>
      <w:r w:rsidR="00C35B5E" w:rsidRPr="00B85D62">
        <w:rPr>
          <w:rFonts w:cs="Arial"/>
          <w:noProof/>
          <w:color w:val="2B579A"/>
          <w:shd w:val="clear" w:color="auto" w:fill="E6E6E6"/>
          <w:vertAlign w:val="superscript"/>
        </w:rPr>
        <w:t>17, 147</w:t>
      </w:r>
      <w:r w:rsidRPr="00B85D62">
        <w:rPr>
          <w:rFonts w:cs="Arial"/>
        </w:rPr>
        <w:t xml:space="preserve">). The proportional reduction in LDL-C was the same for all patients and corresponded to the average reduction observed in the treated patients in the CPRD cohort (estimated in </w:t>
      </w:r>
      <w:r w:rsidR="06875C31" w:rsidRPr="00B85D62">
        <w:rPr>
          <w:rFonts w:cs="Arial"/>
        </w:rPr>
        <w:t xml:space="preserve">Section </w:t>
      </w:r>
      <w:r w:rsidR="009712A9" w:rsidRPr="00B85D62">
        <w:rPr>
          <w:rFonts w:cs="Arial"/>
        </w:rPr>
        <w:t>8</w:t>
      </w:r>
      <w:r w:rsidR="06875C31" w:rsidRPr="00B85D62">
        <w:rPr>
          <w:rFonts w:cs="Arial"/>
        </w:rPr>
        <w:t>.2)</w:t>
      </w:r>
      <w:r w:rsidRPr="00B85D62">
        <w:rPr>
          <w:rFonts w:cs="Arial"/>
        </w:rPr>
        <w:t xml:space="preserve">, given that the reduction was similar between those treated before and after a formal diagnosis (34.5% </w:t>
      </w:r>
      <w:r w:rsidRPr="00B85D62">
        <w:rPr>
          <w:rFonts w:cs="Arial"/>
          <w:i/>
          <w:iCs/>
        </w:rPr>
        <w:t>versus</w:t>
      </w:r>
      <w:r w:rsidRPr="00B85D62">
        <w:rPr>
          <w:rFonts w:cs="Arial"/>
        </w:rPr>
        <w:t xml:space="preserve"> 32.6%). The absolute reduction depended on the subgroup</w:t>
      </w:r>
      <w:r w:rsidR="00B85D62" w:rsidRPr="00B85D62">
        <w:rPr>
          <w:rFonts w:cs="Arial"/>
        </w:rPr>
        <w:t>’</w:t>
      </w:r>
      <w:r w:rsidRPr="00B85D62">
        <w:rPr>
          <w:rFonts w:cs="Arial"/>
        </w:rPr>
        <w:t xml:space="preserve">s PT-LDL-C. This assumed that (i) the LDL-C pre-treatment represents the LDL-C that people would have had if they had not been diagnosed and managed; and (ii) the proportional reduction in LDL-C is independent from the pre-treatment levels </w:t>
      </w:r>
      <w:r w:rsidR="00C35B5E" w:rsidRPr="00B85D62">
        <w:rPr>
          <w:rFonts w:cs="Arial"/>
          <w:noProof/>
          <w:color w:val="2B579A"/>
          <w:shd w:val="clear" w:color="auto" w:fill="E6E6E6"/>
          <w:vertAlign w:val="superscript"/>
        </w:rPr>
        <w:t>108</w:t>
      </w:r>
      <w:r w:rsidR="00B85D62" w:rsidRPr="00B85D62">
        <w:rPr>
          <w:rFonts w:cs="Arial"/>
          <w:color w:val="00B0F0"/>
        </w:rPr>
        <w:t>,</w:t>
      </w:r>
      <w:r w:rsidRPr="00B85D62">
        <w:rPr>
          <w:rFonts w:cs="Arial"/>
        </w:rPr>
        <w:t xml:space="preserve"> and it is generalisable to all FH people irrespective of age, sex, and PT-LDL-C.</w:t>
      </w:r>
    </w:p>
    <w:p w14:paraId="30EA2788" w14:textId="37D879C1" w:rsidR="00B85D62" w:rsidRPr="00B85D62" w:rsidRDefault="003250C1" w:rsidP="0066232B">
      <w:pPr>
        <w:rPr>
          <w:rFonts w:cs="Arial"/>
        </w:rPr>
      </w:pPr>
      <w:r w:rsidRPr="00B85D62">
        <w:rPr>
          <w:rFonts w:cs="Arial"/>
        </w:rPr>
        <w:t xml:space="preserve">To account for the effect of LDL-C burden, we estimated the effect of absolute reductions of LDL-C on </w:t>
      </w:r>
      <w:r w:rsidR="009712A9" w:rsidRPr="00B85D62">
        <w:rPr>
          <w:rFonts w:cs="Arial"/>
        </w:rPr>
        <w:t>cardiovascular</w:t>
      </w:r>
      <w:r w:rsidR="009712A9" w:rsidRPr="00B85D62" w:rsidDel="009712A9">
        <w:rPr>
          <w:rFonts w:cs="Arial"/>
        </w:rPr>
        <w:t xml:space="preserve"> </w:t>
      </w:r>
      <w:r w:rsidRPr="00B85D62">
        <w:rPr>
          <w:rFonts w:cs="Arial"/>
        </w:rPr>
        <w:t xml:space="preserve">risk with the equation proposed by the 2017 European Atherosclerosis Society (EAS) Consensus Statement (risk reduction per 1 mmol/L reduction in PT-LDL-C </w:t>
      </w:r>
      <m:oMath>
        <m:r>
          <w:rPr>
            <w:rFonts w:ascii="Cambria Math" w:hAnsi="Cambria Math" w:cs="Arial"/>
          </w:rPr>
          <m:t>=</m:t>
        </m:r>
        <m:sSup>
          <m:sSupPr>
            <m:ctrlPr>
              <w:rPr>
                <w:rFonts w:ascii="Cambria Math" w:hAnsi="Cambria Math" w:cs="Arial"/>
                <w:i/>
              </w:rPr>
            </m:ctrlPr>
          </m:sSupPr>
          <m:e>
            <m:r>
              <w:rPr>
                <w:rFonts w:ascii="Cambria Math" w:hAnsi="Cambria Math" w:cs="Arial"/>
              </w:rPr>
              <m:t>exp</m:t>
            </m:r>
          </m:e>
          <m:sup>
            <m:r>
              <w:rPr>
                <w:rFonts w:ascii="Cambria Math" w:hAnsi="Cambria Math" w:cs="Arial"/>
              </w:rPr>
              <m:t>(-0.24</m:t>
            </m:r>
            <m:r>
              <w:rPr>
                <w:rFonts w:ascii="Cambria Math" w:hAnsi="Cambria Math" w:cs="Arial"/>
                <w:color w:val="00B0F0"/>
              </w:rPr>
              <m:t>9</m:t>
            </m:r>
            <m:r>
              <w:rPr>
                <w:rFonts w:ascii="Cambria Math" w:hAnsi="Cambria Math" w:cs="Arial"/>
                <w:color w:val="00B0F0"/>
              </w:rPr>
              <m:t> </m:t>
            </m:r>
            <m:r>
              <w:rPr>
                <w:rFonts w:ascii="Cambria Math" w:hAnsi="Cambria Math" w:cs="Arial"/>
                <w:color w:val="00B0F0"/>
              </w:rPr>
              <m:t>+</m:t>
            </m:r>
            <m:r>
              <w:rPr>
                <w:rFonts w:ascii="Cambria Math" w:hAnsi="Cambria Math" w:cs="Arial"/>
              </w:rPr>
              <m:t>(number of years of treatment-5)×(-0.0152)</m:t>
            </m:r>
          </m:sup>
        </m:sSup>
      </m:oMath>
      <w:r w:rsidRPr="00B85D62">
        <w:rPr>
          <w:rFonts w:eastAsiaTheme="minorEastAsia" w:cs="Arial"/>
        </w:rPr>
        <w:t xml:space="preserve">), which related the number of years in treatment to reduction in atherosclerotic </w:t>
      </w:r>
      <w:r w:rsidR="009712A9" w:rsidRPr="00B85D62">
        <w:rPr>
          <w:rFonts w:eastAsiaTheme="minorEastAsia" w:cs="Arial"/>
        </w:rPr>
        <w:t>cardiovascular</w:t>
      </w:r>
      <w:r w:rsidR="009712A9" w:rsidRPr="00B85D62" w:rsidDel="009712A9">
        <w:rPr>
          <w:rFonts w:eastAsiaTheme="minorEastAsia" w:cs="Arial"/>
        </w:rPr>
        <w:t xml:space="preserve"> </w:t>
      </w:r>
      <w:r w:rsidRPr="00B85D62">
        <w:rPr>
          <w:rFonts w:eastAsiaTheme="minorEastAsia" w:cs="Arial"/>
        </w:rPr>
        <w:t xml:space="preserve">risk </w:t>
      </w:r>
      <w:r w:rsidR="00F80015" w:rsidRPr="00B85D62">
        <w:rPr>
          <w:rFonts w:eastAsiaTheme="minorEastAsia" w:cs="Arial"/>
          <w:noProof/>
          <w:vertAlign w:val="superscript"/>
        </w:rPr>
        <w:t>17</w:t>
      </w:r>
      <w:r w:rsidRPr="00B85D62">
        <w:rPr>
          <w:rFonts w:eastAsiaTheme="minorEastAsia" w:cs="Arial"/>
        </w:rPr>
        <w:t>. We assumed that the number of years of treatment corresponded to the number of years since diagnosis (i.e. model entry)</w:t>
      </w:r>
      <w:r w:rsidRPr="00B85D62">
        <w:rPr>
          <w:rFonts w:cs="Arial"/>
        </w:rPr>
        <w:t>.</w:t>
      </w:r>
    </w:p>
    <w:p w14:paraId="4329E098" w14:textId="1D62686E" w:rsidR="00B85D62" w:rsidRPr="00B85D62" w:rsidRDefault="00B85D62" w:rsidP="0066232B">
      <w:pPr>
        <w:rPr>
          <w:rFonts w:cs="Arial"/>
        </w:rPr>
      </w:pPr>
      <w:r w:rsidRPr="00B85D62">
        <w:rPr>
          <w:rFonts w:cs="Arial"/>
          <w:i/>
          <w:color w:val="FF0000"/>
        </w:rPr>
        <w:t>F</w:t>
      </w:r>
      <w:r w:rsidRPr="00B85D62">
        <w:rPr>
          <w:rFonts w:cs="Arial"/>
          <w:i/>
          <w:color w:val="FF0000"/>
        </w:rPr>
        <w:t>igure</w:t>
      </w:r>
      <w:r w:rsidRPr="00B85D62">
        <w:rPr>
          <w:rFonts w:cs="Arial"/>
          <w:i/>
          <w:color w:val="FF0000"/>
        </w:rPr>
        <w:t xml:space="preserve"> </w:t>
      </w:r>
      <w:r w:rsidRPr="00B85D62">
        <w:rPr>
          <w:rFonts w:cs="Arial"/>
          <w:i/>
          <w:color w:val="FF0000"/>
        </w:rPr>
        <w:t>12</w:t>
      </w:r>
      <w:r w:rsidR="29556E7B" w:rsidRPr="00B85D62">
        <w:rPr>
          <w:rFonts w:cs="Arial"/>
        </w:rPr>
        <w:t xml:space="preserve"> shows how the reduction in </w:t>
      </w:r>
      <w:r w:rsidR="009712A9" w:rsidRPr="00B85D62">
        <w:rPr>
          <w:rFonts w:cs="Arial"/>
        </w:rPr>
        <w:t>cardiovascular</w:t>
      </w:r>
      <w:r w:rsidR="009712A9" w:rsidRPr="00B85D62" w:rsidDel="009712A9">
        <w:rPr>
          <w:rFonts w:cs="Arial"/>
        </w:rPr>
        <w:t xml:space="preserve"> </w:t>
      </w:r>
      <w:r w:rsidR="29556E7B" w:rsidRPr="00B85D62">
        <w:rPr>
          <w:rFonts w:cs="Arial"/>
        </w:rPr>
        <w:t xml:space="preserve">risk depends on PT-LDL-C and duration of treatment (i.e. time since model entry and diagnosis) according to the EAS </w:t>
      </w:r>
      <w:r w:rsidRPr="00B85D62">
        <w:rPr>
          <w:rFonts w:cs="Arial"/>
          <w:i/>
          <w:color w:val="FF0000"/>
        </w:rPr>
        <w:t>E</w:t>
      </w:r>
      <w:r w:rsidRPr="00B85D62">
        <w:rPr>
          <w:rFonts w:cs="Arial"/>
          <w:i/>
          <w:color w:val="FF0000"/>
        </w:rPr>
        <w:t>quation</w:t>
      </w:r>
      <w:r w:rsidRPr="00B85D62">
        <w:rPr>
          <w:rFonts w:cs="Arial"/>
          <w:i/>
          <w:color w:val="FF0000"/>
        </w:rPr>
        <w:t xml:space="preserve"> </w:t>
      </w:r>
      <w:r w:rsidRPr="00B85D62">
        <w:rPr>
          <w:rFonts w:eastAsiaTheme="minorEastAsia" w:cs="Arial"/>
          <w:i/>
          <w:noProof/>
          <w:color w:val="FF0000"/>
          <w:vertAlign w:val="superscript"/>
        </w:rPr>
        <w:t>17</w:t>
      </w:r>
      <w:r w:rsidR="29556E7B" w:rsidRPr="00B85D62">
        <w:rPr>
          <w:rFonts w:eastAsiaTheme="minorEastAsia" w:cs="Arial"/>
        </w:rPr>
        <w:t xml:space="preserve">. </w:t>
      </w:r>
      <w:r w:rsidR="29556E7B" w:rsidRPr="00B85D62">
        <w:rPr>
          <w:rFonts w:cs="Arial"/>
        </w:rPr>
        <w:t>For 1 mmol/L reduction in PT-LDL-C, the risk reduction ranges from 17%</w:t>
      </w:r>
      <w:r w:rsidRPr="00B85D62">
        <w:rPr>
          <w:rFonts w:cs="Arial"/>
          <w:color w:val="00B0F0"/>
        </w:rPr>
        <w:t>–</w:t>
      </w:r>
      <w:r w:rsidRPr="00B85D62">
        <w:rPr>
          <w:rFonts w:cs="Arial"/>
          <w:color w:val="00B0F0"/>
        </w:rPr>
        <w:t>6</w:t>
      </w:r>
      <w:r w:rsidR="29556E7B" w:rsidRPr="00B85D62">
        <w:rPr>
          <w:rFonts w:cs="Arial"/>
        </w:rPr>
        <w:t>1% in 1</w:t>
      </w:r>
      <w:r w:rsidRPr="00B85D62">
        <w:rPr>
          <w:rFonts w:cs="Arial"/>
          <w:color w:val="00B0F0"/>
        </w:rPr>
        <w:t>–</w:t>
      </w:r>
      <w:r w:rsidRPr="00B85D62">
        <w:rPr>
          <w:rFonts w:cs="Arial"/>
          <w:color w:val="00B0F0"/>
        </w:rPr>
        <w:t>5</w:t>
      </w:r>
      <w:r w:rsidR="29556E7B" w:rsidRPr="00B85D62">
        <w:rPr>
          <w:rFonts w:cs="Arial"/>
        </w:rPr>
        <w:t xml:space="preserve">0 years. At 5 years, the risk reduction is 22%, in line with the meta-analysis of trials of statin treatment </w:t>
      </w:r>
      <w:r w:rsidR="00F80015" w:rsidRPr="00B85D62">
        <w:rPr>
          <w:rFonts w:cs="Arial"/>
          <w:noProof/>
          <w:vertAlign w:val="superscript"/>
        </w:rPr>
        <w:t>18</w:t>
      </w:r>
      <w:r w:rsidR="29556E7B" w:rsidRPr="00B85D62">
        <w:rPr>
          <w:rFonts w:cs="Arial"/>
        </w:rPr>
        <w:t xml:space="preserve">. Longer treatment durations result in greater risk reductions. For example, 54% risk reduction is achieved after 40 years, which is similar to the risk reduction estimated from Mendelian randomisation studies </w:t>
      </w:r>
      <w:r w:rsidR="00C35B5E" w:rsidRPr="00B85D62">
        <w:rPr>
          <w:rFonts w:cs="Arial"/>
          <w:noProof/>
          <w:color w:val="2B579A"/>
          <w:shd w:val="clear" w:color="auto" w:fill="E6E6E6"/>
          <w:vertAlign w:val="superscript"/>
        </w:rPr>
        <w:t>148</w:t>
      </w:r>
      <w:r w:rsidRPr="00B85D62">
        <w:rPr>
          <w:rFonts w:cs="Arial"/>
          <w:noProof/>
          <w:color w:val="00B0F0"/>
          <w:shd w:val="clear" w:color="auto" w:fill="E6E6E6"/>
          <w:vertAlign w:val="superscript"/>
        </w:rPr>
        <w:t>–</w:t>
      </w:r>
      <w:r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51</w:t>
      </w:r>
      <w:r w:rsidR="29556E7B" w:rsidRPr="00B85D62">
        <w:rPr>
          <w:rFonts w:cs="Arial"/>
        </w:rPr>
        <w:t>. Greater risk reductions are achieved for larger reductions in PT-LDL-C. For example, 2 mmol/L reduction results in risk reductions between 31%</w:t>
      </w:r>
      <w:r w:rsidRPr="00B85D62">
        <w:rPr>
          <w:rFonts w:cs="Arial"/>
          <w:color w:val="00B0F0"/>
        </w:rPr>
        <w:t>–</w:t>
      </w:r>
      <w:r w:rsidRPr="00B85D62">
        <w:rPr>
          <w:rFonts w:cs="Arial"/>
          <w:color w:val="00B0F0"/>
        </w:rPr>
        <w:t>8</w:t>
      </w:r>
      <w:r w:rsidR="29556E7B" w:rsidRPr="00B85D62">
        <w:rPr>
          <w:rFonts w:cs="Arial"/>
        </w:rPr>
        <w:t>5% depending on the time since model entry (or diagnosis).</w:t>
      </w:r>
    </w:p>
    <w:p w14:paraId="5845ED47" w14:textId="2637058B" w:rsidR="00B85D62" w:rsidRPr="00B85D62" w:rsidRDefault="00B85D62" w:rsidP="00E26BF7">
      <w:pPr>
        <w:pStyle w:val="Caption"/>
        <w:keepNext/>
      </w:pPr>
      <w:bookmarkStart w:id="210" w:name="_Toc79740231"/>
      <w:bookmarkStart w:id="211" w:name="_Toc107157394"/>
      <w:r w:rsidRPr="00B85D62">
        <w:rPr>
          <w:i/>
          <w:color w:val="FF0000"/>
        </w:rPr>
        <w:t>F</w:t>
      </w:r>
      <w:r w:rsidRPr="00B85D62">
        <w:rPr>
          <w:i/>
          <w:color w:val="FF0000"/>
        </w:rPr>
        <w:t>igure</w:t>
      </w:r>
      <w:r w:rsidRPr="00B85D62">
        <w:rPr>
          <w:i/>
          <w:color w:val="FF0000"/>
        </w:rPr>
        <w:t xml:space="preserve"> </w:t>
      </w:r>
      <w:r w:rsidRPr="00B85D62">
        <w:rPr>
          <w:i/>
          <w:noProof/>
          <w:color w:val="FF0000"/>
        </w:rPr>
        <w:t>12</w:t>
      </w:r>
      <w:r w:rsidR="00E26BF7" w:rsidRPr="00B85D62">
        <w:t xml:space="preserve"> </w:t>
      </w:r>
      <w:r w:rsidR="00E26BF7" w:rsidRPr="00B85D62">
        <w:rPr>
          <w:b w:val="0"/>
          <w:bCs/>
        </w:rPr>
        <w:t>Relationship between treatment duration and reduction in cardiovascular risk</w:t>
      </w:r>
      <w:bookmarkEnd w:id="210"/>
      <w:bookmarkEnd w:id="211"/>
    </w:p>
    <w:p w14:paraId="7C4D1013" w14:textId="462F5C48" w:rsidR="003250C1" w:rsidRPr="00B85D62" w:rsidRDefault="29556E7B" w:rsidP="0066232B">
      <w:pPr>
        <w:rPr>
          <w:rFonts w:cs="Arial"/>
        </w:rPr>
      </w:pPr>
      <w:r w:rsidRPr="00B85D62">
        <w:rPr>
          <w:rFonts w:cs="Arial"/>
        </w:rPr>
        <w:t xml:space="preserve">As </w:t>
      </w:r>
      <w:r w:rsidR="009712A9" w:rsidRPr="00B85D62">
        <w:rPr>
          <w:rFonts w:cs="Arial"/>
        </w:rPr>
        <w:t xml:space="preserve">only </w:t>
      </w:r>
      <w:r w:rsidRPr="00B85D62">
        <w:rPr>
          <w:rFonts w:cs="Arial"/>
        </w:rPr>
        <w:t>22% of the CPRD cohort were under the age of 40 years at the time of FH diagnosis, there is uncertainty in the extent to the risk equations generalise to younger people. Following feedback from the Stakeholder</w:t>
      </w:r>
      <w:r w:rsidR="00B85D62" w:rsidRPr="00B85D62">
        <w:rPr>
          <w:rFonts w:cs="Arial"/>
        </w:rPr>
        <w:t>’</w:t>
      </w:r>
      <w:r w:rsidRPr="00B85D62">
        <w:rPr>
          <w:rFonts w:cs="Arial"/>
        </w:rPr>
        <w:t>s Group and given that the youngest age at CVD event recorded in PASS was 25 years of age, we assumed that people are at risk of a CVD event from 25 years of age.</w:t>
      </w:r>
    </w:p>
    <w:p w14:paraId="336E9A92" w14:textId="77777777" w:rsidR="003250C1" w:rsidRPr="00B85D62" w:rsidRDefault="29556E7B" w:rsidP="0066232B">
      <w:pPr>
        <w:keepNext/>
        <w:keepLines/>
        <w:spacing w:before="40"/>
        <w:outlineLvl w:val="3"/>
        <w:rPr>
          <w:rFonts w:eastAsiaTheme="minorEastAsia" w:cs="Arial"/>
          <w:b/>
          <w:bCs/>
          <w:color w:val="2F5496" w:themeColor="accent1" w:themeShade="BF"/>
        </w:rPr>
      </w:pPr>
      <w:r w:rsidRPr="00B85D62">
        <w:rPr>
          <w:rFonts w:eastAsiaTheme="minorEastAsia" w:cs="Arial"/>
          <w:b/>
          <w:bCs/>
        </w:rPr>
        <w:t>Risk of non-cardiovascular death</w:t>
      </w:r>
    </w:p>
    <w:p w14:paraId="47129E7D" w14:textId="218A474A" w:rsidR="00B85D62" w:rsidRPr="00B85D62" w:rsidRDefault="003250C1" w:rsidP="0066232B">
      <w:pPr>
        <w:rPr>
          <w:rFonts w:cs="Arial"/>
        </w:rPr>
      </w:pPr>
      <w:r w:rsidRPr="00B85D62">
        <w:rPr>
          <w:rFonts w:cs="Arial"/>
        </w:rPr>
        <w:t xml:space="preserve">We informed the risk of non-CVD death from the UK lifetables </w:t>
      </w:r>
      <w:r w:rsidR="00C35B5E" w:rsidRPr="00B85D62">
        <w:rPr>
          <w:rFonts w:cs="Arial"/>
          <w:noProof/>
          <w:color w:val="2B579A"/>
          <w:shd w:val="clear" w:color="auto" w:fill="E6E6E6"/>
          <w:vertAlign w:val="superscript"/>
        </w:rPr>
        <w:t>152</w:t>
      </w:r>
      <w:r w:rsidRPr="00B85D62">
        <w:rPr>
          <w:rFonts w:cs="Arial"/>
        </w:rPr>
        <w:t xml:space="preserve">. We assumed that the LDL-C reduction </w:t>
      </w:r>
      <w:r w:rsidRPr="00B85D62">
        <w:rPr>
          <w:rFonts w:cs="Arial"/>
          <w:highlight w:val="magenta"/>
        </w:rPr>
        <w:t>due to</w:t>
      </w:r>
      <w:r w:rsidRPr="00B85D62">
        <w:rPr>
          <w:rFonts w:cs="Arial"/>
        </w:rPr>
        <w:t xml:space="preserve"> diagnosis reduces the risk of non-CVD death prior to the </w:t>
      </w:r>
      <w:r w:rsidR="00B85D62" w:rsidRPr="00B85D62">
        <w:rPr>
          <w:rFonts w:cs="Arial"/>
          <w:color w:val="00B0F0"/>
        </w:rPr>
        <w:t>1st</w:t>
      </w:r>
      <w:r w:rsidRPr="00B85D62">
        <w:rPr>
          <w:rFonts w:cs="Arial"/>
        </w:rPr>
        <w:t xml:space="preserve"> CVD event as estimated by the meta-analysis of trials of statins by the Cholesterol Treatment </w:t>
      </w:r>
      <w:r w:rsidR="00B85D62" w:rsidRPr="00B85D62">
        <w:rPr>
          <w:rFonts w:cs="Arial"/>
          <w:color w:val="00B0F0"/>
        </w:rPr>
        <w:t>Triallists</w:t>
      </w:r>
      <w:r w:rsidR="00B85D62" w:rsidRPr="00B85D62">
        <w:rPr>
          <w:rFonts w:cs="Arial"/>
        </w:rPr>
        <w:t>’</w:t>
      </w:r>
      <w:r w:rsidRPr="00B85D62">
        <w:rPr>
          <w:rFonts w:cs="Arial"/>
        </w:rPr>
        <w:t xml:space="preserve"> Collaboration </w:t>
      </w:r>
      <w:r w:rsidR="00F80015" w:rsidRPr="00B85D62">
        <w:rPr>
          <w:rFonts w:cs="Arial"/>
          <w:noProof/>
          <w:vertAlign w:val="superscript"/>
        </w:rPr>
        <w:t>18</w:t>
      </w:r>
      <w:r w:rsidRPr="00B85D62">
        <w:rPr>
          <w:rFonts w:cs="Arial"/>
        </w:rPr>
        <w:t>.</w:t>
      </w:r>
    </w:p>
    <w:p w14:paraId="0B5BE329" w14:textId="4B52EB1D" w:rsidR="003250C1" w:rsidRPr="00B85D62" w:rsidRDefault="003250C1" w:rsidP="0066232B">
      <w:pPr>
        <w:rPr>
          <w:rFonts w:cs="Arial"/>
          <w:b/>
          <w:bCs/>
        </w:rPr>
      </w:pPr>
      <w:r w:rsidRPr="00B85D62">
        <w:rPr>
          <w:rFonts w:cs="Arial"/>
          <w:b/>
          <w:bCs/>
        </w:rPr>
        <w:t>Risk of all cause death following the first non-fatal CVD event</w:t>
      </w:r>
    </w:p>
    <w:p w14:paraId="117EF41E" w14:textId="27709003" w:rsidR="00B85D62" w:rsidRPr="00B85D62" w:rsidRDefault="29556E7B" w:rsidP="0066232B">
      <w:pPr>
        <w:rPr>
          <w:rFonts w:cs="Arial"/>
        </w:rPr>
      </w:pPr>
      <w:r w:rsidRPr="00B85D62">
        <w:rPr>
          <w:rFonts w:cs="Arial"/>
        </w:rPr>
        <w:t xml:space="preserve">It was not possible to use the </w:t>
      </w:r>
      <w:r w:rsidRPr="00B85D62">
        <w:rPr>
          <w:rFonts w:cs="Arial"/>
          <w:highlight w:val="magenta"/>
        </w:rPr>
        <w:t>data</w:t>
      </w:r>
      <w:r w:rsidRPr="00B85D62">
        <w:rPr>
          <w:rFonts w:cs="Arial"/>
        </w:rPr>
        <w:t xml:space="preserve"> from the CPRD cohort to inform the risk of all-cause death following a first non-fatal event directly </w:t>
      </w:r>
      <w:r w:rsidRPr="00B85D62">
        <w:rPr>
          <w:rFonts w:cs="Arial"/>
          <w:highlight w:val="magenta"/>
        </w:rPr>
        <w:t>due to</w:t>
      </w:r>
      <w:r w:rsidRPr="00B85D62">
        <w:rPr>
          <w:rFonts w:cs="Arial"/>
        </w:rPr>
        <w:t xml:space="preserve"> small numbers (see </w:t>
      </w:r>
      <w:r w:rsidR="06875C31" w:rsidRPr="00B85D62">
        <w:rPr>
          <w:rFonts w:cs="Arial"/>
        </w:rPr>
        <w:t xml:space="preserve">section </w:t>
      </w:r>
      <w:r w:rsidR="009712A9" w:rsidRPr="00B85D62">
        <w:rPr>
          <w:rFonts w:cs="Arial"/>
        </w:rPr>
        <w:t>8</w:t>
      </w:r>
      <w:r w:rsidR="06875C31" w:rsidRPr="00B85D62">
        <w:rPr>
          <w:rFonts w:cs="Arial"/>
        </w:rPr>
        <w:t>.2</w:t>
      </w:r>
      <w:r w:rsidRPr="00B85D62">
        <w:rPr>
          <w:rFonts w:cs="Arial"/>
        </w:rPr>
        <w:t>). An examination of the literature did not find studies which reported mortality risk by age and sex following a first non-fatal CVD event in people with FH. Therefore, we selected the risk equations by Lewsey</w:t>
      </w:r>
      <w:r w:rsidRPr="00B85D62">
        <w:rPr>
          <w:rFonts w:cs="Arial"/>
          <w:i/>
          <w:color w:val="00B0F0"/>
        </w:rPr>
        <w:t xml:space="preserve"> et al</w:t>
      </w:r>
      <w:r w:rsidR="00895586" w:rsidRPr="00B85D62">
        <w:rPr>
          <w:rFonts w:cs="Arial"/>
        </w:rPr>
        <w:t xml:space="preserve"> </w:t>
      </w:r>
      <w:r w:rsidR="00C35B5E" w:rsidRPr="00B85D62">
        <w:rPr>
          <w:rFonts w:cs="Arial"/>
          <w:noProof/>
          <w:color w:val="2B579A"/>
          <w:shd w:val="clear" w:color="auto" w:fill="E6E6E6"/>
          <w:vertAlign w:val="superscript"/>
        </w:rPr>
        <w:t>153</w:t>
      </w:r>
      <w:r w:rsidRPr="00B85D62">
        <w:rPr>
          <w:rFonts w:cs="Arial"/>
        </w:rPr>
        <w:t xml:space="preserve">, because they were based on UK </w:t>
      </w:r>
      <w:r w:rsidRPr="00B85D62">
        <w:rPr>
          <w:rFonts w:cs="Arial"/>
          <w:highlight w:val="magenta"/>
        </w:rPr>
        <w:t>data</w:t>
      </w:r>
      <w:r w:rsidRPr="00B85D62">
        <w:rPr>
          <w:rFonts w:cs="Arial"/>
        </w:rPr>
        <w:t xml:space="preserve"> (the Scottish Health Extended Cohort), with a large sample size (N=3,184 people who had a first non-fatal event), linked to routine </w:t>
      </w:r>
      <w:r w:rsidRPr="00B85D62">
        <w:rPr>
          <w:rFonts w:cs="Arial"/>
          <w:highlight w:val="magenta"/>
        </w:rPr>
        <w:t>data</w:t>
      </w:r>
      <w:r w:rsidRPr="00B85D62">
        <w:rPr>
          <w:rFonts w:cs="Arial"/>
        </w:rPr>
        <w:t xml:space="preserve"> on hospital admissions and death registrations, and long follow-up (median follow-up 4.8</w:t>
      </w:r>
      <w:r w:rsidR="00B85D62" w:rsidRPr="00B85D62">
        <w:rPr>
          <w:rFonts w:cs="Arial"/>
          <w:color w:val="00B0F0"/>
        </w:rPr>
        <w:t>–</w:t>
      </w:r>
      <w:r w:rsidR="00B85D62" w:rsidRPr="00B85D62">
        <w:rPr>
          <w:rFonts w:cs="Arial"/>
          <w:color w:val="00B0F0"/>
        </w:rPr>
        <w:t>7</w:t>
      </w:r>
      <w:r w:rsidRPr="00B85D62">
        <w:rPr>
          <w:rFonts w:cs="Arial"/>
        </w:rPr>
        <w:t>.6 years depending on sex and CVD event group).</w:t>
      </w:r>
    </w:p>
    <w:p w14:paraId="59FF555B" w14:textId="525B0A58" w:rsidR="003250C1" w:rsidRPr="00B85D62" w:rsidRDefault="29556E7B" w:rsidP="0066232B">
      <w:pPr>
        <w:rPr>
          <w:rFonts w:cs="Arial"/>
        </w:rPr>
      </w:pPr>
      <w:r w:rsidRPr="00B85D62">
        <w:rPr>
          <w:rFonts w:cs="Arial"/>
        </w:rPr>
        <w:t xml:space="preserve">We derived a constant probability of death from the </w:t>
      </w:r>
      <w:r w:rsidR="00B85D62" w:rsidRPr="00B85D62">
        <w:rPr>
          <w:rFonts w:cs="Arial"/>
          <w:color w:val="00B0F0"/>
        </w:rPr>
        <w:t>1st</w:t>
      </w:r>
      <w:r w:rsidRPr="00B85D62">
        <w:rPr>
          <w:rFonts w:cs="Arial"/>
        </w:rPr>
        <w:t xml:space="preserve"> non-fatal CVD event using the Lewsey equations, according to the people</w:t>
      </w:r>
      <w:r w:rsidR="00B85D62" w:rsidRPr="00B85D62">
        <w:rPr>
          <w:rFonts w:cs="Arial"/>
        </w:rPr>
        <w:t>’</w:t>
      </w:r>
      <w:r w:rsidRPr="00B85D62">
        <w:rPr>
          <w:rFonts w:cs="Arial"/>
        </w:rPr>
        <w:t xml:space="preserve"> age at the event, their sex and whether the event was TIA/stroke or ACS. We adjusted the probability for survival pos</w:t>
      </w:r>
      <w:r w:rsidR="00B85D62" w:rsidRPr="00B85D62">
        <w:rPr>
          <w:rFonts w:cs="Arial"/>
          <w:color w:val="00B0F0"/>
        </w:rPr>
        <w:t>t</w:t>
      </w:r>
      <w:r w:rsidR="00B85D62" w:rsidRPr="00B85D62">
        <w:rPr>
          <w:rFonts w:cs="Arial"/>
          <w:color w:val="00B0F0"/>
        </w:rPr>
        <w:t>-</w:t>
      </w:r>
      <w:r w:rsidR="00B85D62" w:rsidRPr="00B85D62">
        <w:rPr>
          <w:rFonts w:cs="Arial"/>
          <w:color w:val="00B0F0"/>
        </w:rPr>
        <w:t>1st</w:t>
      </w:r>
      <w:r w:rsidRPr="00B85D62">
        <w:rPr>
          <w:rFonts w:cs="Arial"/>
        </w:rPr>
        <w:t xml:space="preserve"> non-fatal ACS downwards given the underprediction of mortality risk </w:t>
      </w:r>
      <w:r w:rsidRPr="00B85D62">
        <w:rPr>
          <w:rFonts w:cs="Arial"/>
          <w:highlight w:val="magenta"/>
        </w:rPr>
        <w:t>compared to</w:t>
      </w:r>
      <w:r w:rsidRPr="00B85D62">
        <w:rPr>
          <w:rFonts w:cs="Arial"/>
        </w:rPr>
        <w:t xml:space="preserve"> the observed survival in the CPRD cohort. Additionally, we adjusted with the probability of death in the general population to ensure the mortality risk was never below the general population mortality. Our approach is described in detail in</w:t>
      </w:r>
      <w:r w:rsidR="00895586" w:rsidRPr="00B85D62">
        <w:rPr>
          <w:rFonts w:cs="Arial"/>
        </w:rPr>
        <w:t xml:space="preserve"> </w:t>
      </w:r>
      <w:r w:rsidRPr="00B85D62">
        <w:rPr>
          <w:rFonts w:cs="Arial"/>
          <w:i/>
          <w:iCs/>
        </w:rPr>
        <w:t>Survival pos</w:t>
      </w:r>
      <w:r w:rsidR="00B85D62" w:rsidRPr="00B85D62">
        <w:rPr>
          <w:rFonts w:cs="Arial"/>
          <w:i/>
          <w:iCs/>
          <w:color w:val="00B0F0"/>
        </w:rPr>
        <w:t>t</w:t>
      </w:r>
      <w:r w:rsidR="00B85D62" w:rsidRPr="00B85D62">
        <w:rPr>
          <w:rFonts w:cs="Arial"/>
          <w:i/>
          <w:iCs/>
          <w:color w:val="00B0F0"/>
        </w:rPr>
        <w:t>-</w:t>
      </w:r>
      <w:r w:rsidR="00B85D62" w:rsidRPr="00B85D62">
        <w:rPr>
          <w:rFonts w:cs="Arial"/>
          <w:i/>
          <w:iCs/>
          <w:color w:val="00B0F0"/>
        </w:rPr>
        <w:t>1st</w:t>
      </w:r>
      <w:r w:rsidRPr="00B85D62">
        <w:rPr>
          <w:rFonts w:cs="Arial"/>
          <w:i/>
          <w:iCs/>
        </w:rPr>
        <w:t xml:space="preserve"> CVD event</w:t>
      </w:r>
      <w:r w:rsidR="4A63A3F8" w:rsidRPr="00B85D62">
        <w:rPr>
          <w:rFonts w:cs="Arial"/>
          <w:i/>
          <w:iCs/>
        </w:rPr>
        <w:t xml:space="preserve"> section </w:t>
      </w:r>
      <w:r w:rsidR="4A63A3F8" w:rsidRPr="00B85D62">
        <w:rPr>
          <w:rFonts w:cs="Arial"/>
        </w:rPr>
        <w:t xml:space="preserve">in </w:t>
      </w:r>
      <w:r w:rsidR="007D5CFE" w:rsidRPr="00B85D62">
        <w:rPr>
          <w:rFonts w:cs="Arial"/>
        </w:rPr>
        <w:t>Online</w:t>
      </w:r>
      <w:r w:rsidR="007D5CFE" w:rsidRPr="00B85D62">
        <w:rPr>
          <w:rFonts w:eastAsia="Arial" w:cs="Arial"/>
          <w:i/>
          <w:color w:val="000000" w:themeColor="text1"/>
        </w:rPr>
        <w:t xml:space="preserve"> Supplementary file 4 </w:t>
      </w:r>
      <w:r w:rsidR="007D5CFE" w:rsidRPr="00B85D62">
        <w:rPr>
          <w:rFonts w:cs="Arial"/>
          <w:i/>
        </w:rPr>
        <w:t>(Cost and health benefits</w:t>
      </w:r>
      <w:r w:rsidR="007D5CFE" w:rsidRPr="00B85D62">
        <w:rPr>
          <w:rFonts w:cs="Arial"/>
        </w:rPr>
        <w:t>)</w:t>
      </w:r>
      <w:r w:rsidRPr="00B85D62">
        <w:rPr>
          <w:rFonts w:cs="Arial"/>
        </w:rPr>
        <w:t>.</w:t>
      </w:r>
    </w:p>
    <w:p w14:paraId="337A7A85" w14:textId="77777777" w:rsidR="003250C1" w:rsidRPr="00B85D62" w:rsidRDefault="003250C1" w:rsidP="0066232B">
      <w:pPr>
        <w:rPr>
          <w:rFonts w:cs="Arial"/>
          <w:b/>
          <w:bCs/>
        </w:rPr>
      </w:pPr>
      <w:r w:rsidRPr="00B85D62">
        <w:rPr>
          <w:rFonts w:cs="Arial"/>
          <w:b/>
          <w:bCs/>
        </w:rPr>
        <w:t>Effect of FH diagnosis on costs</w:t>
      </w:r>
    </w:p>
    <w:p w14:paraId="02EDD7A7" w14:textId="267867C4" w:rsidR="00B85D62" w:rsidRPr="00B85D62" w:rsidRDefault="003250C1" w:rsidP="0066232B">
      <w:pPr>
        <w:rPr>
          <w:rFonts w:cs="Arial"/>
        </w:rPr>
      </w:pPr>
      <w:r w:rsidRPr="00B85D62">
        <w:rPr>
          <w:rFonts w:cs="Arial"/>
        </w:rPr>
        <w:t xml:space="preserve">We based the frequency and type of appointments and lipid tests on the 2019 NICE CG71 </w:t>
      </w:r>
      <w:r w:rsidR="00F80015" w:rsidRPr="00B85D62">
        <w:rPr>
          <w:rFonts w:cs="Arial"/>
          <w:noProof/>
          <w:vertAlign w:val="superscript"/>
        </w:rPr>
        <w:t>9</w:t>
      </w:r>
      <w:r w:rsidRPr="00B85D62">
        <w:rPr>
          <w:rFonts w:cs="Arial"/>
        </w:rPr>
        <w:t xml:space="preserve">, the Heart UK consensus statement on care of children and adolescents with FH </w:t>
      </w:r>
      <w:r w:rsidR="00C35B5E" w:rsidRPr="00B85D62">
        <w:rPr>
          <w:rFonts w:cs="Arial"/>
          <w:noProof/>
          <w:color w:val="2B579A"/>
          <w:shd w:val="clear" w:color="auto" w:fill="E6E6E6"/>
          <w:vertAlign w:val="superscript"/>
        </w:rPr>
        <w:t>154</w:t>
      </w:r>
      <w:r w:rsidRPr="00B85D62">
        <w:rPr>
          <w:rFonts w:cs="Arial"/>
        </w:rPr>
        <w:t xml:space="preserve">, and feedback from our Stakeholder Group. We assumed that all people are monitored from diagnosis. People aged </w:t>
      </w:r>
      <w:r w:rsidR="00B85D62" w:rsidRPr="00B85D62">
        <w:rPr>
          <w:rFonts w:cs="Arial"/>
          <w:color w:val="00B0F0"/>
        </w:rPr>
        <w:t>≥</w:t>
      </w:r>
      <w:r w:rsidR="00B85D62" w:rsidRPr="00B85D62">
        <w:rPr>
          <w:rFonts w:cs="Arial"/>
          <w:color w:val="00B0F0"/>
        </w:rPr>
        <w:t> </w:t>
      </w:r>
      <w:r w:rsidRPr="00B85D62">
        <w:rPr>
          <w:rFonts w:cs="Arial"/>
        </w:rPr>
        <w:t>10 years are actively treated and have the benefits and costs of treatment, irrespective of their PT-LDL-C. Even though people with low LDL-C at diagnosis may be monitored and adopt a healthier lifestyle, and only start LLT when their LDL-C increases, it was not feasible to account for changes in LDL-C over time in the model.</w:t>
      </w:r>
    </w:p>
    <w:p w14:paraId="31E716B2" w14:textId="4E67E5F5" w:rsidR="003250C1" w:rsidRPr="00B85D62" w:rsidRDefault="29556E7B" w:rsidP="0066232B">
      <w:pPr>
        <w:rPr>
          <w:rFonts w:cs="Arial"/>
        </w:rPr>
      </w:pPr>
      <w:r w:rsidRPr="00B85D62">
        <w:rPr>
          <w:rFonts w:cs="Arial"/>
        </w:rPr>
        <w:t xml:space="preserve">We calculated the acquisition costs of LLT as the weighted average of the acquisition costs of LLT given the most intense LLT within 2 years of treatment initiation observed in the CPRD cohort, by class, and using the cheapest drug in the class </w:t>
      </w:r>
      <w:r w:rsidR="00C35B5E" w:rsidRPr="00B85D62">
        <w:rPr>
          <w:rFonts w:cs="Arial"/>
          <w:noProof/>
          <w:color w:val="2B579A"/>
          <w:shd w:val="clear" w:color="auto" w:fill="E6E6E6"/>
          <w:vertAlign w:val="superscript"/>
        </w:rPr>
        <w:t>155</w:t>
      </w:r>
      <w:r w:rsidRPr="00B85D62">
        <w:rPr>
          <w:rFonts w:cs="Arial"/>
        </w:rPr>
        <w:t>.</w:t>
      </w:r>
    </w:p>
    <w:p w14:paraId="095E6EA1" w14:textId="77777777" w:rsidR="003250C1" w:rsidRPr="00B85D62" w:rsidRDefault="003250C1" w:rsidP="0066232B">
      <w:pPr>
        <w:rPr>
          <w:rFonts w:cs="Arial"/>
          <w:b/>
          <w:bCs/>
        </w:rPr>
      </w:pPr>
      <w:r w:rsidRPr="00B85D62">
        <w:rPr>
          <w:rFonts w:cs="Arial"/>
          <w:b/>
          <w:bCs/>
        </w:rPr>
        <w:t>Other inputs</w:t>
      </w:r>
    </w:p>
    <w:p w14:paraId="5CD095A7" w14:textId="67296B9C" w:rsidR="00B85D62" w:rsidRPr="00B85D62" w:rsidRDefault="003250C1" w:rsidP="0066232B">
      <w:pPr>
        <w:rPr>
          <w:rFonts w:cs="Arial"/>
        </w:rPr>
      </w:pPr>
      <w:r w:rsidRPr="00B85D62">
        <w:rPr>
          <w:rFonts w:cs="Arial"/>
        </w:rPr>
        <w:t xml:space="preserve">We obtained unit costs from national sources </w:t>
      </w:r>
      <w:r w:rsidR="00C35B5E" w:rsidRPr="00B85D62">
        <w:rPr>
          <w:rFonts w:cs="Arial"/>
          <w:noProof/>
          <w:color w:val="2B579A"/>
          <w:shd w:val="clear" w:color="auto" w:fill="E6E6E6"/>
          <w:vertAlign w:val="superscript"/>
        </w:rPr>
        <w:t>155</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57</w:t>
      </w:r>
      <w:r w:rsidRPr="00B85D62">
        <w:rPr>
          <w:rFonts w:cs="Arial"/>
        </w:rPr>
        <w:t xml:space="preserve">, supplemented by the cost-effectiveness analysis conducted for NICE CG181 </w:t>
      </w:r>
      <w:r w:rsidR="00C35B5E" w:rsidRPr="00B85D62">
        <w:rPr>
          <w:rFonts w:cs="Arial"/>
          <w:noProof/>
          <w:color w:val="2B579A"/>
          <w:shd w:val="clear" w:color="auto" w:fill="E6E6E6"/>
          <w:vertAlign w:val="superscript"/>
        </w:rPr>
        <w:t>158</w:t>
      </w:r>
      <w:r w:rsidRPr="00B85D62">
        <w:rPr>
          <w:rFonts w:cs="Arial"/>
        </w:rPr>
        <w:t xml:space="preserve">. We also used this analysis to inform the costs of adverse events </w:t>
      </w:r>
      <w:r w:rsidRPr="00B85D62">
        <w:rPr>
          <w:rFonts w:cs="Arial"/>
          <w:highlight w:val="magenta"/>
        </w:rPr>
        <w:t>due to</w:t>
      </w:r>
      <w:r w:rsidRPr="00B85D62">
        <w:rPr>
          <w:rFonts w:cs="Arial"/>
        </w:rPr>
        <w:t xml:space="preserve"> LLT and the health-related quality of life associated with the health states. We obtained the costs associated with the health states from an analysis of the lifetime healthcare use and costs of people with stable coronary artery disease in England, including 94,966 people from 2001 to 2010, using routine health care records </w:t>
      </w:r>
      <w:r w:rsidR="00C35B5E" w:rsidRPr="00B85D62">
        <w:rPr>
          <w:rFonts w:cs="Arial"/>
          <w:noProof/>
          <w:color w:val="2B579A"/>
          <w:shd w:val="clear" w:color="auto" w:fill="E6E6E6"/>
          <w:vertAlign w:val="superscript"/>
        </w:rPr>
        <w:t>159</w:t>
      </w:r>
      <w:r w:rsidRPr="00B85D62">
        <w:rPr>
          <w:rFonts w:cs="Arial"/>
        </w:rPr>
        <w:t xml:space="preserve">, which we inflated to 2019 prices </w:t>
      </w:r>
      <w:r w:rsidR="00C35B5E" w:rsidRPr="00B85D62">
        <w:rPr>
          <w:rFonts w:cs="Arial"/>
          <w:noProof/>
          <w:color w:val="2B579A"/>
          <w:shd w:val="clear" w:color="auto" w:fill="E6E6E6"/>
          <w:vertAlign w:val="superscript"/>
        </w:rPr>
        <w:t>157</w:t>
      </w:r>
      <w:r w:rsidRPr="00B85D62">
        <w:rPr>
          <w:rFonts w:cs="Arial"/>
        </w:rPr>
        <w:t>.</w:t>
      </w:r>
    </w:p>
    <w:p w14:paraId="1395873A" w14:textId="57CF9FA3" w:rsidR="00164EBF" w:rsidRPr="00B85D62" w:rsidRDefault="00B85D62" w:rsidP="00164EBF">
      <w:pPr>
        <w:pStyle w:val="Caption"/>
        <w:keepNext/>
        <w:rPr>
          <w:rFonts w:cs="Arial"/>
        </w:rPr>
      </w:pPr>
      <w:bookmarkStart w:id="212" w:name="_Toc79740209"/>
      <w:bookmarkStart w:id="213" w:name="_Toc107157368"/>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14</w:t>
      </w:r>
      <w:r w:rsidR="00164EBF" w:rsidRPr="00B85D62">
        <w:rPr>
          <w:rFonts w:cs="Arial"/>
        </w:rPr>
        <w:t xml:space="preserve"> Model inputs for the base-case</w:t>
      </w:r>
      <w:bookmarkEnd w:id="212"/>
      <w:bookmarkEnd w:id="21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42"/>
        <w:gridCol w:w="822"/>
        <w:gridCol w:w="726"/>
        <w:gridCol w:w="1582"/>
        <w:gridCol w:w="2158"/>
        <w:gridCol w:w="1796"/>
      </w:tblGrid>
      <w:tr w:rsidR="003250C1" w:rsidRPr="00B85D62" w14:paraId="448764D8" w14:textId="77777777" w:rsidTr="00B85D62">
        <w:trPr>
          <w:cantSplit/>
          <w:tblHeader/>
        </w:trPr>
        <w:tc>
          <w:tcPr>
            <w:tcW w:w="0" w:type="auto"/>
            <w:gridSpan w:val="3"/>
            <w:vAlign w:val="center"/>
          </w:tcPr>
          <w:p w14:paraId="2F350BC0" w14:textId="77777777" w:rsidR="003250C1" w:rsidRPr="00B85D62" w:rsidRDefault="003250C1" w:rsidP="0066232B">
            <w:pPr>
              <w:spacing w:before="40" w:after="40"/>
              <w:jc w:val="center"/>
              <w:rPr>
                <w:rFonts w:cs="Arial"/>
                <w:b/>
                <w:bCs/>
              </w:rPr>
            </w:pPr>
            <w:r w:rsidRPr="00B85D62">
              <w:rPr>
                <w:rFonts w:cs="Arial"/>
                <w:b/>
                <w:bCs/>
              </w:rPr>
              <w:t>Parameter</w:t>
            </w:r>
          </w:p>
        </w:tc>
        <w:tc>
          <w:tcPr>
            <w:tcW w:w="0" w:type="auto"/>
            <w:vAlign w:val="center"/>
          </w:tcPr>
          <w:p w14:paraId="21109BBE" w14:textId="77777777" w:rsidR="003250C1" w:rsidRPr="00B85D62" w:rsidRDefault="003250C1" w:rsidP="0066232B">
            <w:pPr>
              <w:spacing w:before="40" w:after="40"/>
              <w:jc w:val="center"/>
              <w:rPr>
                <w:rFonts w:cs="Arial"/>
                <w:b/>
                <w:bCs/>
              </w:rPr>
            </w:pPr>
            <w:r w:rsidRPr="00B85D62">
              <w:rPr>
                <w:rFonts w:cs="Arial"/>
                <w:b/>
                <w:bCs/>
              </w:rPr>
              <w:t xml:space="preserve">Value </w:t>
            </w:r>
          </w:p>
        </w:tc>
        <w:tc>
          <w:tcPr>
            <w:tcW w:w="0" w:type="auto"/>
            <w:vAlign w:val="center"/>
          </w:tcPr>
          <w:p w14:paraId="15339D72" w14:textId="77777777" w:rsidR="003250C1" w:rsidRPr="00B85D62" w:rsidRDefault="003250C1" w:rsidP="0066232B">
            <w:pPr>
              <w:spacing w:before="40" w:after="40"/>
              <w:jc w:val="center"/>
              <w:rPr>
                <w:rFonts w:cs="Arial"/>
                <w:b/>
                <w:bCs/>
              </w:rPr>
            </w:pPr>
            <w:r w:rsidRPr="00B85D62">
              <w:rPr>
                <w:rFonts w:cs="Arial"/>
                <w:b/>
                <w:bCs/>
              </w:rPr>
              <w:t>Source</w:t>
            </w:r>
          </w:p>
        </w:tc>
        <w:tc>
          <w:tcPr>
            <w:tcW w:w="0" w:type="auto"/>
          </w:tcPr>
          <w:p w14:paraId="782BD496" w14:textId="77777777" w:rsidR="003250C1" w:rsidRPr="00B85D62" w:rsidRDefault="003250C1" w:rsidP="0066232B">
            <w:pPr>
              <w:spacing w:before="40" w:after="40"/>
              <w:jc w:val="center"/>
              <w:rPr>
                <w:rFonts w:cs="Arial"/>
                <w:b/>
                <w:bCs/>
              </w:rPr>
            </w:pPr>
            <w:r w:rsidRPr="00B85D62">
              <w:rPr>
                <w:rFonts w:cs="Arial"/>
                <w:b/>
                <w:bCs/>
              </w:rPr>
              <w:t>Details in (if applicable)</w:t>
            </w:r>
          </w:p>
        </w:tc>
      </w:tr>
      <w:tr w:rsidR="003250C1" w:rsidRPr="00B85D62" w14:paraId="1A447BD0" w14:textId="77777777" w:rsidTr="00B85D62">
        <w:trPr>
          <w:cantSplit/>
          <w:tblHeader/>
        </w:trPr>
        <w:tc>
          <w:tcPr>
            <w:tcW w:w="0" w:type="auto"/>
            <w:gridSpan w:val="3"/>
            <w:shd w:val="clear" w:color="auto" w:fill="E7E6E6" w:themeFill="background2"/>
            <w:vAlign w:val="center"/>
          </w:tcPr>
          <w:p w14:paraId="1934911B" w14:textId="77777777" w:rsidR="003250C1" w:rsidRPr="00B85D62" w:rsidRDefault="003250C1" w:rsidP="0066232B">
            <w:pPr>
              <w:spacing w:before="40" w:after="40"/>
              <w:rPr>
                <w:rFonts w:cs="Arial"/>
              </w:rPr>
            </w:pPr>
            <w:r w:rsidRPr="00B85D62">
              <w:rPr>
                <w:rFonts w:cs="Arial"/>
              </w:rPr>
              <w:t xml:space="preserve">Risk of events </w:t>
            </w:r>
          </w:p>
        </w:tc>
        <w:tc>
          <w:tcPr>
            <w:tcW w:w="0" w:type="auto"/>
            <w:shd w:val="clear" w:color="auto" w:fill="E7E6E6" w:themeFill="background2"/>
            <w:vAlign w:val="center"/>
          </w:tcPr>
          <w:p w14:paraId="10AF7C19" w14:textId="77777777" w:rsidR="003250C1" w:rsidRPr="00B85D62" w:rsidRDefault="003250C1" w:rsidP="0066232B">
            <w:pPr>
              <w:spacing w:before="40" w:after="40"/>
              <w:jc w:val="right"/>
              <w:rPr>
                <w:rFonts w:cs="Arial"/>
              </w:rPr>
            </w:pPr>
          </w:p>
        </w:tc>
        <w:tc>
          <w:tcPr>
            <w:tcW w:w="0" w:type="auto"/>
            <w:shd w:val="clear" w:color="auto" w:fill="E7E6E6" w:themeFill="background2"/>
            <w:vAlign w:val="center"/>
          </w:tcPr>
          <w:p w14:paraId="373882E8" w14:textId="77777777" w:rsidR="003250C1" w:rsidRPr="00B85D62" w:rsidRDefault="003250C1" w:rsidP="0066232B">
            <w:pPr>
              <w:spacing w:before="40" w:after="40"/>
              <w:rPr>
                <w:rFonts w:cs="Arial"/>
              </w:rPr>
            </w:pPr>
          </w:p>
        </w:tc>
        <w:tc>
          <w:tcPr>
            <w:tcW w:w="0" w:type="auto"/>
            <w:shd w:val="clear" w:color="auto" w:fill="E7E6E6" w:themeFill="background2"/>
          </w:tcPr>
          <w:p w14:paraId="0E02BE20" w14:textId="77777777" w:rsidR="003250C1" w:rsidRPr="00B85D62" w:rsidRDefault="003250C1" w:rsidP="0066232B">
            <w:pPr>
              <w:spacing w:before="40" w:after="40"/>
              <w:rPr>
                <w:rFonts w:cs="Arial"/>
              </w:rPr>
            </w:pPr>
          </w:p>
        </w:tc>
      </w:tr>
      <w:tr w:rsidR="003250C1" w:rsidRPr="00B85D62" w14:paraId="020A5C14" w14:textId="77777777" w:rsidTr="00B85D62">
        <w:trPr>
          <w:cantSplit/>
          <w:tblHeader/>
        </w:trPr>
        <w:tc>
          <w:tcPr>
            <w:tcW w:w="0" w:type="auto"/>
            <w:gridSpan w:val="3"/>
            <w:vAlign w:val="center"/>
          </w:tcPr>
          <w:p w14:paraId="504E9827" w14:textId="77777777" w:rsidR="003250C1" w:rsidRPr="00B85D62" w:rsidRDefault="003250C1" w:rsidP="0066232B">
            <w:pPr>
              <w:spacing w:before="40" w:after="40"/>
              <w:rPr>
                <w:rFonts w:cs="Arial"/>
              </w:rPr>
            </w:pPr>
            <w:r w:rsidRPr="00B85D62">
              <w:rPr>
                <w:rFonts w:cs="Arial"/>
              </w:rPr>
              <w:t xml:space="preserve">Reduction in LDL-C </w:t>
            </w:r>
            <w:r w:rsidRPr="00B85D62">
              <w:rPr>
                <w:rFonts w:cs="Arial"/>
                <w:highlight w:val="magenta"/>
              </w:rPr>
              <w:t>due to</w:t>
            </w:r>
            <w:r w:rsidRPr="00B85D62">
              <w:rPr>
                <w:rFonts w:cs="Arial"/>
              </w:rPr>
              <w:t xml:space="preserve"> FH diagnosis</w:t>
            </w:r>
          </w:p>
          <w:p w14:paraId="722FF5D8" w14:textId="16E26265" w:rsidR="003250C1" w:rsidRPr="00B85D62" w:rsidRDefault="003250C1" w:rsidP="0066232B">
            <w:pPr>
              <w:spacing w:before="40" w:after="40"/>
              <w:rPr>
                <w:rFonts w:cs="Arial"/>
              </w:rPr>
            </w:pPr>
            <w:r w:rsidRPr="00B85D62">
              <w:rPr>
                <w:rFonts w:cs="Arial"/>
              </w:rPr>
              <w:t xml:space="preserve">(Weighted average of reduction in </w:t>
            </w:r>
            <w:r w:rsidR="00B85D62" w:rsidRPr="00B85D62">
              <w:rPr>
                <w:rFonts w:cs="Arial"/>
              </w:rPr>
              <w:t>‘</w:t>
            </w:r>
            <w:r w:rsidRPr="00B85D62">
              <w:rPr>
                <w:rFonts w:cs="Arial"/>
              </w:rPr>
              <w:t>newly treated</w:t>
            </w:r>
            <w:r w:rsidR="00B85D62" w:rsidRPr="00B85D62">
              <w:rPr>
                <w:rFonts w:cs="Arial"/>
              </w:rPr>
              <w:t>’</w:t>
            </w:r>
            <w:r w:rsidRPr="00B85D62">
              <w:rPr>
                <w:rFonts w:cs="Arial"/>
              </w:rPr>
              <w:t xml:space="preserve"> and </w:t>
            </w:r>
            <w:r w:rsidR="00B85D62" w:rsidRPr="00B85D62">
              <w:rPr>
                <w:rFonts w:cs="Arial"/>
              </w:rPr>
              <w:t>‘</w:t>
            </w:r>
            <w:r w:rsidRPr="00B85D62">
              <w:rPr>
                <w:rFonts w:cs="Arial"/>
              </w:rPr>
              <w:t>treatment retainers</w:t>
            </w:r>
            <w:r w:rsidR="00B85D62" w:rsidRPr="00B85D62">
              <w:rPr>
                <w:rFonts w:cs="Arial"/>
              </w:rPr>
              <w:t>’</w:t>
            </w:r>
            <w:r w:rsidRPr="00B85D62">
              <w:rPr>
                <w:rFonts w:cs="Arial"/>
              </w:rPr>
              <w:t>)</w:t>
            </w:r>
          </w:p>
        </w:tc>
        <w:tc>
          <w:tcPr>
            <w:tcW w:w="0" w:type="auto"/>
            <w:vAlign w:val="center"/>
          </w:tcPr>
          <w:p w14:paraId="34F74BF7" w14:textId="77777777" w:rsidR="003250C1" w:rsidRPr="00B85D62" w:rsidRDefault="003250C1" w:rsidP="0066232B">
            <w:pPr>
              <w:spacing w:before="40" w:after="40"/>
              <w:jc w:val="right"/>
              <w:rPr>
                <w:rFonts w:cs="Arial"/>
              </w:rPr>
            </w:pPr>
            <w:r w:rsidRPr="00B85D62">
              <w:rPr>
                <w:rFonts w:cs="Arial"/>
              </w:rPr>
              <w:t>33.4%</w:t>
            </w:r>
          </w:p>
          <w:p w14:paraId="0E2A1D2C" w14:textId="77777777" w:rsidR="003250C1" w:rsidRPr="00B85D62" w:rsidRDefault="003250C1" w:rsidP="0066232B">
            <w:pPr>
              <w:spacing w:before="40" w:after="40"/>
              <w:jc w:val="right"/>
              <w:rPr>
                <w:rFonts w:cs="Arial"/>
              </w:rPr>
            </w:pPr>
          </w:p>
        </w:tc>
        <w:tc>
          <w:tcPr>
            <w:tcW w:w="0" w:type="auto"/>
            <w:vAlign w:val="center"/>
          </w:tcPr>
          <w:p w14:paraId="00ADDDAE" w14:textId="77777777" w:rsidR="003250C1" w:rsidRPr="00B85D62" w:rsidRDefault="003250C1" w:rsidP="0066232B">
            <w:pPr>
              <w:spacing w:before="40" w:after="40"/>
              <w:rPr>
                <w:rFonts w:cs="Arial"/>
              </w:rPr>
            </w:pPr>
            <w:r w:rsidRPr="00B85D62">
              <w:rPr>
                <w:rFonts w:cs="Arial"/>
              </w:rPr>
              <w:t>Analysis of CPRD cohort</w:t>
            </w:r>
          </w:p>
        </w:tc>
        <w:tc>
          <w:tcPr>
            <w:tcW w:w="0" w:type="auto"/>
          </w:tcPr>
          <w:p w14:paraId="291E14A2" w14:textId="7FDBDBF9" w:rsidR="003250C1" w:rsidRPr="00B85D62" w:rsidRDefault="6A6D3A96">
            <w:pPr>
              <w:spacing w:before="40" w:after="40"/>
              <w:rPr>
                <w:rFonts w:cs="Arial"/>
              </w:rPr>
            </w:pPr>
            <w:r w:rsidRPr="00B85D62">
              <w:rPr>
                <w:rFonts w:cs="Arial"/>
              </w:rPr>
              <w:t xml:space="preserve">Section </w:t>
            </w:r>
            <w:r w:rsidR="00D94476" w:rsidRPr="00B85D62">
              <w:rPr>
                <w:rFonts w:cs="Arial"/>
              </w:rPr>
              <w:t>8</w:t>
            </w:r>
            <w:r w:rsidRPr="00B85D62">
              <w:rPr>
                <w:rFonts w:cs="Arial"/>
              </w:rPr>
              <w:t xml:space="preserve">.2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7</w:t>
            </w:r>
            <w:r w:rsidR="29556E7B" w:rsidRPr="00B85D62">
              <w:rPr>
                <w:rFonts w:cs="Arial"/>
              </w:rPr>
              <w:t xml:space="preserve"> and</w:t>
            </w:r>
            <w:r w:rsidR="00895586" w:rsidRPr="00B85D62">
              <w:rPr>
                <w:rFonts w:cs="Arial"/>
              </w:rPr>
              <w:t xml:space="preserve"> </w:t>
            </w:r>
            <w:r w:rsidR="00905E8E" w:rsidRPr="00B85D62">
              <w:rPr>
                <w:rFonts w:eastAsia="Arial" w:cs="Arial"/>
                <w:i/>
                <w:color w:val="000000" w:themeColor="text1"/>
              </w:rPr>
              <w:t xml:space="preserve">Online Supplementary file </w:t>
            </w:r>
            <w:r w:rsidR="005C61B7" w:rsidRPr="00B85D62">
              <w:rPr>
                <w:rFonts w:eastAsia="Arial" w:cs="Arial"/>
                <w:i/>
                <w:color w:val="000000" w:themeColor="text1"/>
              </w:rPr>
              <w:t>4</w:t>
            </w:r>
            <w:r w:rsidR="678773A5" w:rsidRPr="00B85D62">
              <w:rPr>
                <w:rFonts w:cs="Arial"/>
              </w:rPr>
              <w:t>:</w:t>
            </w:r>
            <w:r w:rsidR="29556E7B" w:rsidRPr="00B85D62">
              <w:rPr>
                <w:rFonts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1</w:t>
            </w:r>
          </w:p>
        </w:tc>
      </w:tr>
      <w:tr w:rsidR="003250C1" w:rsidRPr="00B85D62" w14:paraId="7E78800D" w14:textId="77777777" w:rsidTr="00B85D62">
        <w:trPr>
          <w:cantSplit/>
          <w:tblHeader/>
        </w:trPr>
        <w:tc>
          <w:tcPr>
            <w:tcW w:w="0" w:type="auto"/>
            <w:gridSpan w:val="3"/>
            <w:vAlign w:val="center"/>
          </w:tcPr>
          <w:p w14:paraId="627B2658" w14:textId="77777777" w:rsidR="003250C1" w:rsidRPr="00B85D62" w:rsidRDefault="003250C1" w:rsidP="0066232B">
            <w:pPr>
              <w:spacing w:before="40" w:after="40"/>
              <w:rPr>
                <w:rFonts w:cs="Arial"/>
              </w:rPr>
            </w:pPr>
            <w:r w:rsidRPr="00B85D62">
              <w:rPr>
                <w:rFonts w:cs="Arial"/>
              </w:rPr>
              <w:t>Risk of first CVD event</w:t>
            </w:r>
          </w:p>
        </w:tc>
        <w:tc>
          <w:tcPr>
            <w:tcW w:w="0" w:type="auto"/>
            <w:vAlign w:val="center"/>
          </w:tcPr>
          <w:p w14:paraId="297AF393" w14:textId="77777777" w:rsidR="003250C1" w:rsidRPr="00B85D62" w:rsidRDefault="003250C1" w:rsidP="0066232B">
            <w:pPr>
              <w:spacing w:before="40" w:after="40"/>
              <w:jc w:val="right"/>
              <w:rPr>
                <w:rFonts w:cs="Arial"/>
              </w:rPr>
            </w:pPr>
            <w:r w:rsidRPr="00B85D62">
              <w:rPr>
                <w:rFonts w:cs="Arial"/>
              </w:rPr>
              <w:t>Generalised Gamma risk equation</w:t>
            </w:r>
          </w:p>
        </w:tc>
        <w:tc>
          <w:tcPr>
            <w:tcW w:w="0" w:type="auto"/>
            <w:vAlign w:val="center"/>
          </w:tcPr>
          <w:p w14:paraId="6CDF08EB" w14:textId="77777777" w:rsidR="003250C1" w:rsidRPr="00B85D62" w:rsidRDefault="003250C1" w:rsidP="0066232B">
            <w:pPr>
              <w:spacing w:before="40" w:after="40"/>
              <w:rPr>
                <w:rFonts w:cs="Arial"/>
              </w:rPr>
            </w:pPr>
            <w:r w:rsidRPr="00B85D62">
              <w:rPr>
                <w:rFonts w:cs="Arial"/>
              </w:rPr>
              <w:t>Analysis of CPRD cohort</w:t>
            </w:r>
          </w:p>
          <w:p w14:paraId="43661A41" w14:textId="77777777" w:rsidR="003250C1" w:rsidRPr="00B85D62" w:rsidRDefault="003250C1" w:rsidP="0066232B">
            <w:pPr>
              <w:spacing w:before="40" w:after="40"/>
              <w:rPr>
                <w:rFonts w:cs="Arial"/>
              </w:rPr>
            </w:pPr>
          </w:p>
        </w:tc>
        <w:tc>
          <w:tcPr>
            <w:tcW w:w="0" w:type="auto"/>
          </w:tcPr>
          <w:p w14:paraId="3F0A0542" w14:textId="4A9A7E95" w:rsidR="003250C1" w:rsidRPr="00B85D62" w:rsidRDefault="29556E7B">
            <w:pPr>
              <w:spacing w:before="40" w:after="40"/>
              <w:rPr>
                <w:rFonts w:cs="Arial"/>
              </w:rPr>
            </w:pPr>
            <w:r w:rsidRPr="00B85D62">
              <w:rPr>
                <w:rFonts w:cs="Arial"/>
              </w:rPr>
              <w:t xml:space="preserve">See </w:t>
            </w:r>
            <w:r w:rsidR="00905E8E" w:rsidRPr="00B85D62">
              <w:rPr>
                <w:rFonts w:eastAsia="Arial" w:cs="Arial"/>
                <w:i/>
                <w:color w:val="000000" w:themeColor="text1"/>
              </w:rPr>
              <w:t xml:space="preserve">Online Supplementary file </w:t>
            </w:r>
            <w:r w:rsidR="005C61B7" w:rsidRPr="00B85D62">
              <w:rPr>
                <w:rFonts w:eastAsia="Arial" w:cs="Arial"/>
                <w:i/>
                <w:color w:val="000000" w:themeColor="text1"/>
              </w:rPr>
              <w:t>4</w:t>
            </w:r>
            <w:r w:rsidR="51A4BC78" w:rsidRPr="00B85D62">
              <w:rPr>
                <w:rFonts w:cs="Arial"/>
              </w:rPr>
              <w:t>:</w:t>
            </w:r>
            <w:r w:rsidR="006A155D" w:rsidRPr="00B85D62">
              <w:rPr>
                <w:rFonts w:cs="Arial"/>
              </w:rPr>
              <w:t xml:space="preserve"> </w:t>
            </w:r>
            <w:r w:rsidR="00B85D62" w:rsidRPr="00B85D62">
              <w:rPr>
                <w:rFonts w:cs="Arial"/>
                <w:i/>
                <w:color w:val="FF0000"/>
              </w:rPr>
              <w:t>T</w:t>
            </w:r>
            <w:r w:rsidR="00B85D62" w:rsidRPr="00B85D62">
              <w:rPr>
                <w:rFonts w:cs="Arial"/>
                <w:i/>
                <w:color w:val="FF0000"/>
              </w:rPr>
              <w:t>ables</w:t>
            </w:r>
            <w:r w:rsidR="00B85D62" w:rsidRPr="00B85D62">
              <w:rPr>
                <w:rFonts w:cs="Arial"/>
                <w:i/>
                <w:color w:val="FF0000"/>
              </w:rPr>
              <w:t xml:space="preserve"> </w:t>
            </w:r>
            <w:r w:rsidR="00B85D62" w:rsidRPr="00B85D62">
              <w:rPr>
                <w:rFonts w:cs="Arial"/>
                <w:i/>
                <w:color w:val="FF0000"/>
              </w:rPr>
              <w:t>2</w:t>
            </w:r>
            <w:r w:rsidR="00B85D62" w:rsidRPr="00B85D62">
              <w:rPr>
                <w:rFonts w:cs="Arial"/>
                <w:i/>
                <w:color w:val="FF0000"/>
              </w:rPr>
              <w:t>–</w:t>
            </w:r>
            <w:r w:rsidR="00B85D62" w:rsidRPr="00B85D62">
              <w:rPr>
                <w:rFonts w:cs="Arial"/>
                <w:i/>
                <w:color w:val="FF0000"/>
              </w:rPr>
              <w:t>4</w:t>
            </w:r>
            <w:r w:rsidRPr="00B85D62">
              <w:rPr>
                <w:rFonts w:cs="Arial"/>
              </w:rPr>
              <w:t xml:space="preserve"> and</w:t>
            </w:r>
            <w:r w:rsidR="41D68DB9" w:rsidRPr="00B85D62">
              <w:rPr>
                <w:rFonts w:cs="Arial"/>
              </w:rPr>
              <w:t xml:space="preserve"> Section </w:t>
            </w:r>
            <w:r w:rsidR="00D94476" w:rsidRPr="00B85D62">
              <w:rPr>
                <w:rFonts w:cs="Arial"/>
              </w:rPr>
              <w:t>8</w:t>
            </w:r>
            <w:r w:rsidR="41D68DB9" w:rsidRPr="00B85D62">
              <w:rPr>
                <w:rFonts w:cs="Arial"/>
              </w:rPr>
              <w:t xml:space="preserve">.2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9</w:t>
            </w:r>
          </w:p>
        </w:tc>
      </w:tr>
      <w:tr w:rsidR="003250C1" w:rsidRPr="00B85D62" w14:paraId="0B2D13CE" w14:textId="77777777" w:rsidTr="00B85D62">
        <w:trPr>
          <w:cantSplit/>
          <w:tblHeader/>
        </w:trPr>
        <w:tc>
          <w:tcPr>
            <w:tcW w:w="0" w:type="auto"/>
            <w:vMerge w:val="restart"/>
            <w:shd w:val="clear" w:color="auto" w:fill="auto"/>
            <w:vAlign w:val="center"/>
          </w:tcPr>
          <w:p w14:paraId="6FD57312" w14:textId="16675F54" w:rsidR="003250C1" w:rsidRPr="00B85D62" w:rsidRDefault="003250C1" w:rsidP="0066232B">
            <w:pPr>
              <w:spacing w:before="40" w:after="40"/>
              <w:rPr>
                <w:rFonts w:cs="Arial"/>
              </w:rPr>
            </w:pPr>
            <w:r w:rsidRPr="00B85D62">
              <w:rPr>
                <w:rFonts w:cs="Arial"/>
              </w:rPr>
              <w:t xml:space="preserve">Distribution of people by type of </w:t>
            </w:r>
            <w:r w:rsidR="00B85D62" w:rsidRPr="00B85D62">
              <w:rPr>
                <w:rFonts w:cs="Arial"/>
                <w:color w:val="00B0F0"/>
              </w:rPr>
              <w:t>1st</w:t>
            </w:r>
            <w:r w:rsidRPr="00B85D62">
              <w:rPr>
                <w:rFonts w:cs="Arial"/>
              </w:rPr>
              <w:t xml:space="preserve"> CVD event</w:t>
            </w:r>
          </w:p>
        </w:tc>
        <w:tc>
          <w:tcPr>
            <w:tcW w:w="0" w:type="auto"/>
            <w:gridSpan w:val="2"/>
            <w:shd w:val="clear" w:color="auto" w:fill="auto"/>
            <w:vAlign w:val="center"/>
          </w:tcPr>
          <w:p w14:paraId="6AAC7F95" w14:textId="77777777" w:rsidR="003250C1" w:rsidRPr="00B85D62" w:rsidRDefault="003250C1" w:rsidP="0066232B">
            <w:pPr>
              <w:spacing w:before="40" w:after="40"/>
              <w:rPr>
                <w:rFonts w:cs="Arial"/>
              </w:rPr>
            </w:pPr>
            <w:r w:rsidRPr="00B85D62">
              <w:rPr>
                <w:rFonts w:cs="Arial"/>
              </w:rPr>
              <w:t>Death</w:t>
            </w:r>
          </w:p>
        </w:tc>
        <w:tc>
          <w:tcPr>
            <w:tcW w:w="0" w:type="auto"/>
            <w:shd w:val="clear" w:color="auto" w:fill="auto"/>
            <w:vAlign w:val="center"/>
          </w:tcPr>
          <w:p w14:paraId="76A775AE" w14:textId="77777777" w:rsidR="003250C1" w:rsidRPr="00B85D62" w:rsidRDefault="003250C1" w:rsidP="0066232B">
            <w:pPr>
              <w:spacing w:before="40" w:after="40"/>
              <w:jc w:val="right"/>
              <w:rPr>
                <w:rFonts w:cs="Arial"/>
              </w:rPr>
            </w:pPr>
            <w:r w:rsidRPr="00B85D62">
              <w:rPr>
                <w:rFonts w:cs="Arial"/>
              </w:rPr>
              <w:t>11%</w:t>
            </w:r>
          </w:p>
        </w:tc>
        <w:tc>
          <w:tcPr>
            <w:tcW w:w="0" w:type="auto"/>
            <w:vMerge w:val="restart"/>
            <w:shd w:val="clear" w:color="auto" w:fill="auto"/>
            <w:vAlign w:val="center"/>
          </w:tcPr>
          <w:p w14:paraId="115A8C66" w14:textId="77777777" w:rsidR="003250C1" w:rsidRPr="00B85D62" w:rsidRDefault="003250C1" w:rsidP="0066232B">
            <w:pPr>
              <w:spacing w:before="40" w:after="40"/>
              <w:rPr>
                <w:rFonts w:cs="Arial"/>
              </w:rPr>
            </w:pPr>
            <w:r w:rsidRPr="00B85D62">
              <w:rPr>
                <w:rFonts w:cs="Arial"/>
              </w:rPr>
              <w:t>Analysis of CPRD cohort</w:t>
            </w:r>
          </w:p>
        </w:tc>
        <w:tc>
          <w:tcPr>
            <w:tcW w:w="0" w:type="auto"/>
            <w:vMerge w:val="restart"/>
            <w:shd w:val="clear" w:color="auto" w:fill="auto"/>
          </w:tcPr>
          <w:p w14:paraId="59C8E604" w14:textId="4698EBAA" w:rsidR="003250C1" w:rsidRPr="00B85D62" w:rsidRDefault="7B1F46D5">
            <w:pPr>
              <w:spacing w:before="40" w:after="40"/>
              <w:rPr>
                <w:rFonts w:cs="Arial"/>
              </w:rPr>
            </w:pPr>
            <w:r w:rsidRPr="00B85D62">
              <w:rPr>
                <w:rFonts w:cs="Arial"/>
              </w:rPr>
              <w:t xml:space="preserve">See </w:t>
            </w:r>
            <w:r w:rsidR="00CC1396" w:rsidRPr="00B85D62">
              <w:rPr>
                <w:rFonts w:cs="Arial"/>
                <w:i/>
              </w:rPr>
              <w:t>Online</w:t>
            </w:r>
            <w:r w:rsidR="00905E8E" w:rsidRPr="00B85D62">
              <w:rPr>
                <w:rFonts w:eastAsia="Arial" w:cs="Arial"/>
                <w:i/>
                <w:color w:val="000000" w:themeColor="text1"/>
              </w:rPr>
              <w:t xml:space="preserve"> Supplementary file </w:t>
            </w:r>
            <w:r w:rsidR="002D4BC1" w:rsidRPr="00B85D62">
              <w:rPr>
                <w:rFonts w:eastAsia="Arial" w:cs="Arial"/>
                <w:i/>
                <w:color w:val="000000" w:themeColor="text1"/>
              </w:rPr>
              <w:t>4</w:t>
            </w:r>
            <w:r w:rsidR="00905E8E" w:rsidRPr="00B85D62">
              <w:rPr>
                <w:rFonts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5</w:t>
            </w:r>
          </w:p>
        </w:tc>
      </w:tr>
      <w:tr w:rsidR="003250C1" w:rsidRPr="00B85D62" w14:paraId="05473E77" w14:textId="77777777" w:rsidTr="00B85D62">
        <w:trPr>
          <w:cantSplit/>
          <w:tblHeader/>
        </w:trPr>
        <w:tc>
          <w:tcPr>
            <w:tcW w:w="0" w:type="auto"/>
            <w:vMerge/>
            <w:vAlign w:val="center"/>
          </w:tcPr>
          <w:p w14:paraId="5B5D6BF9" w14:textId="77777777" w:rsidR="003250C1" w:rsidRPr="00B85D62" w:rsidRDefault="003250C1" w:rsidP="0066232B">
            <w:pPr>
              <w:spacing w:before="40" w:after="40"/>
              <w:rPr>
                <w:rFonts w:cs="Arial"/>
              </w:rPr>
            </w:pPr>
          </w:p>
        </w:tc>
        <w:tc>
          <w:tcPr>
            <w:tcW w:w="0" w:type="auto"/>
            <w:gridSpan w:val="2"/>
            <w:shd w:val="clear" w:color="auto" w:fill="auto"/>
            <w:vAlign w:val="center"/>
          </w:tcPr>
          <w:p w14:paraId="2A041AC2" w14:textId="77777777" w:rsidR="003250C1" w:rsidRPr="00B85D62" w:rsidRDefault="003250C1" w:rsidP="0066232B">
            <w:pPr>
              <w:spacing w:before="40" w:after="40"/>
              <w:rPr>
                <w:rFonts w:cs="Arial"/>
              </w:rPr>
            </w:pPr>
            <w:r w:rsidRPr="00B85D62">
              <w:rPr>
                <w:rFonts w:cs="Arial"/>
              </w:rPr>
              <w:t>Non-fatal ACS</w:t>
            </w:r>
          </w:p>
        </w:tc>
        <w:tc>
          <w:tcPr>
            <w:tcW w:w="0" w:type="auto"/>
            <w:shd w:val="clear" w:color="auto" w:fill="auto"/>
            <w:vAlign w:val="center"/>
          </w:tcPr>
          <w:p w14:paraId="7A833C25" w14:textId="77777777" w:rsidR="003250C1" w:rsidRPr="00B85D62" w:rsidRDefault="003250C1" w:rsidP="0066232B">
            <w:pPr>
              <w:spacing w:before="40" w:after="40"/>
              <w:jc w:val="right"/>
              <w:rPr>
                <w:rFonts w:cs="Arial"/>
              </w:rPr>
            </w:pPr>
            <w:r w:rsidRPr="00B85D62">
              <w:rPr>
                <w:rFonts w:cs="Arial"/>
              </w:rPr>
              <w:t>65%</w:t>
            </w:r>
          </w:p>
        </w:tc>
        <w:tc>
          <w:tcPr>
            <w:tcW w:w="0" w:type="auto"/>
            <w:vMerge/>
            <w:vAlign w:val="center"/>
          </w:tcPr>
          <w:p w14:paraId="17A75613" w14:textId="77777777" w:rsidR="003250C1" w:rsidRPr="00B85D62" w:rsidRDefault="003250C1" w:rsidP="0066232B">
            <w:pPr>
              <w:spacing w:before="40" w:after="40"/>
              <w:rPr>
                <w:rFonts w:cs="Arial"/>
              </w:rPr>
            </w:pPr>
          </w:p>
        </w:tc>
        <w:tc>
          <w:tcPr>
            <w:tcW w:w="0" w:type="auto"/>
            <w:vMerge/>
          </w:tcPr>
          <w:p w14:paraId="099DC97C" w14:textId="77777777" w:rsidR="003250C1" w:rsidRPr="00B85D62" w:rsidRDefault="003250C1" w:rsidP="0066232B">
            <w:pPr>
              <w:spacing w:before="40" w:after="40"/>
              <w:rPr>
                <w:rFonts w:cs="Arial"/>
              </w:rPr>
            </w:pPr>
          </w:p>
        </w:tc>
      </w:tr>
      <w:tr w:rsidR="003250C1" w:rsidRPr="00B85D62" w14:paraId="78600553" w14:textId="77777777" w:rsidTr="00B85D62">
        <w:trPr>
          <w:cantSplit/>
          <w:tblHeader/>
        </w:trPr>
        <w:tc>
          <w:tcPr>
            <w:tcW w:w="0" w:type="auto"/>
            <w:vMerge/>
            <w:vAlign w:val="center"/>
          </w:tcPr>
          <w:p w14:paraId="19341959" w14:textId="77777777" w:rsidR="003250C1" w:rsidRPr="00B85D62" w:rsidRDefault="003250C1" w:rsidP="0066232B">
            <w:pPr>
              <w:spacing w:before="40" w:after="40"/>
              <w:rPr>
                <w:rFonts w:cs="Arial"/>
              </w:rPr>
            </w:pPr>
          </w:p>
        </w:tc>
        <w:tc>
          <w:tcPr>
            <w:tcW w:w="0" w:type="auto"/>
            <w:gridSpan w:val="2"/>
            <w:shd w:val="clear" w:color="auto" w:fill="auto"/>
            <w:vAlign w:val="center"/>
          </w:tcPr>
          <w:p w14:paraId="7EBD350F" w14:textId="77777777" w:rsidR="003250C1" w:rsidRPr="00B85D62" w:rsidRDefault="003250C1" w:rsidP="0066232B">
            <w:pPr>
              <w:spacing w:before="40" w:after="40"/>
              <w:rPr>
                <w:rFonts w:cs="Arial"/>
              </w:rPr>
            </w:pPr>
            <w:r w:rsidRPr="00B85D62">
              <w:rPr>
                <w:rFonts w:cs="Arial"/>
              </w:rPr>
              <w:t>Non-fatal TIA/Stroke</w:t>
            </w:r>
          </w:p>
        </w:tc>
        <w:tc>
          <w:tcPr>
            <w:tcW w:w="0" w:type="auto"/>
            <w:shd w:val="clear" w:color="auto" w:fill="auto"/>
            <w:vAlign w:val="center"/>
          </w:tcPr>
          <w:p w14:paraId="3BA97676" w14:textId="77777777" w:rsidR="003250C1" w:rsidRPr="00B85D62" w:rsidRDefault="003250C1" w:rsidP="0066232B">
            <w:pPr>
              <w:spacing w:before="40" w:after="40"/>
              <w:jc w:val="right"/>
              <w:rPr>
                <w:rFonts w:cs="Arial"/>
              </w:rPr>
            </w:pPr>
            <w:r w:rsidRPr="00B85D62">
              <w:rPr>
                <w:rFonts w:cs="Arial"/>
              </w:rPr>
              <w:t>25%</w:t>
            </w:r>
          </w:p>
        </w:tc>
        <w:tc>
          <w:tcPr>
            <w:tcW w:w="0" w:type="auto"/>
            <w:vMerge/>
            <w:vAlign w:val="center"/>
          </w:tcPr>
          <w:p w14:paraId="6F326A00" w14:textId="77777777" w:rsidR="003250C1" w:rsidRPr="00B85D62" w:rsidRDefault="003250C1" w:rsidP="0066232B">
            <w:pPr>
              <w:spacing w:before="40" w:after="40"/>
              <w:rPr>
                <w:rFonts w:cs="Arial"/>
              </w:rPr>
            </w:pPr>
          </w:p>
        </w:tc>
        <w:tc>
          <w:tcPr>
            <w:tcW w:w="0" w:type="auto"/>
            <w:vMerge/>
          </w:tcPr>
          <w:p w14:paraId="7C1979BB" w14:textId="77777777" w:rsidR="003250C1" w:rsidRPr="00B85D62" w:rsidRDefault="003250C1" w:rsidP="0066232B">
            <w:pPr>
              <w:spacing w:before="40" w:after="40"/>
              <w:rPr>
                <w:rFonts w:cs="Arial"/>
              </w:rPr>
            </w:pPr>
          </w:p>
        </w:tc>
      </w:tr>
      <w:tr w:rsidR="003250C1" w:rsidRPr="00B85D62" w14:paraId="65430F4B" w14:textId="77777777" w:rsidTr="00B85D62">
        <w:trPr>
          <w:cantSplit/>
          <w:tblHeader/>
        </w:trPr>
        <w:tc>
          <w:tcPr>
            <w:tcW w:w="0" w:type="auto"/>
            <w:vMerge w:val="restart"/>
            <w:vAlign w:val="center"/>
          </w:tcPr>
          <w:p w14:paraId="16B92DE0" w14:textId="383DB06D" w:rsidR="003250C1" w:rsidRPr="00B85D62" w:rsidRDefault="003250C1" w:rsidP="0066232B">
            <w:pPr>
              <w:spacing w:before="40" w:after="40"/>
              <w:rPr>
                <w:rFonts w:cs="Arial"/>
              </w:rPr>
            </w:pPr>
            <w:r w:rsidRPr="00B85D62">
              <w:rPr>
                <w:rFonts w:cs="Arial"/>
              </w:rPr>
              <w:t>Risk adjustment to CVD risk</w:t>
            </w:r>
            <w:r w:rsidR="00B85D62" w:rsidRPr="00B85D62">
              <w:rPr>
                <w:rFonts w:cs="Arial"/>
              </w:rPr>
              <w:t xml:space="preserve"> </w:t>
            </w:r>
            <w:r w:rsidRPr="00B85D62">
              <w:rPr>
                <w:rFonts w:cs="Arial"/>
              </w:rPr>
              <w:t>(hazard ratios multiplied with hazard rate depending on time from model entry)</w:t>
            </w:r>
          </w:p>
        </w:tc>
        <w:tc>
          <w:tcPr>
            <w:tcW w:w="0" w:type="auto"/>
            <w:vMerge w:val="restart"/>
            <w:vAlign w:val="center"/>
          </w:tcPr>
          <w:p w14:paraId="5921B36E" w14:textId="2F410DBD" w:rsidR="003250C1" w:rsidRPr="00B85D62" w:rsidRDefault="003250C1" w:rsidP="0066232B">
            <w:pPr>
              <w:spacing w:before="40" w:after="40"/>
              <w:rPr>
                <w:rFonts w:cs="Arial"/>
              </w:rPr>
            </w:pPr>
            <w:r w:rsidRPr="00B85D62">
              <w:rPr>
                <w:rFonts w:cs="Arial"/>
              </w:rPr>
              <w:t xml:space="preserve">People aged </w:t>
            </w:r>
            <w:r w:rsidR="00B85D62" w:rsidRPr="00B85D62">
              <w:rPr>
                <w:rFonts w:cs="Arial"/>
                <w:color w:val="00B0F0"/>
              </w:rPr>
              <w:t>&lt;</w:t>
            </w:r>
            <w:r w:rsidR="00B85D62" w:rsidRPr="00B85D62">
              <w:rPr>
                <w:rFonts w:cs="Arial"/>
                <w:color w:val="00B0F0"/>
              </w:rPr>
              <w:t> </w:t>
            </w:r>
            <w:r w:rsidRPr="00B85D62">
              <w:rPr>
                <w:rFonts w:cs="Arial"/>
              </w:rPr>
              <w:t>40 years</w:t>
            </w:r>
          </w:p>
        </w:tc>
        <w:tc>
          <w:tcPr>
            <w:tcW w:w="0" w:type="auto"/>
            <w:vAlign w:val="center"/>
          </w:tcPr>
          <w:p w14:paraId="7CED609E" w14:textId="4862372B" w:rsidR="003250C1" w:rsidRPr="00B85D62" w:rsidRDefault="003250C1" w:rsidP="0066232B">
            <w:pPr>
              <w:spacing w:before="40" w:after="40"/>
              <w:rPr>
                <w:rFonts w:cs="Arial"/>
              </w:rPr>
            </w:pPr>
            <w:r w:rsidRPr="00B85D62">
              <w:rPr>
                <w:rFonts w:cs="Arial"/>
              </w:rPr>
              <w:t>10</w:t>
            </w:r>
            <w:r w:rsidR="00B85D62" w:rsidRPr="00B85D62">
              <w:rPr>
                <w:rFonts w:cs="Arial"/>
                <w:color w:val="00B0F0"/>
              </w:rPr>
              <w:t>–</w:t>
            </w:r>
            <w:r w:rsidR="00B85D62" w:rsidRPr="00B85D62">
              <w:rPr>
                <w:rFonts w:cs="Arial"/>
                <w:color w:val="00B0F0"/>
              </w:rPr>
              <w:t>2</w:t>
            </w:r>
            <w:r w:rsidRPr="00B85D62">
              <w:rPr>
                <w:rFonts w:cs="Arial"/>
              </w:rPr>
              <w:t>0 years v. 0</w:t>
            </w:r>
            <w:r w:rsidR="00B85D62" w:rsidRPr="00B85D62">
              <w:rPr>
                <w:rFonts w:cs="Arial"/>
                <w:color w:val="00B0F0"/>
              </w:rPr>
              <w:t>–</w:t>
            </w:r>
            <w:r w:rsidR="00B85D62" w:rsidRPr="00B85D62">
              <w:rPr>
                <w:rFonts w:cs="Arial"/>
                <w:color w:val="00B0F0"/>
              </w:rPr>
              <w:t>1</w:t>
            </w:r>
            <w:r w:rsidRPr="00B85D62">
              <w:rPr>
                <w:rFonts w:cs="Arial"/>
              </w:rPr>
              <w:t>0 years</w:t>
            </w:r>
          </w:p>
        </w:tc>
        <w:tc>
          <w:tcPr>
            <w:tcW w:w="0" w:type="auto"/>
            <w:vAlign w:val="center"/>
          </w:tcPr>
          <w:p w14:paraId="39A08F8D" w14:textId="77777777" w:rsidR="003250C1" w:rsidRPr="00B85D62" w:rsidRDefault="003250C1" w:rsidP="0066232B">
            <w:pPr>
              <w:spacing w:before="40" w:after="40"/>
              <w:jc w:val="right"/>
              <w:rPr>
                <w:rFonts w:cs="Arial"/>
              </w:rPr>
            </w:pPr>
            <w:r w:rsidRPr="00B85D62">
              <w:rPr>
                <w:rFonts w:cs="Arial"/>
              </w:rPr>
              <w:t>4.13</w:t>
            </w:r>
          </w:p>
        </w:tc>
        <w:tc>
          <w:tcPr>
            <w:tcW w:w="0" w:type="auto"/>
            <w:vMerge w:val="restart"/>
            <w:vAlign w:val="center"/>
          </w:tcPr>
          <w:p w14:paraId="5FAFDB54" w14:textId="7788AC2F" w:rsidR="003250C1" w:rsidRPr="00B85D62" w:rsidRDefault="003250C1" w:rsidP="0066232B">
            <w:pPr>
              <w:spacing w:before="40" w:after="40"/>
              <w:rPr>
                <w:rFonts w:cs="Arial"/>
              </w:rPr>
            </w:pPr>
            <w:r w:rsidRPr="00B85D62">
              <w:rPr>
                <w:rFonts w:cs="Arial"/>
              </w:rPr>
              <w:t>Calculated from Perak</w:t>
            </w:r>
            <w:r w:rsidRPr="00B85D62">
              <w:rPr>
                <w:rFonts w:cs="Arial"/>
                <w:i/>
                <w:color w:val="00B0F0"/>
              </w:rPr>
              <w:t xml:space="preserve"> et al</w:t>
            </w:r>
            <w:r w:rsidRPr="00B85D62">
              <w:rPr>
                <w:rFonts w:cs="Arial"/>
              </w:rPr>
              <w:t xml:space="preserve"> </w:t>
            </w:r>
            <w:r w:rsidR="00C35B5E" w:rsidRPr="00B85D62">
              <w:rPr>
                <w:rFonts w:cs="Arial"/>
                <w:noProof/>
                <w:color w:val="2B579A"/>
                <w:shd w:val="clear" w:color="auto" w:fill="E6E6E6"/>
                <w:vertAlign w:val="superscript"/>
              </w:rPr>
              <w:t>105</w:t>
            </w:r>
            <w:r w:rsidR="00895586" w:rsidRPr="00B85D62">
              <w:rPr>
                <w:rFonts w:cs="Arial"/>
              </w:rPr>
              <w:t xml:space="preserve"> </w:t>
            </w:r>
            <w:r w:rsidR="00B85D62" w:rsidRPr="00B85D62">
              <w:rPr>
                <w:rFonts w:cs="Arial"/>
                <w:i/>
                <w:color w:val="FF0000"/>
              </w:rPr>
              <w:t>F</w:t>
            </w:r>
            <w:r w:rsidR="00B85D62" w:rsidRPr="00B85D62">
              <w:rPr>
                <w:rFonts w:cs="Arial"/>
                <w:i/>
                <w:color w:val="FF0000"/>
              </w:rPr>
              <w:t>igure</w:t>
            </w:r>
            <w:r w:rsidR="00B85D62" w:rsidRPr="00B85D62">
              <w:rPr>
                <w:rFonts w:cs="Arial"/>
                <w:i/>
                <w:color w:val="FF0000"/>
              </w:rPr>
              <w:t xml:space="preserve"> </w:t>
            </w:r>
            <w:r w:rsidR="00B85D62" w:rsidRPr="00B85D62">
              <w:rPr>
                <w:rFonts w:cs="Arial"/>
                <w:i/>
                <w:color w:val="FF0000"/>
              </w:rPr>
              <w:t>2</w:t>
            </w:r>
          </w:p>
          <w:p w14:paraId="787E0DD0" w14:textId="77777777" w:rsidR="003250C1" w:rsidRPr="00B85D62" w:rsidRDefault="003250C1" w:rsidP="0066232B">
            <w:pPr>
              <w:spacing w:before="40" w:after="40"/>
              <w:rPr>
                <w:rFonts w:cs="Arial"/>
              </w:rPr>
            </w:pPr>
          </w:p>
        </w:tc>
        <w:tc>
          <w:tcPr>
            <w:tcW w:w="0" w:type="auto"/>
            <w:vMerge w:val="restart"/>
          </w:tcPr>
          <w:p w14:paraId="16E4DEC6" w14:textId="23C12224" w:rsidR="003250C1" w:rsidRPr="00B85D62" w:rsidRDefault="5A9E2ADB">
            <w:pPr>
              <w:spacing w:before="40" w:after="40"/>
              <w:rPr>
                <w:rFonts w:cs="Arial"/>
              </w:rPr>
            </w:pPr>
            <w:r w:rsidRPr="00B85D62">
              <w:rPr>
                <w:rFonts w:cs="Arial"/>
              </w:rPr>
              <w:t xml:space="preserve">See </w:t>
            </w:r>
            <w:r w:rsidR="00905E8E" w:rsidRPr="00B85D62">
              <w:rPr>
                <w:rFonts w:eastAsia="Arial" w:cs="Arial"/>
                <w:i/>
                <w:color w:val="000000" w:themeColor="text1"/>
              </w:rPr>
              <w:t xml:space="preserve">Online Supplementary file </w:t>
            </w:r>
            <w:r w:rsidR="002D4BC1" w:rsidRPr="00B85D62">
              <w:rPr>
                <w:rFonts w:eastAsia="Arial" w:cs="Arial"/>
                <w:i/>
                <w:color w:val="000000" w:themeColor="text1"/>
              </w:rPr>
              <w:t>4</w:t>
            </w:r>
            <w:r w:rsidR="00905E8E" w:rsidRPr="00B85D62">
              <w:rPr>
                <w:rFonts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6</w:t>
            </w:r>
          </w:p>
        </w:tc>
      </w:tr>
      <w:tr w:rsidR="003250C1" w:rsidRPr="00B85D62" w14:paraId="672FE0C9" w14:textId="77777777" w:rsidTr="00B85D62">
        <w:trPr>
          <w:cantSplit/>
          <w:tblHeader/>
        </w:trPr>
        <w:tc>
          <w:tcPr>
            <w:tcW w:w="0" w:type="auto"/>
            <w:vMerge/>
            <w:vAlign w:val="center"/>
          </w:tcPr>
          <w:p w14:paraId="58AEA762" w14:textId="77777777" w:rsidR="003250C1" w:rsidRPr="00B85D62" w:rsidRDefault="003250C1" w:rsidP="0066232B">
            <w:pPr>
              <w:spacing w:before="40" w:after="40"/>
              <w:rPr>
                <w:rFonts w:cs="Arial"/>
              </w:rPr>
            </w:pPr>
          </w:p>
        </w:tc>
        <w:tc>
          <w:tcPr>
            <w:tcW w:w="0" w:type="auto"/>
            <w:vMerge/>
            <w:vAlign w:val="center"/>
          </w:tcPr>
          <w:p w14:paraId="3F582D19" w14:textId="77777777" w:rsidR="003250C1" w:rsidRPr="00B85D62" w:rsidRDefault="003250C1" w:rsidP="0066232B">
            <w:pPr>
              <w:spacing w:before="40" w:after="40"/>
              <w:rPr>
                <w:rFonts w:cs="Arial"/>
              </w:rPr>
            </w:pPr>
          </w:p>
        </w:tc>
        <w:tc>
          <w:tcPr>
            <w:tcW w:w="0" w:type="auto"/>
            <w:vAlign w:val="center"/>
          </w:tcPr>
          <w:p w14:paraId="34C6F166" w14:textId="42468B35" w:rsidR="003250C1" w:rsidRPr="00B85D62" w:rsidRDefault="003250C1" w:rsidP="0066232B">
            <w:pPr>
              <w:spacing w:before="40" w:after="40"/>
              <w:rPr>
                <w:rFonts w:cs="Arial"/>
              </w:rPr>
            </w:pPr>
            <w:r w:rsidRPr="00B85D62">
              <w:rPr>
                <w:rFonts w:cs="Arial"/>
              </w:rPr>
              <w:t>2</w:t>
            </w:r>
            <w:r w:rsidR="00B85D62" w:rsidRPr="00B85D62">
              <w:rPr>
                <w:rFonts w:cs="Arial"/>
                <w:color w:val="00B0F0"/>
              </w:rPr>
              <w:t>0</w:t>
            </w:r>
            <w:r w:rsidR="00B85D62" w:rsidRPr="00B85D62">
              <w:rPr>
                <w:rFonts w:cs="Arial"/>
                <w:color w:val="00B0F0"/>
              </w:rPr>
              <w:t> </w:t>
            </w:r>
            <w:r w:rsidR="00B85D62" w:rsidRPr="00B85D62">
              <w:rPr>
                <w:rFonts w:cs="Arial"/>
                <w:color w:val="00B0F0"/>
              </w:rPr>
              <w:t>+</w:t>
            </w:r>
            <w:r w:rsidRPr="00B85D62">
              <w:rPr>
                <w:rFonts w:cs="Arial"/>
              </w:rPr>
              <w:t xml:space="preserve"> years v. 0</w:t>
            </w:r>
            <w:r w:rsidR="00B85D62" w:rsidRPr="00B85D62">
              <w:rPr>
                <w:rFonts w:cs="Arial"/>
                <w:color w:val="00B0F0"/>
              </w:rPr>
              <w:t>–</w:t>
            </w:r>
            <w:r w:rsidR="00B85D62" w:rsidRPr="00B85D62">
              <w:rPr>
                <w:rFonts w:cs="Arial"/>
                <w:color w:val="00B0F0"/>
              </w:rPr>
              <w:t>1</w:t>
            </w:r>
            <w:r w:rsidRPr="00B85D62">
              <w:rPr>
                <w:rFonts w:cs="Arial"/>
              </w:rPr>
              <w:t>0 years</w:t>
            </w:r>
          </w:p>
        </w:tc>
        <w:tc>
          <w:tcPr>
            <w:tcW w:w="0" w:type="auto"/>
            <w:vAlign w:val="center"/>
          </w:tcPr>
          <w:p w14:paraId="4F279D50" w14:textId="77777777" w:rsidR="003250C1" w:rsidRPr="00B85D62" w:rsidRDefault="003250C1" w:rsidP="0066232B">
            <w:pPr>
              <w:spacing w:before="40" w:after="40"/>
              <w:jc w:val="right"/>
              <w:rPr>
                <w:rFonts w:cs="Arial"/>
              </w:rPr>
            </w:pPr>
            <w:r w:rsidRPr="00B85D62">
              <w:rPr>
                <w:rFonts w:cs="Arial"/>
              </w:rPr>
              <w:t>6.44</w:t>
            </w:r>
          </w:p>
        </w:tc>
        <w:tc>
          <w:tcPr>
            <w:tcW w:w="0" w:type="auto"/>
            <w:vMerge/>
            <w:vAlign w:val="center"/>
          </w:tcPr>
          <w:p w14:paraId="3DCAD5F0" w14:textId="77777777" w:rsidR="003250C1" w:rsidRPr="00B85D62" w:rsidRDefault="003250C1" w:rsidP="0066232B">
            <w:pPr>
              <w:spacing w:before="40" w:after="40"/>
              <w:rPr>
                <w:rFonts w:cs="Arial"/>
              </w:rPr>
            </w:pPr>
          </w:p>
        </w:tc>
        <w:tc>
          <w:tcPr>
            <w:tcW w:w="0" w:type="auto"/>
            <w:vMerge/>
          </w:tcPr>
          <w:p w14:paraId="297E23CB" w14:textId="77777777" w:rsidR="003250C1" w:rsidRPr="00B85D62" w:rsidRDefault="003250C1" w:rsidP="0066232B">
            <w:pPr>
              <w:spacing w:before="40" w:after="40"/>
              <w:rPr>
                <w:rFonts w:cs="Arial"/>
              </w:rPr>
            </w:pPr>
          </w:p>
        </w:tc>
      </w:tr>
      <w:tr w:rsidR="003250C1" w:rsidRPr="00B85D62" w14:paraId="291D7530" w14:textId="77777777" w:rsidTr="00B85D62">
        <w:trPr>
          <w:cantSplit/>
          <w:tblHeader/>
        </w:trPr>
        <w:tc>
          <w:tcPr>
            <w:tcW w:w="0" w:type="auto"/>
            <w:vMerge/>
            <w:vAlign w:val="center"/>
          </w:tcPr>
          <w:p w14:paraId="32CF6825" w14:textId="77777777" w:rsidR="003250C1" w:rsidRPr="00B85D62" w:rsidRDefault="003250C1" w:rsidP="0066232B">
            <w:pPr>
              <w:spacing w:before="40" w:after="40"/>
              <w:rPr>
                <w:rFonts w:cs="Arial"/>
              </w:rPr>
            </w:pPr>
          </w:p>
        </w:tc>
        <w:tc>
          <w:tcPr>
            <w:tcW w:w="0" w:type="auto"/>
            <w:vMerge w:val="restart"/>
            <w:vAlign w:val="center"/>
          </w:tcPr>
          <w:p w14:paraId="59DB2736" w14:textId="77777777" w:rsidR="003250C1" w:rsidRPr="00B85D62" w:rsidRDefault="003250C1" w:rsidP="0066232B">
            <w:pPr>
              <w:spacing w:before="40" w:after="40"/>
              <w:rPr>
                <w:rFonts w:cs="Arial"/>
              </w:rPr>
            </w:pPr>
            <w:r w:rsidRPr="00B85D62">
              <w:rPr>
                <w:rFonts w:cs="Arial"/>
              </w:rPr>
              <w:t>People aged &gt;= 40 years</w:t>
            </w:r>
          </w:p>
        </w:tc>
        <w:tc>
          <w:tcPr>
            <w:tcW w:w="0" w:type="auto"/>
            <w:vAlign w:val="center"/>
          </w:tcPr>
          <w:p w14:paraId="477C1F4E" w14:textId="305E0883" w:rsidR="003250C1" w:rsidRPr="00B85D62" w:rsidRDefault="003250C1" w:rsidP="0066232B">
            <w:pPr>
              <w:spacing w:before="40" w:after="40"/>
              <w:rPr>
                <w:rFonts w:cs="Arial"/>
              </w:rPr>
            </w:pPr>
            <w:r w:rsidRPr="00B85D62">
              <w:rPr>
                <w:rFonts w:cs="Arial"/>
              </w:rPr>
              <w:t>10</w:t>
            </w:r>
            <w:r w:rsidR="00B85D62" w:rsidRPr="00B85D62">
              <w:rPr>
                <w:rFonts w:cs="Arial"/>
                <w:color w:val="00B0F0"/>
              </w:rPr>
              <w:t>–</w:t>
            </w:r>
            <w:r w:rsidR="00B85D62" w:rsidRPr="00B85D62">
              <w:rPr>
                <w:rFonts w:cs="Arial"/>
                <w:color w:val="00B0F0"/>
              </w:rPr>
              <w:t>2</w:t>
            </w:r>
            <w:r w:rsidRPr="00B85D62">
              <w:rPr>
                <w:rFonts w:cs="Arial"/>
              </w:rPr>
              <w:t>0 years v. 0</w:t>
            </w:r>
            <w:r w:rsidR="00B85D62" w:rsidRPr="00B85D62">
              <w:rPr>
                <w:rFonts w:cs="Arial"/>
                <w:color w:val="00B0F0"/>
              </w:rPr>
              <w:t>–</w:t>
            </w:r>
            <w:r w:rsidR="00B85D62" w:rsidRPr="00B85D62">
              <w:rPr>
                <w:rFonts w:cs="Arial"/>
                <w:color w:val="00B0F0"/>
              </w:rPr>
              <w:t>1</w:t>
            </w:r>
            <w:r w:rsidRPr="00B85D62">
              <w:rPr>
                <w:rFonts w:cs="Arial"/>
              </w:rPr>
              <w:t>0 years</w:t>
            </w:r>
          </w:p>
        </w:tc>
        <w:tc>
          <w:tcPr>
            <w:tcW w:w="0" w:type="auto"/>
            <w:vAlign w:val="center"/>
          </w:tcPr>
          <w:p w14:paraId="7FC9C142" w14:textId="77777777" w:rsidR="003250C1" w:rsidRPr="00B85D62" w:rsidRDefault="003250C1" w:rsidP="0066232B">
            <w:pPr>
              <w:spacing w:before="40" w:after="40"/>
              <w:jc w:val="right"/>
              <w:rPr>
                <w:rFonts w:cs="Arial"/>
              </w:rPr>
            </w:pPr>
            <w:r w:rsidRPr="00B85D62">
              <w:rPr>
                <w:rFonts w:cs="Arial"/>
              </w:rPr>
              <w:t>1.48</w:t>
            </w:r>
          </w:p>
        </w:tc>
        <w:tc>
          <w:tcPr>
            <w:tcW w:w="0" w:type="auto"/>
            <w:vMerge/>
            <w:vAlign w:val="center"/>
          </w:tcPr>
          <w:p w14:paraId="7A07FD94" w14:textId="77777777" w:rsidR="003250C1" w:rsidRPr="00B85D62" w:rsidRDefault="003250C1" w:rsidP="0066232B">
            <w:pPr>
              <w:spacing w:before="40" w:after="40"/>
              <w:rPr>
                <w:rFonts w:cs="Arial"/>
              </w:rPr>
            </w:pPr>
          </w:p>
        </w:tc>
        <w:tc>
          <w:tcPr>
            <w:tcW w:w="0" w:type="auto"/>
            <w:vMerge/>
          </w:tcPr>
          <w:p w14:paraId="1F9819AB" w14:textId="77777777" w:rsidR="003250C1" w:rsidRPr="00B85D62" w:rsidRDefault="003250C1" w:rsidP="0066232B">
            <w:pPr>
              <w:spacing w:before="40" w:after="40"/>
              <w:rPr>
                <w:rFonts w:cs="Arial"/>
              </w:rPr>
            </w:pPr>
          </w:p>
        </w:tc>
      </w:tr>
      <w:tr w:rsidR="003250C1" w:rsidRPr="00B85D62" w14:paraId="5C6A741D" w14:textId="77777777" w:rsidTr="00B85D62">
        <w:trPr>
          <w:cantSplit/>
          <w:tblHeader/>
        </w:trPr>
        <w:tc>
          <w:tcPr>
            <w:tcW w:w="0" w:type="auto"/>
            <w:vMerge/>
            <w:vAlign w:val="center"/>
          </w:tcPr>
          <w:p w14:paraId="6A257186" w14:textId="77777777" w:rsidR="003250C1" w:rsidRPr="00B85D62" w:rsidRDefault="003250C1" w:rsidP="0066232B">
            <w:pPr>
              <w:spacing w:before="40" w:after="40"/>
              <w:rPr>
                <w:rFonts w:cs="Arial"/>
              </w:rPr>
            </w:pPr>
          </w:p>
        </w:tc>
        <w:tc>
          <w:tcPr>
            <w:tcW w:w="0" w:type="auto"/>
            <w:vMerge/>
            <w:vAlign w:val="center"/>
          </w:tcPr>
          <w:p w14:paraId="39811FA3" w14:textId="77777777" w:rsidR="003250C1" w:rsidRPr="00B85D62" w:rsidRDefault="003250C1" w:rsidP="0066232B">
            <w:pPr>
              <w:spacing w:before="40" w:after="40"/>
              <w:rPr>
                <w:rFonts w:cs="Arial"/>
              </w:rPr>
            </w:pPr>
          </w:p>
        </w:tc>
        <w:tc>
          <w:tcPr>
            <w:tcW w:w="0" w:type="auto"/>
            <w:vAlign w:val="center"/>
          </w:tcPr>
          <w:p w14:paraId="29A770A8" w14:textId="7231C9D2" w:rsidR="003250C1" w:rsidRPr="00B85D62" w:rsidRDefault="003250C1" w:rsidP="0066232B">
            <w:pPr>
              <w:spacing w:before="40" w:after="40"/>
              <w:rPr>
                <w:rFonts w:cs="Arial"/>
              </w:rPr>
            </w:pPr>
            <w:r w:rsidRPr="00B85D62">
              <w:rPr>
                <w:rFonts w:cs="Arial"/>
              </w:rPr>
              <w:t>2</w:t>
            </w:r>
            <w:r w:rsidR="00B85D62" w:rsidRPr="00B85D62">
              <w:rPr>
                <w:rFonts w:cs="Arial"/>
                <w:color w:val="00B0F0"/>
              </w:rPr>
              <w:t>0</w:t>
            </w:r>
            <w:r w:rsidR="00B85D62" w:rsidRPr="00B85D62">
              <w:rPr>
                <w:rFonts w:cs="Arial"/>
                <w:color w:val="00B0F0"/>
              </w:rPr>
              <w:t> </w:t>
            </w:r>
            <w:r w:rsidR="00B85D62" w:rsidRPr="00B85D62">
              <w:rPr>
                <w:rFonts w:cs="Arial"/>
                <w:color w:val="00B0F0"/>
              </w:rPr>
              <w:t>+</w:t>
            </w:r>
            <w:r w:rsidRPr="00B85D62">
              <w:rPr>
                <w:rFonts w:cs="Arial"/>
              </w:rPr>
              <w:t xml:space="preserve"> years v. 0</w:t>
            </w:r>
            <w:r w:rsidR="00B85D62" w:rsidRPr="00B85D62">
              <w:rPr>
                <w:rFonts w:cs="Arial"/>
                <w:color w:val="00B0F0"/>
              </w:rPr>
              <w:t>–</w:t>
            </w:r>
            <w:r w:rsidR="00B85D62" w:rsidRPr="00B85D62">
              <w:rPr>
                <w:rFonts w:cs="Arial"/>
                <w:color w:val="00B0F0"/>
              </w:rPr>
              <w:t>1</w:t>
            </w:r>
            <w:r w:rsidRPr="00B85D62">
              <w:rPr>
                <w:rFonts w:cs="Arial"/>
              </w:rPr>
              <w:t>0 years</w:t>
            </w:r>
          </w:p>
        </w:tc>
        <w:tc>
          <w:tcPr>
            <w:tcW w:w="0" w:type="auto"/>
            <w:vAlign w:val="center"/>
          </w:tcPr>
          <w:p w14:paraId="1799989A" w14:textId="77777777" w:rsidR="003250C1" w:rsidRPr="00B85D62" w:rsidRDefault="003250C1" w:rsidP="0066232B">
            <w:pPr>
              <w:spacing w:before="40" w:after="40"/>
              <w:jc w:val="right"/>
              <w:rPr>
                <w:rFonts w:cs="Arial"/>
              </w:rPr>
            </w:pPr>
            <w:r w:rsidRPr="00B85D62">
              <w:rPr>
                <w:rFonts w:cs="Arial"/>
              </w:rPr>
              <w:t>2.36</w:t>
            </w:r>
          </w:p>
        </w:tc>
        <w:tc>
          <w:tcPr>
            <w:tcW w:w="0" w:type="auto"/>
            <w:vMerge/>
            <w:vAlign w:val="center"/>
          </w:tcPr>
          <w:p w14:paraId="7A800EEE" w14:textId="77777777" w:rsidR="003250C1" w:rsidRPr="00B85D62" w:rsidRDefault="003250C1" w:rsidP="0066232B">
            <w:pPr>
              <w:spacing w:before="40" w:after="40"/>
              <w:rPr>
                <w:rFonts w:cs="Arial"/>
              </w:rPr>
            </w:pPr>
          </w:p>
        </w:tc>
        <w:tc>
          <w:tcPr>
            <w:tcW w:w="0" w:type="auto"/>
            <w:vMerge/>
          </w:tcPr>
          <w:p w14:paraId="1DC9A923" w14:textId="77777777" w:rsidR="003250C1" w:rsidRPr="00B85D62" w:rsidRDefault="003250C1" w:rsidP="0066232B">
            <w:pPr>
              <w:spacing w:before="40" w:after="40"/>
              <w:rPr>
                <w:rFonts w:cs="Arial"/>
              </w:rPr>
            </w:pPr>
          </w:p>
        </w:tc>
      </w:tr>
      <w:tr w:rsidR="003250C1" w:rsidRPr="00B85D62" w14:paraId="509BF525" w14:textId="77777777" w:rsidTr="00B85D62">
        <w:trPr>
          <w:cantSplit/>
          <w:tblHeader/>
        </w:trPr>
        <w:tc>
          <w:tcPr>
            <w:tcW w:w="0" w:type="auto"/>
            <w:gridSpan w:val="3"/>
            <w:vAlign w:val="center"/>
          </w:tcPr>
          <w:p w14:paraId="7AF5528D" w14:textId="77777777" w:rsidR="003250C1" w:rsidRPr="00B85D62" w:rsidRDefault="003250C1" w:rsidP="0066232B">
            <w:pPr>
              <w:spacing w:before="40" w:after="40"/>
              <w:rPr>
                <w:rFonts w:cs="Arial"/>
              </w:rPr>
            </w:pPr>
            <w:r w:rsidRPr="00B85D62">
              <w:rPr>
                <w:rFonts w:cs="Arial"/>
              </w:rPr>
              <w:t>Effect of reducing LDL-C by 1 mmol/L on risk of CVD events</w:t>
            </w:r>
          </w:p>
        </w:tc>
        <w:tc>
          <w:tcPr>
            <w:tcW w:w="0" w:type="auto"/>
            <w:vAlign w:val="center"/>
          </w:tcPr>
          <w:p w14:paraId="306CD925" w14:textId="77777777" w:rsidR="003250C1" w:rsidRPr="00B85D62" w:rsidRDefault="003250C1" w:rsidP="0066232B">
            <w:pPr>
              <w:spacing w:before="40" w:after="40"/>
              <w:jc w:val="right"/>
              <w:rPr>
                <w:rFonts w:cs="Arial"/>
              </w:rPr>
            </w:pPr>
            <w:r w:rsidRPr="00B85D62">
              <w:rPr>
                <w:rFonts w:cs="Arial"/>
              </w:rPr>
              <w:t>Calculated according to EAS equation</w:t>
            </w:r>
          </w:p>
        </w:tc>
        <w:tc>
          <w:tcPr>
            <w:tcW w:w="0" w:type="auto"/>
            <w:vAlign w:val="center"/>
          </w:tcPr>
          <w:p w14:paraId="5AD325E6" w14:textId="245A2797" w:rsidR="003250C1" w:rsidRPr="00B85D62" w:rsidRDefault="003250C1" w:rsidP="007D477D">
            <w:pPr>
              <w:spacing w:before="40" w:after="40"/>
              <w:rPr>
                <w:rFonts w:cs="Arial"/>
              </w:rPr>
            </w:pPr>
            <w:r w:rsidRPr="00B85D62">
              <w:rPr>
                <w:rFonts w:cs="Arial"/>
              </w:rPr>
              <w:t xml:space="preserve">EAS Consensus Statement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2</w:t>
            </w:r>
            <w:r w:rsidRPr="00B85D62">
              <w:rPr>
                <w:rFonts w:cs="Arial"/>
              </w:rPr>
              <w:t xml:space="preserve"> </w:t>
            </w:r>
            <w:r w:rsidR="00F80015" w:rsidRPr="00B85D62">
              <w:rPr>
                <w:rFonts w:cs="Arial"/>
                <w:noProof/>
                <w:vertAlign w:val="superscript"/>
              </w:rPr>
              <w:t>17</w:t>
            </w:r>
          </w:p>
        </w:tc>
        <w:tc>
          <w:tcPr>
            <w:tcW w:w="0" w:type="auto"/>
          </w:tcPr>
          <w:p w14:paraId="7161D101" w14:textId="77777777" w:rsidR="003250C1" w:rsidRPr="00B85D62" w:rsidRDefault="003250C1" w:rsidP="0066232B">
            <w:pPr>
              <w:spacing w:before="40" w:after="40"/>
              <w:rPr>
                <w:rFonts w:cs="Arial"/>
              </w:rPr>
            </w:pPr>
            <w:r w:rsidRPr="00B85D62">
              <w:rPr>
                <w:rFonts w:cs="Arial"/>
              </w:rPr>
              <w:t>N/A.</w:t>
            </w:r>
          </w:p>
        </w:tc>
      </w:tr>
      <w:tr w:rsidR="003250C1" w:rsidRPr="00B85D62" w14:paraId="6E3949BF" w14:textId="77777777" w:rsidTr="00B85D62">
        <w:trPr>
          <w:cantSplit/>
          <w:tblHeader/>
        </w:trPr>
        <w:tc>
          <w:tcPr>
            <w:tcW w:w="0" w:type="auto"/>
            <w:gridSpan w:val="3"/>
            <w:vAlign w:val="center"/>
          </w:tcPr>
          <w:p w14:paraId="0A1867EF" w14:textId="77777777" w:rsidR="003250C1" w:rsidRPr="00B85D62" w:rsidRDefault="003250C1" w:rsidP="0066232B">
            <w:pPr>
              <w:spacing w:before="40" w:after="40"/>
              <w:rPr>
                <w:rFonts w:cs="Arial"/>
              </w:rPr>
            </w:pPr>
            <w:r w:rsidRPr="00B85D62">
              <w:rPr>
                <w:rFonts w:cs="Arial"/>
              </w:rPr>
              <w:t>Effect of reducing LDL-C by 1 mmol/L on risk of non-vascular death</w:t>
            </w:r>
          </w:p>
        </w:tc>
        <w:tc>
          <w:tcPr>
            <w:tcW w:w="0" w:type="auto"/>
            <w:vAlign w:val="center"/>
          </w:tcPr>
          <w:p w14:paraId="6557E6FB" w14:textId="7133B85E" w:rsidR="003250C1" w:rsidRPr="00B85D62" w:rsidRDefault="003250C1" w:rsidP="0066232B">
            <w:pPr>
              <w:spacing w:before="40" w:after="40"/>
              <w:jc w:val="right"/>
              <w:rPr>
                <w:rFonts w:cs="Arial"/>
              </w:rPr>
            </w:pPr>
            <w:r w:rsidRPr="00B85D62">
              <w:rPr>
                <w:rFonts w:cs="Arial"/>
              </w:rPr>
              <w:t>0.96 (95% CI 0.92</w:t>
            </w:r>
            <w:r w:rsidR="00B85D62" w:rsidRPr="00B85D62">
              <w:rPr>
                <w:rFonts w:cs="Arial"/>
                <w:color w:val="00B0F0"/>
              </w:rPr>
              <w:t>–</w:t>
            </w:r>
            <w:r w:rsidR="00B85D62" w:rsidRPr="00B85D62">
              <w:rPr>
                <w:rFonts w:cs="Arial"/>
                <w:color w:val="00B0F0"/>
              </w:rPr>
              <w:t>1</w:t>
            </w:r>
            <w:r w:rsidRPr="00B85D62">
              <w:rPr>
                <w:rFonts w:cs="Arial"/>
              </w:rPr>
              <w:t>.01)</w:t>
            </w:r>
          </w:p>
        </w:tc>
        <w:tc>
          <w:tcPr>
            <w:tcW w:w="0" w:type="auto"/>
            <w:vAlign w:val="center"/>
          </w:tcPr>
          <w:p w14:paraId="78451CFF" w14:textId="6BC4D7E0" w:rsidR="003250C1" w:rsidRPr="00B85D62" w:rsidRDefault="003250C1" w:rsidP="007D477D">
            <w:pPr>
              <w:spacing w:before="40" w:after="40"/>
              <w:rPr>
                <w:rFonts w:cs="Arial"/>
              </w:rPr>
            </w:pPr>
            <w:r w:rsidRPr="00B85D62">
              <w:rPr>
                <w:rFonts w:cs="Arial"/>
              </w:rPr>
              <w:t xml:space="preserve">CTTC </w:t>
            </w:r>
            <w:r w:rsidR="00F80015" w:rsidRPr="00B85D62">
              <w:rPr>
                <w:rFonts w:cs="Arial"/>
                <w:noProof/>
                <w:vertAlign w:val="superscript"/>
              </w:rPr>
              <w:t>18</w:t>
            </w:r>
            <w:r w:rsidRPr="00B85D62">
              <w:rPr>
                <w:rFonts w:cs="Arial"/>
              </w:rPr>
              <w:t xml:space="preserve"> Webfigure 4A</w:t>
            </w:r>
          </w:p>
        </w:tc>
        <w:tc>
          <w:tcPr>
            <w:tcW w:w="0" w:type="auto"/>
          </w:tcPr>
          <w:p w14:paraId="0E765F78" w14:textId="5DC5A5F5" w:rsidR="003250C1" w:rsidRPr="00B85D62" w:rsidRDefault="00905E8E" w:rsidP="0066232B">
            <w:pPr>
              <w:spacing w:before="40" w:after="40"/>
              <w:rPr>
                <w:rFonts w:cs="Arial"/>
              </w:rPr>
            </w:pPr>
            <w:r w:rsidRPr="00B85D62">
              <w:rPr>
                <w:rFonts w:eastAsia="Arial" w:cs="Arial"/>
                <w:i/>
                <w:color w:val="000000" w:themeColor="text1"/>
              </w:rPr>
              <w:t xml:space="preserve">Online Supplementary file </w:t>
            </w:r>
            <w:r w:rsidR="002D4BC1" w:rsidRPr="00B85D62">
              <w:rPr>
                <w:rFonts w:eastAsia="Arial" w:cs="Arial"/>
                <w:i/>
                <w:color w:val="000000" w:themeColor="text1"/>
              </w:rPr>
              <w:t>4</w:t>
            </w:r>
            <w:r w:rsidRPr="00B85D62">
              <w:rPr>
                <w:rFonts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7</w:t>
            </w:r>
          </w:p>
        </w:tc>
      </w:tr>
      <w:tr w:rsidR="003250C1" w:rsidRPr="00B85D62" w14:paraId="2E9B48E8" w14:textId="77777777" w:rsidTr="00B85D62">
        <w:trPr>
          <w:cantSplit/>
          <w:tblHeader/>
        </w:trPr>
        <w:tc>
          <w:tcPr>
            <w:tcW w:w="0" w:type="auto"/>
            <w:gridSpan w:val="3"/>
            <w:shd w:val="clear" w:color="auto" w:fill="FFFFFF" w:themeFill="background1"/>
            <w:vAlign w:val="center"/>
          </w:tcPr>
          <w:p w14:paraId="26CF0559" w14:textId="65A15E2A" w:rsidR="003250C1" w:rsidRPr="00B85D62" w:rsidRDefault="003250C1" w:rsidP="0066232B">
            <w:pPr>
              <w:spacing w:before="40" w:after="40"/>
              <w:rPr>
                <w:rFonts w:cs="Arial"/>
              </w:rPr>
            </w:pPr>
            <w:r w:rsidRPr="00B85D62">
              <w:rPr>
                <w:rFonts w:cs="Arial"/>
              </w:rPr>
              <w:t xml:space="preserve">Risk of all-cause death following the </w:t>
            </w:r>
            <w:r w:rsidR="00B85D62" w:rsidRPr="00B85D62">
              <w:rPr>
                <w:rFonts w:cs="Arial"/>
                <w:color w:val="00B0F0"/>
              </w:rPr>
              <w:t>1st</w:t>
            </w:r>
            <w:r w:rsidRPr="00B85D62">
              <w:rPr>
                <w:rFonts w:cs="Arial"/>
              </w:rPr>
              <w:t xml:space="preserve"> non-fatal CVD event</w:t>
            </w:r>
          </w:p>
          <w:p w14:paraId="6F0CDC9A" w14:textId="77777777" w:rsidR="003250C1" w:rsidRPr="00B85D62" w:rsidRDefault="003250C1" w:rsidP="0066232B">
            <w:pPr>
              <w:spacing w:before="40" w:after="40"/>
              <w:rPr>
                <w:rFonts w:cs="Arial"/>
              </w:rPr>
            </w:pPr>
          </w:p>
        </w:tc>
        <w:tc>
          <w:tcPr>
            <w:tcW w:w="0" w:type="auto"/>
            <w:shd w:val="clear" w:color="auto" w:fill="auto"/>
            <w:vAlign w:val="center"/>
          </w:tcPr>
          <w:p w14:paraId="5B7805C4" w14:textId="77777777" w:rsidR="003250C1" w:rsidRPr="00B85D62" w:rsidRDefault="003250C1" w:rsidP="0066232B">
            <w:pPr>
              <w:spacing w:before="40" w:after="40"/>
              <w:rPr>
                <w:rFonts w:cs="Arial"/>
              </w:rPr>
            </w:pPr>
            <w:r w:rsidRPr="00B85D62">
              <w:rPr>
                <w:rFonts w:cs="Arial"/>
              </w:rPr>
              <w:t>Constant probability over time by age at event, sex, and type of event</w:t>
            </w:r>
          </w:p>
        </w:tc>
        <w:tc>
          <w:tcPr>
            <w:tcW w:w="0" w:type="auto"/>
            <w:shd w:val="clear" w:color="auto" w:fill="auto"/>
            <w:vAlign w:val="center"/>
          </w:tcPr>
          <w:p w14:paraId="268219EE" w14:textId="3C0B7B4B" w:rsidR="003250C1" w:rsidRPr="00B85D62" w:rsidRDefault="003250C1" w:rsidP="0066232B">
            <w:pPr>
              <w:spacing w:before="40" w:after="40"/>
              <w:rPr>
                <w:rFonts w:cs="Arial"/>
              </w:rPr>
            </w:pPr>
            <w:r w:rsidRPr="00B85D62">
              <w:rPr>
                <w:rFonts w:cs="Arial"/>
              </w:rPr>
              <w:t>Lewsey</w:t>
            </w:r>
            <w:r w:rsidRPr="00B85D62">
              <w:rPr>
                <w:rFonts w:cs="Arial"/>
                <w:i/>
                <w:color w:val="00B0F0"/>
              </w:rPr>
              <w:t xml:space="preserve"> et al</w:t>
            </w:r>
            <w:r w:rsidRPr="00B85D62">
              <w:rPr>
                <w:rFonts w:cs="Arial"/>
              </w:rPr>
              <w:t xml:space="preserve"> </w:t>
            </w:r>
            <w:r w:rsidR="00C35B5E" w:rsidRPr="00B85D62">
              <w:rPr>
                <w:rFonts w:cs="Arial"/>
                <w:noProof/>
                <w:color w:val="2B579A"/>
                <w:shd w:val="clear" w:color="auto" w:fill="E6E6E6"/>
                <w:vertAlign w:val="superscript"/>
              </w:rPr>
              <w:t>153</w:t>
            </w:r>
          </w:p>
          <w:p w14:paraId="68297E40" w14:textId="77777777" w:rsidR="003250C1" w:rsidRPr="00B85D62" w:rsidRDefault="003250C1" w:rsidP="0066232B">
            <w:pPr>
              <w:spacing w:before="40" w:after="40"/>
              <w:rPr>
                <w:rFonts w:cs="Arial"/>
              </w:rPr>
            </w:pPr>
            <w:r w:rsidRPr="00B85D62">
              <w:rPr>
                <w:rFonts w:cs="Arial"/>
              </w:rPr>
              <w:t>Analysis of CPRD cohort</w:t>
            </w:r>
          </w:p>
          <w:p w14:paraId="1ADD3F55" w14:textId="41DF524F" w:rsidR="003250C1" w:rsidRPr="00B85D62" w:rsidRDefault="003250C1" w:rsidP="00C35B5E">
            <w:pPr>
              <w:spacing w:before="40" w:after="40"/>
              <w:rPr>
                <w:rFonts w:cs="Arial"/>
              </w:rPr>
            </w:pPr>
            <w:r w:rsidRPr="00B85D62">
              <w:rPr>
                <w:rFonts w:cs="Arial"/>
              </w:rPr>
              <w:t xml:space="preserve">General population mortality statistics </w:t>
            </w:r>
            <w:r w:rsidR="00C35B5E" w:rsidRPr="00B85D62">
              <w:rPr>
                <w:rFonts w:cs="Arial"/>
                <w:noProof/>
                <w:color w:val="2B579A"/>
                <w:shd w:val="clear" w:color="auto" w:fill="E6E6E6"/>
                <w:vertAlign w:val="superscript"/>
              </w:rPr>
              <w:t>152</w:t>
            </w:r>
          </w:p>
        </w:tc>
        <w:tc>
          <w:tcPr>
            <w:tcW w:w="0" w:type="auto"/>
          </w:tcPr>
          <w:p w14:paraId="34D370CD" w14:textId="3D34F1BB" w:rsidR="003250C1" w:rsidRPr="00B85D62" w:rsidRDefault="44DB2F4B" w:rsidP="0066232B">
            <w:pPr>
              <w:spacing w:before="40" w:after="40"/>
              <w:rPr>
                <w:rFonts w:cs="Arial"/>
              </w:rPr>
            </w:pPr>
            <w:r w:rsidRPr="00B85D62">
              <w:rPr>
                <w:rFonts w:cs="Arial"/>
              </w:rPr>
              <w:t xml:space="preserve">See </w:t>
            </w:r>
            <w:r w:rsidR="006F44B5" w:rsidRPr="00B85D62">
              <w:rPr>
                <w:rFonts w:eastAsia="Arial" w:cs="Arial"/>
                <w:i/>
                <w:color w:val="000000" w:themeColor="text1"/>
              </w:rPr>
              <w:t xml:space="preserve">Online Supplementary file </w:t>
            </w:r>
            <w:r w:rsidR="002D4BC1" w:rsidRPr="00B85D62">
              <w:rPr>
                <w:rFonts w:eastAsia="Arial" w:cs="Arial"/>
                <w:i/>
                <w:color w:val="000000" w:themeColor="text1"/>
              </w:rPr>
              <w:t>4</w:t>
            </w:r>
            <w:r w:rsidR="006F44B5" w:rsidRPr="00B85D62">
              <w:rPr>
                <w:rFonts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8</w:t>
            </w:r>
          </w:p>
        </w:tc>
      </w:tr>
      <w:tr w:rsidR="003250C1" w:rsidRPr="00B85D62" w14:paraId="4D5218D5" w14:textId="77777777" w:rsidTr="00B85D62">
        <w:trPr>
          <w:cantSplit/>
          <w:tblHeader/>
        </w:trPr>
        <w:tc>
          <w:tcPr>
            <w:tcW w:w="0" w:type="auto"/>
            <w:gridSpan w:val="3"/>
            <w:shd w:val="clear" w:color="auto" w:fill="FFFFFF" w:themeFill="background1"/>
            <w:vAlign w:val="center"/>
          </w:tcPr>
          <w:p w14:paraId="1648BD5B" w14:textId="77777777" w:rsidR="003250C1" w:rsidRPr="00B85D62" w:rsidRDefault="003250C1" w:rsidP="0066232B">
            <w:pPr>
              <w:spacing w:before="40" w:after="40"/>
              <w:rPr>
                <w:rFonts w:cs="Arial"/>
              </w:rPr>
            </w:pPr>
            <w:r w:rsidRPr="00B85D62">
              <w:rPr>
                <w:rFonts w:cs="Arial"/>
              </w:rPr>
              <w:t>Risk of non-CVD death</w:t>
            </w:r>
          </w:p>
        </w:tc>
        <w:tc>
          <w:tcPr>
            <w:tcW w:w="0" w:type="auto"/>
            <w:shd w:val="clear" w:color="auto" w:fill="auto"/>
            <w:vAlign w:val="center"/>
          </w:tcPr>
          <w:p w14:paraId="7F951410" w14:textId="77777777" w:rsidR="003250C1" w:rsidRPr="00B85D62" w:rsidRDefault="003250C1" w:rsidP="0066232B">
            <w:pPr>
              <w:spacing w:before="40" w:after="40"/>
              <w:rPr>
                <w:rFonts w:cs="Arial"/>
              </w:rPr>
            </w:pPr>
            <w:r w:rsidRPr="00B85D62">
              <w:rPr>
                <w:rFonts w:cs="Arial"/>
              </w:rPr>
              <w:t>Depends on age and sex</w:t>
            </w:r>
          </w:p>
        </w:tc>
        <w:tc>
          <w:tcPr>
            <w:tcW w:w="0" w:type="auto"/>
            <w:shd w:val="clear" w:color="auto" w:fill="auto"/>
            <w:vAlign w:val="center"/>
          </w:tcPr>
          <w:p w14:paraId="152F9902" w14:textId="396CEBCC" w:rsidR="003250C1" w:rsidRPr="00B85D62" w:rsidRDefault="003250C1" w:rsidP="00C35B5E">
            <w:pPr>
              <w:spacing w:before="40" w:after="40"/>
              <w:rPr>
                <w:rFonts w:cs="Arial"/>
              </w:rPr>
            </w:pPr>
            <w:r w:rsidRPr="00B85D62">
              <w:rPr>
                <w:rFonts w:cs="Arial"/>
              </w:rPr>
              <w:t xml:space="preserve">General population mortality statistics </w:t>
            </w:r>
            <w:r w:rsidR="00C35B5E" w:rsidRPr="00B85D62">
              <w:rPr>
                <w:rFonts w:cs="Arial"/>
                <w:noProof/>
                <w:color w:val="2B579A"/>
                <w:shd w:val="clear" w:color="auto" w:fill="E6E6E6"/>
                <w:vertAlign w:val="superscript"/>
              </w:rPr>
              <w:t>152</w:t>
            </w:r>
          </w:p>
        </w:tc>
        <w:tc>
          <w:tcPr>
            <w:tcW w:w="0" w:type="auto"/>
          </w:tcPr>
          <w:p w14:paraId="5E0DAA7B" w14:textId="7E828686" w:rsidR="003250C1" w:rsidRPr="00B85D62" w:rsidRDefault="3D9CF0D6" w:rsidP="0066232B">
            <w:pPr>
              <w:spacing w:before="40" w:after="40"/>
              <w:rPr>
                <w:rFonts w:cs="Arial"/>
              </w:rPr>
            </w:pPr>
            <w:r w:rsidRPr="00B85D62">
              <w:rPr>
                <w:rFonts w:cs="Arial"/>
              </w:rPr>
              <w:t xml:space="preserve">See </w:t>
            </w:r>
            <w:r w:rsidR="006F44B5" w:rsidRPr="00B85D62">
              <w:rPr>
                <w:rFonts w:eastAsia="Arial" w:cs="Arial"/>
                <w:i/>
                <w:color w:val="000000" w:themeColor="text1"/>
              </w:rPr>
              <w:t xml:space="preserve">Online Supplementary file </w:t>
            </w:r>
            <w:r w:rsidR="002D4BC1" w:rsidRPr="00B85D62">
              <w:rPr>
                <w:rFonts w:eastAsia="Arial" w:cs="Arial"/>
                <w:i/>
                <w:color w:val="000000" w:themeColor="text1"/>
              </w:rPr>
              <w:t>4</w:t>
            </w:r>
            <w:r w:rsidR="006F44B5" w:rsidRPr="00B85D62">
              <w:rPr>
                <w:rFonts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9</w:t>
            </w:r>
          </w:p>
        </w:tc>
      </w:tr>
      <w:tr w:rsidR="003250C1" w:rsidRPr="00B85D62" w14:paraId="636A0630" w14:textId="77777777" w:rsidTr="00B85D62">
        <w:trPr>
          <w:cantSplit/>
          <w:tblHeader/>
        </w:trPr>
        <w:tc>
          <w:tcPr>
            <w:tcW w:w="0" w:type="auto"/>
            <w:gridSpan w:val="3"/>
            <w:shd w:val="clear" w:color="auto" w:fill="A6A6A6" w:themeFill="background1" w:themeFillShade="A6"/>
            <w:vAlign w:val="center"/>
          </w:tcPr>
          <w:p w14:paraId="618F8FA6" w14:textId="77777777" w:rsidR="003250C1" w:rsidRPr="00B85D62" w:rsidRDefault="003250C1" w:rsidP="0066232B">
            <w:pPr>
              <w:spacing w:before="40" w:after="40"/>
              <w:rPr>
                <w:rFonts w:cs="Arial"/>
                <w:b/>
                <w:bCs/>
              </w:rPr>
            </w:pPr>
            <w:r w:rsidRPr="00B85D62">
              <w:rPr>
                <w:rFonts w:cs="Arial"/>
                <w:b/>
                <w:bCs/>
              </w:rPr>
              <w:t>Effect of FH diagnosis on costs</w:t>
            </w:r>
          </w:p>
        </w:tc>
        <w:tc>
          <w:tcPr>
            <w:tcW w:w="0" w:type="auto"/>
            <w:shd w:val="clear" w:color="auto" w:fill="A6A6A6" w:themeFill="background1" w:themeFillShade="A6"/>
            <w:vAlign w:val="center"/>
          </w:tcPr>
          <w:p w14:paraId="5B86BF33" w14:textId="77777777" w:rsidR="003250C1" w:rsidRPr="00B85D62" w:rsidRDefault="003250C1" w:rsidP="0066232B">
            <w:pPr>
              <w:spacing w:before="40" w:after="40"/>
              <w:jc w:val="right"/>
              <w:rPr>
                <w:rFonts w:cs="Arial"/>
                <w:b/>
                <w:bCs/>
              </w:rPr>
            </w:pPr>
          </w:p>
        </w:tc>
        <w:tc>
          <w:tcPr>
            <w:tcW w:w="0" w:type="auto"/>
            <w:shd w:val="clear" w:color="auto" w:fill="A6A6A6" w:themeFill="background1" w:themeFillShade="A6"/>
            <w:vAlign w:val="center"/>
          </w:tcPr>
          <w:p w14:paraId="5B61F6F2" w14:textId="77777777" w:rsidR="003250C1" w:rsidRPr="00B85D62" w:rsidRDefault="003250C1" w:rsidP="0066232B">
            <w:pPr>
              <w:spacing w:before="40" w:after="40"/>
              <w:rPr>
                <w:rFonts w:cs="Arial"/>
                <w:b/>
                <w:bCs/>
              </w:rPr>
            </w:pPr>
          </w:p>
        </w:tc>
        <w:tc>
          <w:tcPr>
            <w:tcW w:w="0" w:type="auto"/>
            <w:shd w:val="clear" w:color="auto" w:fill="A6A6A6" w:themeFill="background1" w:themeFillShade="A6"/>
          </w:tcPr>
          <w:p w14:paraId="584B7F93" w14:textId="77777777" w:rsidR="003250C1" w:rsidRPr="00B85D62" w:rsidRDefault="003250C1" w:rsidP="0066232B">
            <w:pPr>
              <w:spacing w:before="40" w:after="40"/>
              <w:rPr>
                <w:rFonts w:cs="Arial"/>
                <w:b/>
                <w:bCs/>
              </w:rPr>
            </w:pPr>
          </w:p>
        </w:tc>
      </w:tr>
      <w:tr w:rsidR="003250C1" w:rsidRPr="00B85D62" w14:paraId="3C9C68B6" w14:textId="77777777" w:rsidTr="00B85D62">
        <w:trPr>
          <w:cantSplit/>
          <w:tblHeader/>
        </w:trPr>
        <w:tc>
          <w:tcPr>
            <w:tcW w:w="0" w:type="auto"/>
            <w:gridSpan w:val="6"/>
            <w:shd w:val="clear" w:color="auto" w:fill="E7E6E6" w:themeFill="background2"/>
          </w:tcPr>
          <w:p w14:paraId="757C4CD4" w14:textId="77777777" w:rsidR="003250C1" w:rsidRPr="00B85D62" w:rsidRDefault="003250C1" w:rsidP="0066232B">
            <w:pPr>
              <w:spacing w:before="40" w:after="40"/>
              <w:rPr>
                <w:rFonts w:cs="Arial"/>
              </w:rPr>
            </w:pPr>
            <w:r w:rsidRPr="00B85D62">
              <w:rPr>
                <w:rFonts w:cs="Arial"/>
              </w:rPr>
              <w:t>Costs of treatment, per annum</w:t>
            </w:r>
          </w:p>
        </w:tc>
      </w:tr>
      <w:tr w:rsidR="003250C1" w:rsidRPr="00B85D62" w14:paraId="75F8BB9C" w14:textId="77777777" w:rsidTr="00B85D62">
        <w:trPr>
          <w:cantSplit/>
          <w:tblHeader/>
        </w:trPr>
        <w:tc>
          <w:tcPr>
            <w:tcW w:w="0" w:type="auto"/>
            <w:gridSpan w:val="3"/>
            <w:vAlign w:val="center"/>
          </w:tcPr>
          <w:p w14:paraId="5769E628" w14:textId="77777777" w:rsidR="003250C1" w:rsidRPr="00B85D62" w:rsidRDefault="003250C1" w:rsidP="0066232B">
            <w:pPr>
              <w:spacing w:before="40" w:after="40"/>
              <w:rPr>
                <w:rFonts w:cs="Arial"/>
              </w:rPr>
            </w:pPr>
            <w:r w:rsidRPr="00B85D62">
              <w:rPr>
                <w:rFonts w:cs="Arial"/>
              </w:rPr>
              <w:t>Cost of LLT, per annum</w:t>
            </w:r>
          </w:p>
        </w:tc>
        <w:tc>
          <w:tcPr>
            <w:tcW w:w="0" w:type="auto"/>
            <w:vAlign w:val="center"/>
          </w:tcPr>
          <w:p w14:paraId="1DA20D89" w14:textId="77777777" w:rsidR="00B85D62" w:rsidRPr="00B85D62" w:rsidRDefault="003250C1" w:rsidP="0066232B">
            <w:pPr>
              <w:spacing w:before="40" w:after="40"/>
              <w:jc w:val="right"/>
              <w:rPr>
                <w:rFonts w:cs="Arial"/>
              </w:rPr>
            </w:pPr>
            <w:r w:rsidRPr="00B85D62">
              <w:rPr>
                <w:rFonts w:cs="Arial"/>
              </w:rPr>
              <w:t>£21</w:t>
            </w:r>
          </w:p>
          <w:p w14:paraId="2A6C9FDD" w14:textId="6D66D90F" w:rsidR="003250C1" w:rsidRPr="00B85D62" w:rsidRDefault="003250C1" w:rsidP="0066232B">
            <w:pPr>
              <w:spacing w:before="40" w:after="40"/>
              <w:jc w:val="right"/>
              <w:rPr>
                <w:rFonts w:cs="Arial"/>
              </w:rPr>
            </w:pPr>
          </w:p>
        </w:tc>
        <w:tc>
          <w:tcPr>
            <w:tcW w:w="0" w:type="auto"/>
            <w:vAlign w:val="center"/>
          </w:tcPr>
          <w:p w14:paraId="243DA685" w14:textId="77777777" w:rsidR="003250C1" w:rsidRPr="00B85D62" w:rsidRDefault="003250C1" w:rsidP="0066232B">
            <w:pPr>
              <w:spacing w:before="40" w:after="40"/>
              <w:rPr>
                <w:rFonts w:cs="Arial"/>
              </w:rPr>
            </w:pPr>
            <w:r w:rsidRPr="00B85D62">
              <w:rPr>
                <w:rFonts w:cs="Arial"/>
              </w:rPr>
              <w:t>Analysis of CPRD cohort.</w:t>
            </w:r>
          </w:p>
          <w:p w14:paraId="6C2A0FDC" w14:textId="6161423D" w:rsidR="003250C1" w:rsidRPr="00B85D62" w:rsidRDefault="003250C1" w:rsidP="00C35B5E">
            <w:pPr>
              <w:spacing w:before="40" w:after="40"/>
              <w:rPr>
                <w:rFonts w:cs="Arial"/>
              </w:rPr>
            </w:pPr>
            <w:r w:rsidRPr="00B85D62">
              <w:rPr>
                <w:rFonts w:cs="Arial"/>
              </w:rPr>
              <w:t xml:space="preserve">Unit costs from Drug Tariff 2019 </w:t>
            </w:r>
            <w:r w:rsidR="00C35B5E" w:rsidRPr="00B85D62">
              <w:rPr>
                <w:rFonts w:cs="Arial"/>
                <w:noProof/>
                <w:color w:val="2B579A"/>
                <w:shd w:val="clear" w:color="auto" w:fill="E6E6E6"/>
                <w:vertAlign w:val="superscript"/>
              </w:rPr>
              <w:t>155</w:t>
            </w:r>
            <w:r w:rsidRPr="00B85D62">
              <w:rPr>
                <w:rFonts w:cs="Arial"/>
              </w:rPr>
              <w:t xml:space="preserve">. </w:t>
            </w:r>
          </w:p>
        </w:tc>
        <w:tc>
          <w:tcPr>
            <w:tcW w:w="0" w:type="auto"/>
          </w:tcPr>
          <w:p w14:paraId="24AF5912" w14:textId="41722C38" w:rsidR="003250C1" w:rsidRPr="00B85D62" w:rsidRDefault="26E74651" w:rsidP="0066232B">
            <w:pPr>
              <w:spacing w:before="40" w:after="40"/>
              <w:rPr>
                <w:rFonts w:cs="Arial"/>
              </w:rPr>
            </w:pPr>
            <w:r w:rsidRPr="00B85D62">
              <w:rPr>
                <w:rFonts w:cs="Arial"/>
              </w:rPr>
              <w:t xml:space="preserve">See </w:t>
            </w:r>
            <w:r w:rsidR="006F44B5" w:rsidRPr="00B85D62">
              <w:rPr>
                <w:rFonts w:eastAsia="Arial" w:cs="Arial"/>
                <w:i/>
                <w:color w:val="000000" w:themeColor="text1"/>
              </w:rPr>
              <w:t xml:space="preserve">Online Supplementary file </w:t>
            </w:r>
            <w:r w:rsidR="002D4BC1" w:rsidRPr="00B85D62">
              <w:rPr>
                <w:rFonts w:eastAsia="Arial" w:cs="Arial"/>
                <w:i/>
                <w:color w:val="000000" w:themeColor="text1"/>
              </w:rPr>
              <w:t>4</w:t>
            </w:r>
            <w:r w:rsidR="006F44B5" w:rsidRPr="00B85D62">
              <w:rPr>
                <w:rFonts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10</w:t>
            </w:r>
          </w:p>
        </w:tc>
      </w:tr>
      <w:tr w:rsidR="003250C1" w:rsidRPr="00B85D62" w14:paraId="2660A64B" w14:textId="77777777" w:rsidTr="00B85D62">
        <w:trPr>
          <w:cantSplit/>
          <w:tblHeader/>
        </w:trPr>
        <w:tc>
          <w:tcPr>
            <w:tcW w:w="0" w:type="auto"/>
            <w:gridSpan w:val="6"/>
            <w:shd w:val="clear" w:color="auto" w:fill="E7E6E6" w:themeFill="background2"/>
          </w:tcPr>
          <w:p w14:paraId="62425917" w14:textId="77777777" w:rsidR="003250C1" w:rsidRPr="00B85D62" w:rsidRDefault="003250C1" w:rsidP="0066232B">
            <w:pPr>
              <w:spacing w:before="40" w:after="40"/>
              <w:rPr>
                <w:rFonts w:cs="Arial"/>
              </w:rPr>
            </w:pPr>
            <w:r w:rsidRPr="00B85D62">
              <w:rPr>
                <w:rFonts w:cs="Arial"/>
              </w:rPr>
              <w:t xml:space="preserve">Adverse effects of LLT: additional costs </w:t>
            </w:r>
            <w:r w:rsidRPr="00B85D62">
              <w:rPr>
                <w:rFonts w:cs="Arial"/>
                <w:highlight w:val="magenta"/>
              </w:rPr>
              <w:t>due to</w:t>
            </w:r>
            <w:r w:rsidRPr="00B85D62">
              <w:rPr>
                <w:rFonts w:cs="Arial"/>
              </w:rPr>
              <w:t xml:space="preserve"> earlier cases of diabetes</w:t>
            </w:r>
          </w:p>
        </w:tc>
      </w:tr>
      <w:tr w:rsidR="003250C1" w:rsidRPr="00B85D62" w14:paraId="5857ADEE" w14:textId="77777777" w:rsidTr="00B85D62">
        <w:trPr>
          <w:cantSplit/>
          <w:tblHeader/>
        </w:trPr>
        <w:tc>
          <w:tcPr>
            <w:tcW w:w="0" w:type="auto"/>
            <w:gridSpan w:val="3"/>
            <w:vAlign w:val="center"/>
          </w:tcPr>
          <w:p w14:paraId="64D8440A" w14:textId="77777777" w:rsidR="003250C1" w:rsidRPr="00B85D62" w:rsidRDefault="003250C1" w:rsidP="0066232B">
            <w:pPr>
              <w:spacing w:before="40" w:after="40"/>
              <w:rPr>
                <w:rFonts w:cs="Arial"/>
              </w:rPr>
            </w:pPr>
            <w:r w:rsidRPr="00B85D62">
              <w:rPr>
                <w:rFonts w:cs="Arial"/>
              </w:rPr>
              <w:t>Primary prevention, per annum</w:t>
            </w:r>
          </w:p>
        </w:tc>
        <w:tc>
          <w:tcPr>
            <w:tcW w:w="0" w:type="auto"/>
            <w:vAlign w:val="center"/>
          </w:tcPr>
          <w:p w14:paraId="57B727B2" w14:textId="77777777" w:rsidR="003250C1" w:rsidRPr="00B85D62" w:rsidRDefault="003250C1" w:rsidP="0066232B">
            <w:pPr>
              <w:spacing w:before="40" w:after="40"/>
              <w:jc w:val="right"/>
              <w:rPr>
                <w:rFonts w:cs="Arial"/>
              </w:rPr>
            </w:pPr>
            <w:r w:rsidRPr="00B85D62">
              <w:rPr>
                <w:rFonts w:cs="Arial"/>
              </w:rPr>
              <w:t xml:space="preserve">£3 </w:t>
            </w:r>
          </w:p>
        </w:tc>
        <w:tc>
          <w:tcPr>
            <w:tcW w:w="0" w:type="auto"/>
            <w:vMerge w:val="restart"/>
            <w:vAlign w:val="center"/>
          </w:tcPr>
          <w:p w14:paraId="287ABF5E" w14:textId="2940C13C" w:rsidR="003250C1" w:rsidRPr="00B85D62" w:rsidRDefault="003250C1" w:rsidP="00C35B5E">
            <w:pPr>
              <w:spacing w:before="40" w:after="40"/>
              <w:rPr>
                <w:rFonts w:cs="Arial"/>
              </w:rPr>
            </w:pPr>
            <w:r w:rsidRPr="00B85D62">
              <w:rPr>
                <w:rFonts w:cs="Arial"/>
              </w:rPr>
              <w:t xml:space="preserve">NICE CG181 </w:t>
            </w:r>
            <w:r w:rsidR="00C35B5E" w:rsidRPr="00B85D62">
              <w:rPr>
                <w:rFonts w:cs="Arial"/>
                <w:noProof/>
                <w:color w:val="2B579A"/>
                <w:shd w:val="clear" w:color="auto" w:fill="E6E6E6"/>
                <w:vertAlign w:val="superscript"/>
              </w:rPr>
              <w:t>116</w:t>
            </w:r>
            <w:r w:rsidRPr="00B85D62">
              <w:rPr>
                <w:rFonts w:cs="Arial"/>
              </w:rPr>
              <w:t xml:space="preserve">, inflated to 2019 prices </w:t>
            </w:r>
            <w:r w:rsidR="00C35B5E" w:rsidRPr="00B85D62">
              <w:rPr>
                <w:rFonts w:cs="Arial"/>
                <w:noProof/>
                <w:color w:val="2B579A"/>
                <w:shd w:val="clear" w:color="auto" w:fill="E6E6E6"/>
                <w:vertAlign w:val="superscript"/>
              </w:rPr>
              <w:t>157</w:t>
            </w:r>
          </w:p>
        </w:tc>
        <w:tc>
          <w:tcPr>
            <w:tcW w:w="0" w:type="auto"/>
            <w:vMerge w:val="restart"/>
          </w:tcPr>
          <w:p w14:paraId="080C3B9D" w14:textId="77777777" w:rsidR="003250C1" w:rsidRPr="00B85D62" w:rsidRDefault="003250C1" w:rsidP="0066232B">
            <w:pPr>
              <w:spacing w:before="40" w:after="40"/>
              <w:rPr>
                <w:rFonts w:cs="Arial"/>
              </w:rPr>
            </w:pPr>
            <w:r w:rsidRPr="00B85D62">
              <w:rPr>
                <w:rFonts w:cs="Arial"/>
              </w:rPr>
              <w:t>N/A</w:t>
            </w:r>
          </w:p>
        </w:tc>
      </w:tr>
      <w:tr w:rsidR="003250C1" w:rsidRPr="00B85D62" w14:paraId="309B82C3" w14:textId="77777777" w:rsidTr="00B85D62">
        <w:trPr>
          <w:cantSplit/>
          <w:tblHeader/>
        </w:trPr>
        <w:tc>
          <w:tcPr>
            <w:tcW w:w="0" w:type="auto"/>
            <w:gridSpan w:val="3"/>
            <w:vAlign w:val="center"/>
          </w:tcPr>
          <w:p w14:paraId="36B870A2" w14:textId="77777777" w:rsidR="003250C1" w:rsidRPr="00B85D62" w:rsidRDefault="003250C1" w:rsidP="0066232B">
            <w:pPr>
              <w:spacing w:before="40" w:after="40"/>
              <w:rPr>
                <w:rFonts w:cs="Arial"/>
              </w:rPr>
            </w:pPr>
            <w:r w:rsidRPr="00B85D62">
              <w:rPr>
                <w:rFonts w:cs="Arial"/>
              </w:rPr>
              <w:t>Secondary prevention, per annum</w:t>
            </w:r>
          </w:p>
        </w:tc>
        <w:tc>
          <w:tcPr>
            <w:tcW w:w="0" w:type="auto"/>
            <w:vAlign w:val="center"/>
          </w:tcPr>
          <w:p w14:paraId="5CC5C347" w14:textId="77777777" w:rsidR="003250C1" w:rsidRPr="00B85D62" w:rsidRDefault="003250C1" w:rsidP="0066232B">
            <w:pPr>
              <w:spacing w:before="40" w:after="40"/>
              <w:jc w:val="right"/>
              <w:rPr>
                <w:rFonts w:cs="Arial"/>
              </w:rPr>
            </w:pPr>
            <w:r w:rsidRPr="00B85D62">
              <w:rPr>
                <w:rFonts w:cs="Arial"/>
              </w:rPr>
              <w:t>£6</w:t>
            </w:r>
          </w:p>
        </w:tc>
        <w:tc>
          <w:tcPr>
            <w:tcW w:w="0" w:type="auto"/>
            <w:vMerge/>
            <w:vAlign w:val="center"/>
          </w:tcPr>
          <w:p w14:paraId="29E15F20" w14:textId="77777777" w:rsidR="003250C1" w:rsidRPr="00B85D62" w:rsidRDefault="003250C1" w:rsidP="0066232B">
            <w:pPr>
              <w:spacing w:before="40" w:after="40"/>
              <w:rPr>
                <w:rFonts w:cs="Arial"/>
              </w:rPr>
            </w:pPr>
          </w:p>
        </w:tc>
        <w:tc>
          <w:tcPr>
            <w:tcW w:w="0" w:type="auto"/>
            <w:vMerge/>
          </w:tcPr>
          <w:p w14:paraId="460B0A6B" w14:textId="77777777" w:rsidR="003250C1" w:rsidRPr="00B85D62" w:rsidRDefault="003250C1" w:rsidP="0066232B">
            <w:pPr>
              <w:spacing w:before="40" w:after="40"/>
              <w:rPr>
                <w:rFonts w:cs="Arial"/>
              </w:rPr>
            </w:pPr>
          </w:p>
        </w:tc>
      </w:tr>
      <w:tr w:rsidR="003250C1" w:rsidRPr="00B85D62" w14:paraId="2F8D5C9E" w14:textId="77777777" w:rsidTr="00B85D62">
        <w:trPr>
          <w:cantSplit/>
          <w:tblHeader/>
        </w:trPr>
        <w:tc>
          <w:tcPr>
            <w:tcW w:w="0" w:type="auto"/>
            <w:gridSpan w:val="6"/>
            <w:shd w:val="clear" w:color="auto" w:fill="E7E6E6" w:themeFill="background2"/>
            <w:vAlign w:val="center"/>
          </w:tcPr>
          <w:p w14:paraId="58F44F26" w14:textId="77777777" w:rsidR="003250C1" w:rsidRPr="00B85D62" w:rsidRDefault="003250C1" w:rsidP="0066232B">
            <w:pPr>
              <w:spacing w:before="40" w:after="40"/>
              <w:rPr>
                <w:rFonts w:cs="Arial"/>
              </w:rPr>
            </w:pPr>
            <w:r w:rsidRPr="00B85D62">
              <w:rPr>
                <w:rFonts w:cs="Arial"/>
              </w:rPr>
              <w:t>Costs of monitoring, per annum</w:t>
            </w:r>
          </w:p>
        </w:tc>
      </w:tr>
      <w:tr w:rsidR="003250C1" w:rsidRPr="00B85D62" w14:paraId="6BA97424" w14:textId="77777777" w:rsidTr="00B85D62">
        <w:trPr>
          <w:cantSplit/>
          <w:tblHeader/>
        </w:trPr>
        <w:tc>
          <w:tcPr>
            <w:tcW w:w="0" w:type="auto"/>
            <w:gridSpan w:val="3"/>
            <w:vAlign w:val="center"/>
          </w:tcPr>
          <w:p w14:paraId="5D26DDE2" w14:textId="77777777" w:rsidR="003250C1" w:rsidRPr="00B85D62" w:rsidRDefault="003250C1" w:rsidP="0066232B">
            <w:pPr>
              <w:spacing w:before="40" w:after="40"/>
              <w:rPr>
                <w:rFonts w:cs="Arial"/>
              </w:rPr>
            </w:pPr>
            <w:r w:rsidRPr="00B85D62">
              <w:rPr>
                <w:rFonts w:cs="Arial"/>
              </w:rPr>
              <w:t>Adults in primary care in the year of LLT initiation</w:t>
            </w:r>
          </w:p>
        </w:tc>
        <w:tc>
          <w:tcPr>
            <w:tcW w:w="0" w:type="auto"/>
            <w:vAlign w:val="center"/>
          </w:tcPr>
          <w:p w14:paraId="371B01B1" w14:textId="77777777" w:rsidR="003250C1" w:rsidRPr="00B85D62" w:rsidRDefault="003250C1" w:rsidP="0066232B">
            <w:pPr>
              <w:spacing w:before="40" w:after="40"/>
              <w:jc w:val="right"/>
              <w:rPr>
                <w:rFonts w:cs="Arial"/>
              </w:rPr>
            </w:pPr>
            <w:r w:rsidRPr="00B85D62">
              <w:rPr>
                <w:rFonts w:cs="Arial"/>
              </w:rPr>
              <w:t>£137</w:t>
            </w:r>
          </w:p>
        </w:tc>
        <w:tc>
          <w:tcPr>
            <w:tcW w:w="0" w:type="auto"/>
            <w:vMerge w:val="restart"/>
            <w:vAlign w:val="center"/>
          </w:tcPr>
          <w:p w14:paraId="02CDC363" w14:textId="77777777" w:rsidR="00B85D62" w:rsidRPr="00B85D62" w:rsidRDefault="003250C1" w:rsidP="0066232B">
            <w:pPr>
              <w:spacing w:before="40" w:after="40"/>
              <w:rPr>
                <w:rFonts w:cs="Arial"/>
              </w:rPr>
            </w:pPr>
            <w:r w:rsidRPr="00B85D62">
              <w:rPr>
                <w:rFonts w:cs="Arial"/>
              </w:rPr>
              <w:t>Resource use based on NICE CG181</w:t>
            </w:r>
            <w:r w:rsidR="00895586" w:rsidRPr="00B85D62">
              <w:rPr>
                <w:rFonts w:cs="Arial"/>
              </w:rPr>
              <w:t xml:space="preserve"> </w:t>
            </w:r>
            <w:r w:rsidR="00C35B5E" w:rsidRPr="00B85D62">
              <w:rPr>
                <w:rFonts w:cs="Arial"/>
                <w:noProof/>
                <w:color w:val="2B579A"/>
                <w:shd w:val="clear" w:color="auto" w:fill="E6E6E6"/>
                <w:vertAlign w:val="superscript"/>
              </w:rPr>
              <w:t>116</w:t>
            </w:r>
            <w:r w:rsidRPr="00B85D62">
              <w:rPr>
                <w:rFonts w:cs="Arial"/>
              </w:rPr>
              <w:t xml:space="preserve">, NICE CG71 </w:t>
            </w:r>
            <w:r w:rsidR="00F80015" w:rsidRPr="00B85D62">
              <w:rPr>
                <w:rFonts w:cs="Arial"/>
                <w:noProof/>
                <w:vertAlign w:val="superscript"/>
              </w:rPr>
              <w:t>9</w:t>
            </w:r>
            <w:r w:rsidRPr="00B85D62">
              <w:rPr>
                <w:rFonts w:cs="Arial"/>
              </w:rPr>
              <w:t xml:space="preserve">, Heart UK Consensus Statement </w:t>
            </w:r>
            <w:r w:rsidR="00C35B5E" w:rsidRPr="00B85D62">
              <w:rPr>
                <w:rFonts w:cs="Arial"/>
                <w:noProof/>
                <w:color w:val="2B579A"/>
                <w:shd w:val="clear" w:color="auto" w:fill="E6E6E6"/>
                <w:vertAlign w:val="superscript"/>
              </w:rPr>
              <w:t>154</w:t>
            </w:r>
            <w:r w:rsidRPr="00B85D62">
              <w:rPr>
                <w:rFonts w:cs="Arial"/>
              </w:rPr>
              <w:t xml:space="preserve"> and feedback from our Stakeholder Group.</w:t>
            </w:r>
          </w:p>
          <w:p w14:paraId="41495A01" w14:textId="6CEE08A0" w:rsidR="003250C1" w:rsidRPr="00B85D62" w:rsidRDefault="003250C1" w:rsidP="00C35B5E">
            <w:pPr>
              <w:spacing w:before="40" w:after="40"/>
              <w:rPr>
                <w:rFonts w:cs="Arial"/>
              </w:rPr>
            </w:pPr>
            <w:r w:rsidRPr="00B85D62">
              <w:rPr>
                <w:rFonts w:cs="Arial"/>
              </w:rPr>
              <w:t xml:space="preserve">Unit costs obtained from national costs </w:t>
            </w:r>
            <w:r w:rsidR="00C35B5E" w:rsidRPr="00B85D62">
              <w:rPr>
                <w:rFonts w:cs="Arial"/>
                <w:noProof/>
                <w:color w:val="2B579A"/>
                <w:shd w:val="clear" w:color="auto" w:fill="E6E6E6"/>
                <w:vertAlign w:val="superscript"/>
              </w:rPr>
              <w:t>157</w:t>
            </w:r>
            <w:r w:rsidRPr="00B85D62">
              <w:rPr>
                <w:rFonts w:cs="Arial"/>
              </w:rPr>
              <w:t xml:space="preserve"> </w:t>
            </w:r>
            <w:r w:rsidR="00C35B5E" w:rsidRPr="00B85D62">
              <w:rPr>
                <w:rFonts w:cs="Arial"/>
                <w:noProof/>
                <w:color w:val="2B579A"/>
                <w:shd w:val="clear" w:color="auto" w:fill="E6E6E6"/>
                <w:vertAlign w:val="superscript"/>
              </w:rPr>
              <w:t>156</w:t>
            </w:r>
            <w:r w:rsidRPr="00B85D62">
              <w:rPr>
                <w:rFonts w:cs="Arial"/>
              </w:rPr>
              <w:t xml:space="preserve"> and NICE CG181 </w:t>
            </w:r>
            <w:r w:rsidR="00C35B5E" w:rsidRPr="00B85D62">
              <w:rPr>
                <w:rFonts w:cs="Arial"/>
                <w:noProof/>
                <w:color w:val="2B579A"/>
                <w:shd w:val="clear" w:color="auto" w:fill="E6E6E6"/>
                <w:vertAlign w:val="superscript"/>
              </w:rPr>
              <w:t>116</w:t>
            </w:r>
            <w:r w:rsidRPr="00B85D62">
              <w:rPr>
                <w:rFonts w:cs="Arial"/>
              </w:rPr>
              <w:t>, inflated to 2019.</w:t>
            </w:r>
          </w:p>
        </w:tc>
        <w:tc>
          <w:tcPr>
            <w:tcW w:w="0" w:type="auto"/>
            <w:vMerge w:val="restart"/>
          </w:tcPr>
          <w:p w14:paraId="360EAA56" w14:textId="74532607" w:rsidR="003250C1" w:rsidRPr="00B85D62" w:rsidRDefault="006F44B5" w:rsidP="0066232B">
            <w:pPr>
              <w:spacing w:before="40" w:after="40"/>
              <w:rPr>
                <w:rFonts w:cs="Arial"/>
              </w:rPr>
            </w:pPr>
            <w:r w:rsidRPr="00B85D62">
              <w:rPr>
                <w:rFonts w:eastAsia="Arial" w:cs="Arial"/>
                <w:color w:val="000000" w:themeColor="text1"/>
              </w:rPr>
              <w:t>See Online</w:t>
            </w:r>
            <w:r w:rsidRPr="00B85D62">
              <w:rPr>
                <w:rFonts w:eastAsia="Arial" w:cs="Arial"/>
                <w:i/>
                <w:color w:val="000000" w:themeColor="text1"/>
              </w:rPr>
              <w:t xml:space="preserve"> Supplementary file </w:t>
            </w:r>
            <w:r w:rsidR="002D4BC1" w:rsidRPr="00B85D62">
              <w:rPr>
                <w:rFonts w:eastAsia="Arial" w:cs="Arial"/>
                <w:i/>
                <w:color w:val="000000" w:themeColor="text1"/>
              </w:rPr>
              <w:t>4</w:t>
            </w:r>
            <w:r w:rsidRPr="00B85D62">
              <w:rPr>
                <w:rFonts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1</w:t>
            </w:r>
            <w:r w:rsidR="00B85D62" w:rsidRPr="00B85D62">
              <w:rPr>
                <w:rFonts w:cs="Arial"/>
                <w:i/>
                <w:color w:val="FF0000"/>
              </w:rPr>
              <w:t>–</w:t>
            </w:r>
            <w:r w:rsidR="00B85D62" w:rsidRPr="00B85D62">
              <w:rPr>
                <w:rFonts w:cs="Arial"/>
                <w:i/>
                <w:color w:val="FF0000"/>
              </w:rPr>
              <w:t>14</w:t>
            </w:r>
          </w:p>
        </w:tc>
      </w:tr>
      <w:tr w:rsidR="003250C1" w:rsidRPr="00B85D62" w14:paraId="6D8DDF1A" w14:textId="77777777" w:rsidTr="00B85D62">
        <w:trPr>
          <w:cantSplit/>
          <w:tblHeader/>
        </w:trPr>
        <w:tc>
          <w:tcPr>
            <w:tcW w:w="0" w:type="auto"/>
            <w:gridSpan w:val="3"/>
            <w:vAlign w:val="center"/>
          </w:tcPr>
          <w:p w14:paraId="5ED96D2E" w14:textId="77777777" w:rsidR="003250C1" w:rsidRPr="00B85D62" w:rsidRDefault="003250C1" w:rsidP="0066232B">
            <w:pPr>
              <w:spacing w:before="40" w:after="40"/>
              <w:rPr>
                <w:rFonts w:cs="Arial"/>
              </w:rPr>
            </w:pPr>
            <w:r w:rsidRPr="00B85D62">
              <w:rPr>
                <w:rFonts w:cs="Arial"/>
              </w:rPr>
              <w:t>Adults in primary care subsequent years following LLT initiation</w:t>
            </w:r>
          </w:p>
        </w:tc>
        <w:tc>
          <w:tcPr>
            <w:tcW w:w="0" w:type="auto"/>
            <w:vAlign w:val="center"/>
          </w:tcPr>
          <w:p w14:paraId="563E7153" w14:textId="77777777" w:rsidR="003250C1" w:rsidRPr="00B85D62" w:rsidRDefault="003250C1" w:rsidP="0066232B">
            <w:pPr>
              <w:spacing w:before="40" w:after="40"/>
              <w:jc w:val="right"/>
              <w:rPr>
                <w:rFonts w:cs="Arial"/>
              </w:rPr>
            </w:pPr>
            <w:r w:rsidRPr="00B85D62">
              <w:rPr>
                <w:rFonts w:cs="Arial"/>
              </w:rPr>
              <w:t>£35</w:t>
            </w:r>
          </w:p>
        </w:tc>
        <w:tc>
          <w:tcPr>
            <w:tcW w:w="0" w:type="auto"/>
            <w:vMerge/>
            <w:vAlign w:val="center"/>
          </w:tcPr>
          <w:p w14:paraId="348E6168" w14:textId="77777777" w:rsidR="003250C1" w:rsidRPr="00B85D62" w:rsidRDefault="003250C1" w:rsidP="0066232B">
            <w:pPr>
              <w:spacing w:before="40" w:after="40"/>
              <w:rPr>
                <w:rFonts w:cs="Arial"/>
              </w:rPr>
            </w:pPr>
          </w:p>
        </w:tc>
        <w:tc>
          <w:tcPr>
            <w:tcW w:w="0" w:type="auto"/>
            <w:vMerge/>
          </w:tcPr>
          <w:p w14:paraId="553BADF8" w14:textId="77777777" w:rsidR="003250C1" w:rsidRPr="00B85D62" w:rsidRDefault="003250C1" w:rsidP="0066232B">
            <w:pPr>
              <w:spacing w:before="40" w:after="40"/>
              <w:rPr>
                <w:rFonts w:cs="Arial"/>
              </w:rPr>
            </w:pPr>
          </w:p>
        </w:tc>
      </w:tr>
      <w:tr w:rsidR="003250C1" w:rsidRPr="00B85D62" w14:paraId="768B50CB" w14:textId="77777777" w:rsidTr="00B85D62">
        <w:trPr>
          <w:cantSplit/>
          <w:tblHeader/>
        </w:trPr>
        <w:tc>
          <w:tcPr>
            <w:tcW w:w="0" w:type="auto"/>
            <w:gridSpan w:val="3"/>
            <w:vAlign w:val="center"/>
          </w:tcPr>
          <w:p w14:paraId="76B4EABE" w14:textId="77777777" w:rsidR="003250C1" w:rsidRPr="00B85D62" w:rsidRDefault="003250C1" w:rsidP="0066232B">
            <w:pPr>
              <w:spacing w:before="40" w:after="40"/>
              <w:rPr>
                <w:rFonts w:cs="Arial"/>
              </w:rPr>
            </w:pPr>
            <w:r w:rsidRPr="00B85D62">
              <w:rPr>
                <w:rFonts w:cs="Arial"/>
              </w:rPr>
              <w:t>Adults in secondary care in the year of LLT initiation</w:t>
            </w:r>
          </w:p>
        </w:tc>
        <w:tc>
          <w:tcPr>
            <w:tcW w:w="0" w:type="auto"/>
            <w:vAlign w:val="center"/>
          </w:tcPr>
          <w:p w14:paraId="159E766F" w14:textId="77777777" w:rsidR="003250C1" w:rsidRPr="00B85D62" w:rsidRDefault="003250C1" w:rsidP="0066232B">
            <w:pPr>
              <w:spacing w:before="40" w:after="40"/>
              <w:jc w:val="right"/>
              <w:rPr>
                <w:rFonts w:cs="Arial"/>
              </w:rPr>
            </w:pPr>
            <w:r w:rsidRPr="00B85D62">
              <w:rPr>
                <w:rFonts w:cs="Arial"/>
              </w:rPr>
              <w:t>£556</w:t>
            </w:r>
          </w:p>
        </w:tc>
        <w:tc>
          <w:tcPr>
            <w:tcW w:w="0" w:type="auto"/>
            <w:vMerge/>
            <w:vAlign w:val="center"/>
          </w:tcPr>
          <w:p w14:paraId="7B323A17" w14:textId="77777777" w:rsidR="003250C1" w:rsidRPr="00B85D62" w:rsidRDefault="003250C1" w:rsidP="0066232B">
            <w:pPr>
              <w:spacing w:before="40" w:after="40"/>
              <w:rPr>
                <w:rFonts w:cs="Arial"/>
              </w:rPr>
            </w:pPr>
          </w:p>
        </w:tc>
        <w:tc>
          <w:tcPr>
            <w:tcW w:w="0" w:type="auto"/>
            <w:vMerge/>
          </w:tcPr>
          <w:p w14:paraId="50EB8648" w14:textId="77777777" w:rsidR="003250C1" w:rsidRPr="00B85D62" w:rsidRDefault="003250C1" w:rsidP="0066232B">
            <w:pPr>
              <w:spacing w:before="40" w:after="40"/>
              <w:rPr>
                <w:rFonts w:cs="Arial"/>
              </w:rPr>
            </w:pPr>
          </w:p>
        </w:tc>
      </w:tr>
      <w:tr w:rsidR="003250C1" w:rsidRPr="00B85D62" w14:paraId="671493FB" w14:textId="77777777" w:rsidTr="00B85D62">
        <w:trPr>
          <w:cantSplit/>
          <w:tblHeader/>
        </w:trPr>
        <w:tc>
          <w:tcPr>
            <w:tcW w:w="0" w:type="auto"/>
            <w:gridSpan w:val="3"/>
            <w:vAlign w:val="center"/>
          </w:tcPr>
          <w:p w14:paraId="59A77760" w14:textId="77777777" w:rsidR="003250C1" w:rsidRPr="00B85D62" w:rsidRDefault="003250C1" w:rsidP="0066232B">
            <w:pPr>
              <w:spacing w:before="40" w:after="40"/>
              <w:rPr>
                <w:rFonts w:cs="Arial"/>
              </w:rPr>
            </w:pPr>
            <w:r w:rsidRPr="00B85D62">
              <w:rPr>
                <w:rFonts w:cs="Arial"/>
              </w:rPr>
              <w:t>Adults in secondary care subsequent years following treatment initiation</w:t>
            </w:r>
          </w:p>
        </w:tc>
        <w:tc>
          <w:tcPr>
            <w:tcW w:w="0" w:type="auto"/>
            <w:vAlign w:val="center"/>
          </w:tcPr>
          <w:p w14:paraId="089B92FE" w14:textId="77777777" w:rsidR="003250C1" w:rsidRPr="00B85D62" w:rsidRDefault="003250C1" w:rsidP="0066232B">
            <w:pPr>
              <w:spacing w:before="40" w:after="40"/>
              <w:jc w:val="right"/>
              <w:rPr>
                <w:rFonts w:cs="Arial"/>
              </w:rPr>
            </w:pPr>
            <w:r w:rsidRPr="00B85D62">
              <w:rPr>
                <w:rFonts w:cs="Arial"/>
              </w:rPr>
              <w:t>£170</w:t>
            </w:r>
          </w:p>
        </w:tc>
        <w:tc>
          <w:tcPr>
            <w:tcW w:w="0" w:type="auto"/>
            <w:vMerge/>
            <w:vAlign w:val="center"/>
          </w:tcPr>
          <w:p w14:paraId="5362CA14" w14:textId="77777777" w:rsidR="003250C1" w:rsidRPr="00B85D62" w:rsidRDefault="003250C1" w:rsidP="0066232B">
            <w:pPr>
              <w:spacing w:before="40" w:after="40"/>
              <w:rPr>
                <w:rFonts w:cs="Arial"/>
              </w:rPr>
            </w:pPr>
          </w:p>
        </w:tc>
        <w:tc>
          <w:tcPr>
            <w:tcW w:w="0" w:type="auto"/>
            <w:vMerge/>
          </w:tcPr>
          <w:p w14:paraId="0FEF36C3" w14:textId="77777777" w:rsidR="003250C1" w:rsidRPr="00B85D62" w:rsidRDefault="003250C1" w:rsidP="0066232B">
            <w:pPr>
              <w:spacing w:before="40" w:after="40"/>
              <w:rPr>
                <w:rFonts w:cs="Arial"/>
              </w:rPr>
            </w:pPr>
          </w:p>
        </w:tc>
      </w:tr>
      <w:tr w:rsidR="003250C1" w:rsidRPr="00B85D62" w14:paraId="708934EC" w14:textId="77777777" w:rsidTr="00B85D62">
        <w:trPr>
          <w:cantSplit/>
          <w:tblHeader/>
        </w:trPr>
        <w:tc>
          <w:tcPr>
            <w:tcW w:w="0" w:type="auto"/>
            <w:gridSpan w:val="3"/>
            <w:vAlign w:val="center"/>
          </w:tcPr>
          <w:p w14:paraId="1B7DE66B" w14:textId="77777777" w:rsidR="003250C1" w:rsidRPr="00B85D62" w:rsidRDefault="003250C1" w:rsidP="0066232B">
            <w:pPr>
              <w:spacing w:before="40" w:after="40"/>
              <w:rPr>
                <w:rFonts w:cs="Arial"/>
              </w:rPr>
            </w:pPr>
            <w:r w:rsidRPr="00B85D62">
              <w:rPr>
                <w:rFonts w:cs="Arial"/>
              </w:rPr>
              <w:t>Children in secondary care in the year post-diagnosis who are not on LLT</w:t>
            </w:r>
          </w:p>
        </w:tc>
        <w:tc>
          <w:tcPr>
            <w:tcW w:w="0" w:type="auto"/>
            <w:vAlign w:val="center"/>
          </w:tcPr>
          <w:p w14:paraId="47FD4F5E" w14:textId="77777777" w:rsidR="003250C1" w:rsidRPr="00B85D62" w:rsidRDefault="003250C1" w:rsidP="0066232B">
            <w:pPr>
              <w:spacing w:before="40" w:after="40"/>
              <w:jc w:val="right"/>
              <w:rPr>
                <w:rFonts w:cs="Arial"/>
              </w:rPr>
            </w:pPr>
            <w:r w:rsidRPr="00B85D62">
              <w:rPr>
                <w:rFonts w:cs="Arial"/>
              </w:rPr>
              <w:t>£272</w:t>
            </w:r>
          </w:p>
        </w:tc>
        <w:tc>
          <w:tcPr>
            <w:tcW w:w="0" w:type="auto"/>
            <w:vMerge/>
            <w:vAlign w:val="center"/>
          </w:tcPr>
          <w:p w14:paraId="5BDAA156" w14:textId="77777777" w:rsidR="003250C1" w:rsidRPr="00B85D62" w:rsidRDefault="003250C1" w:rsidP="0066232B">
            <w:pPr>
              <w:spacing w:before="40" w:after="40"/>
              <w:rPr>
                <w:rFonts w:cs="Arial"/>
              </w:rPr>
            </w:pPr>
          </w:p>
        </w:tc>
        <w:tc>
          <w:tcPr>
            <w:tcW w:w="0" w:type="auto"/>
            <w:vMerge/>
          </w:tcPr>
          <w:p w14:paraId="6D6C586D" w14:textId="77777777" w:rsidR="003250C1" w:rsidRPr="00B85D62" w:rsidRDefault="003250C1" w:rsidP="0066232B">
            <w:pPr>
              <w:spacing w:before="40" w:after="40"/>
              <w:rPr>
                <w:rFonts w:cs="Arial"/>
              </w:rPr>
            </w:pPr>
          </w:p>
        </w:tc>
      </w:tr>
      <w:tr w:rsidR="003250C1" w:rsidRPr="00B85D62" w14:paraId="753FEA6C" w14:textId="77777777" w:rsidTr="00B85D62">
        <w:trPr>
          <w:cantSplit/>
          <w:tblHeader/>
        </w:trPr>
        <w:tc>
          <w:tcPr>
            <w:tcW w:w="0" w:type="auto"/>
            <w:gridSpan w:val="3"/>
            <w:vAlign w:val="center"/>
          </w:tcPr>
          <w:p w14:paraId="5AC02E28" w14:textId="77777777" w:rsidR="003250C1" w:rsidRPr="00B85D62" w:rsidRDefault="003250C1" w:rsidP="0066232B">
            <w:pPr>
              <w:spacing w:before="40" w:after="40"/>
              <w:rPr>
                <w:rFonts w:cs="Arial"/>
              </w:rPr>
            </w:pPr>
            <w:r w:rsidRPr="00B85D62">
              <w:rPr>
                <w:rFonts w:cs="Arial"/>
              </w:rPr>
              <w:t>Children in secondary care in the subsequent years post-diagnosis who are not on LLT</w:t>
            </w:r>
          </w:p>
        </w:tc>
        <w:tc>
          <w:tcPr>
            <w:tcW w:w="0" w:type="auto"/>
            <w:vAlign w:val="center"/>
          </w:tcPr>
          <w:p w14:paraId="19B78814" w14:textId="77777777" w:rsidR="003250C1" w:rsidRPr="00B85D62" w:rsidRDefault="003250C1" w:rsidP="0066232B">
            <w:pPr>
              <w:spacing w:before="40" w:after="40"/>
              <w:jc w:val="right"/>
              <w:rPr>
                <w:rFonts w:cs="Arial"/>
              </w:rPr>
            </w:pPr>
            <w:r w:rsidRPr="00B85D62">
              <w:rPr>
                <w:rFonts w:cs="Arial"/>
              </w:rPr>
              <w:t>£112</w:t>
            </w:r>
          </w:p>
        </w:tc>
        <w:tc>
          <w:tcPr>
            <w:tcW w:w="0" w:type="auto"/>
            <w:vMerge/>
            <w:vAlign w:val="center"/>
          </w:tcPr>
          <w:p w14:paraId="30EC2F0C" w14:textId="77777777" w:rsidR="003250C1" w:rsidRPr="00B85D62" w:rsidRDefault="003250C1" w:rsidP="0066232B">
            <w:pPr>
              <w:spacing w:before="40" w:after="40"/>
              <w:rPr>
                <w:rFonts w:cs="Arial"/>
              </w:rPr>
            </w:pPr>
          </w:p>
        </w:tc>
        <w:tc>
          <w:tcPr>
            <w:tcW w:w="0" w:type="auto"/>
            <w:vMerge/>
          </w:tcPr>
          <w:p w14:paraId="6FD5B9A5" w14:textId="77777777" w:rsidR="003250C1" w:rsidRPr="00B85D62" w:rsidRDefault="003250C1" w:rsidP="0066232B">
            <w:pPr>
              <w:spacing w:before="40" w:after="40"/>
              <w:rPr>
                <w:rFonts w:cs="Arial"/>
              </w:rPr>
            </w:pPr>
          </w:p>
        </w:tc>
      </w:tr>
      <w:tr w:rsidR="003250C1" w:rsidRPr="00B85D62" w14:paraId="7F735F5A" w14:textId="77777777" w:rsidTr="00B85D62">
        <w:trPr>
          <w:cantSplit/>
          <w:tblHeader/>
        </w:trPr>
        <w:tc>
          <w:tcPr>
            <w:tcW w:w="0" w:type="auto"/>
            <w:gridSpan w:val="3"/>
            <w:vAlign w:val="center"/>
          </w:tcPr>
          <w:p w14:paraId="30111843" w14:textId="77777777" w:rsidR="003250C1" w:rsidRPr="00B85D62" w:rsidRDefault="003250C1" w:rsidP="0066232B">
            <w:pPr>
              <w:spacing w:before="40" w:after="40"/>
              <w:rPr>
                <w:rFonts w:cs="Arial"/>
              </w:rPr>
            </w:pPr>
            <w:r w:rsidRPr="00B85D62">
              <w:rPr>
                <w:rFonts w:cs="Arial"/>
              </w:rPr>
              <w:t>Children and adolescents in secondary care in the year post-diagnosis who were started on LLT</w:t>
            </w:r>
          </w:p>
        </w:tc>
        <w:tc>
          <w:tcPr>
            <w:tcW w:w="0" w:type="auto"/>
            <w:vAlign w:val="center"/>
          </w:tcPr>
          <w:p w14:paraId="1ADC92E4" w14:textId="77777777" w:rsidR="003250C1" w:rsidRPr="00B85D62" w:rsidRDefault="003250C1" w:rsidP="0066232B">
            <w:pPr>
              <w:spacing w:before="40" w:after="40"/>
              <w:jc w:val="right"/>
              <w:rPr>
                <w:rFonts w:cs="Arial"/>
              </w:rPr>
            </w:pPr>
            <w:r w:rsidRPr="00B85D62">
              <w:rPr>
                <w:rFonts w:cs="Arial"/>
              </w:rPr>
              <w:t>£723</w:t>
            </w:r>
          </w:p>
        </w:tc>
        <w:tc>
          <w:tcPr>
            <w:tcW w:w="0" w:type="auto"/>
            <w:vMerge/>
            <w:vAlign w:val="center"/>
          </w:tcPr>
          <w:p w14:paraId="1AFBF26C" w14:textId="77777777" w:rsidR="003250C1" w:rsidRPr="00B85D62" w:rsidRDefault="003250C1" w:rsidP="0066232B">
            <w:pPr>
              <w:spacing w:before="40" w:after="40"/>
              <w:rPr>
                <w:rFonts w:cs="Arial"/>
              </w:rPr>
            </w:pPr>
          </w:p>
        </w:tc>
        <w:tc>
          <w:tcPr>
            <w:tcW w:w="0" w:type="auto"/>
            <w:vMerge/>
          </w:tcPr>
          <w:p w14:paraId="4E8FD88C" w14:textId="77777777" w:rsidR="003250C1" w:rsidRPr="00B85D62" w:rsidRDefault="003250C1" w:rsidP="0066232B">
            <w:pPr>
              <w:spacing w:before="40" w:after="40"/>
              <w:rPr>
                <w:rFonts w:cs="Arial"/>
              </w:rPr>
            </w:pPr>
          </w:p>
        </w:tc>
      </w:tr>
      <w:tr w:rsidR="003250C1" w:rsidRPr="00B85D62" w14:paraId="0ADAE5A2" w14:textId="77777777" w:rsidTr="00B85D62">
        <w:trPr>
          <w:cantSplit/>
          <w:tblHeader/>
        </w:trPr>
        <w:tc>
          <w:tcPr>
            <w:tcW w:w="0" w:type="auto"/>
            <w:gridSpan w:val="3"/>
            <w:vAlign w:val="center"/>
          </w:tcPr>
          <w:p w14:paraId="081E0080" w14:textId="77777777" w:rsidR="003250C1" w:rsidRPr="00B85D62" w:rsidRDefault="003250C1" w:rsidP="0066232B">
            <w:pPr>
              <w:spacing w:before="40" w:after="40"/>
              <w:rPr>
                <w:rFonts w:cs="Arial"/>
              </w:rPr>
            </w:pPr>
            <w:r w:rsidRPr="00B85D62">
              <w:rPr>
                <w:rFonts w:cs="Arial"/>
              </w:rPr>
              <w:t>Children and adolescents in secondary care in the subsequent years post-diagnosis who were started on LLT</w:t>
            </w:r>
          </w:p>
        </w:tc>
        <w:tc>
          <w:tcPr>
            <w:tcW w:w="0" w:type="auto"/>
            <w:vAlign w:val="center"/>
          </w:tcPr>
          <w:p w14:paraId="0205EB45" w14:textId="77777777" w:rsidR="003250C1" w:rsidRPr="00B85D62" w:rsidRDefault="003250C1" w:rsidP="0066232B">
            <w:pPr>
              <w:spacing w:before="40" w:after="40"/>
              <w:jc w:val="right"/>
              <w:rPr>
                <w:rFonts w:cs="Arial"/>
              </w:rPr>
            </w:pPr>
            <w:r w:rsidRPr="00B85D62">
              <w:rPr>
                <w:rFonts w:cs="Arial"/>
              </w:rPr>
              <w:t>£336</w:t>
            </w:r>
          </w:p>
        </w:tc>
        <w:tc>
          <w:tcPr>
            <w:tcW w:w="0" w:type="auto"/>
            <w:vMerge/>
            <w:vAlign w:val="center"/>
          </w:tcPr>
          <w:p w14:paraId="381F7575" w14:textId="77777777" w:rsidR="003250C1" w:rsidRPr="00B85D62" w:rsidRDefault="003250C1" w:rsidP="0066232B">
            <w:pPr>
              <w:spacing w:before="40" w:after="40"/>
              <w:rPr>
                <w:rFonts w:cs="Arial"/>
              </w:rPr>
            </w:pPr>
          </w:p>
        </w:tc>
        <w:tc>
          <w:tcPr>
            <w:tcW w:w="0" w:type="auto"/>
            <w:vMerge/>
          </w:tcPr>
          <w:p w14:paraId="29E9D69C" w14:textId="77777777" w:rsidR="003250C1" w:rsidRPr="00B85D62" w:rsidRDefault="003250C1" w:rsidP="0066232B">
            <w:pPr>
              <w:spacing w:before="40" w:after="40"/>
              <w:rPr>
                <w:rFonts w:cs="Arial"/>
              </w:rPr>
            </w:pPr>
          </w:p>
        </w:tc>
      </w:tr>
      <w:tr w:rsidR="003250C1" w:rsidRPr="00B85D62" w14:paraId="1FF45DDC" w14:textId="77777777" w:rsidTr="00B85D62">
        <w:trPr>
          <w:cantSplit/>
          <w:tblHeader/>
        </w:trPr>
        <w:tc>
          <w:tcPr>
            <w:tcW w:w="0" w:type="auto"/>
            <w:gridSpan w:val="3"/>
            <w:shd w:val="clear" w:color="auto" w:fill="A6A6A6" w:themeFill="background1" w:themeFillShade="A6"/>
            <w:vAlign w:val="center"/>
          </w:tcPr>
          <w:p w14:paraId="0AA82BDB" w14:textId="77777777" w:rsidR="003250C1" w:rsidRPr="00B85D62" w:rsidRDefault="003250C1" w:rsidP="0066232B">
            <w:pPr>
              <w:spacing w:before="40" w:after="40"/>
              <w:rPr>
                <w:rFonts w:cs="Arial"/>
                <w:b/>
                <w:bCs/>
              </w:rPr>
            </w:pPr>
            <w:r w:rsidRPr="00B85D62">
              <w:rPr>
                <w:rFonts w:cs="Arial"/>
                <w:b/>
                <w:bCs/>
              </w:rPr>
              <w:t>Other inputs</w:t>
            </w:r>
          </w:p>
        </w:tc>
        <w:tc>
          <w:tcPr>
            <w:tcW w:w="0" w:type="auto"/>
            <w:shd w:val="clear" w:color="auto" w:fill="A6A6A6" w:themeFill="background1" w:themeFillShade="A6"/>
            <w:vAlign w:val="center"/>
          </w:tcPr>
          <w:p w14:paraId="70A72648" w14:textId="77777777" w:rsidR="003250C1" w:rsidRPr="00B85D62" w:rsidRDefault="003250C1" w:rsidP="0066232B">
            <w:pPr>
              <w:spacing w:before="40" w:after="40"/>
              <w:jc w:val="right"/>
              <w:rPr>
                <w:rFonts w:cs="Arial"/>
              </w:rPr>
            </w:pPr>
          </w:p>
        </w:tc>
        <w:tc>
          <w:tcPr>
            <w:tcW w:w="0" w:type="auto"/>
            <w:shd w:val="clear" w:color="auto" w:fill="A6A6A6" w:themeFill="background1" w:themeFillShade="A6"/>
            <w:vAlign w:val="center"/>
          </w:tcPr>
          <w:p w14:paraId="57747B0F" w14:textId="77777777" w:rsidR="003250C1" w:rsidRPr="00B85D62" w:rsidRDefault="003250C1" w:rsidP="0066232B">
            <w:pPr>
              <w:spacing w:before="40" w:after="40"/>
              <w:rPr>
                <w:rFonts w:cs="Arial"/>
              </w:rPr>
            </w:pPr>
          </w:p>
        </w:tc>
        <w:tc>
          <w:tcPr>
            <w:tcW w:w="0" w:type="auto"/>
            <w:shd w:val="clear" w:color="auto" w:fill="A6A6A6" w:themeFill="background1" w:themeFillShade="A6"/>
          </w:tcPr>
          <w:p w14:paraId="2AA1E5A9" w14:textId="77777777" w:rsidR="003250C1" w:rsidRPr="00B85D62" w:rsidRDefault="003250C1" w:rsidP="0066232B">
            <w:pPr>
              <w:spacing w:before="40" w:after="40"/>
              <w:rPr>
                <w:rFonts w:cs="Arial"/>
              </w:rPr>
            </w:pPr>
          </w:p>
        </w:tc>
      </w:tr>
      <w:tr w:rsidR="003250C1" w:rsidRPr="00B85D62" w14:paraId="4693F405" w14:textId="77777777" w:rsidTr="00B85D62">
        <w:trPr>
          <w:cantSplit/>
          <w:tblHeader/>
        </w:trPr>
        <w:tc>
          <w:tcPr>
            <w:tcW w:w="0" w:type="auto"/>
            <w:gridSpan w:val="3"/>
            <w:shd w:val="clear" w:color="auto" w:fill="E7E6E6" w:themeFill="background2"/>
            <w:vAlign w:val="center"/>
          </w:tcPr>
          <w:p w14:paraId="7CC1961D" w14:textId="77777777" w:rsidR="003250C1" w:rsidRPr="00B85D62" w:rsidRDefault="003250C1" w:rsidP="0066232B">
            <w:pPr>
              <w:spacing w:before="40" w:after="40"/>
              <w:rPr>
                <w:rFonts w:cs="Arial"/>
              </w:rPr>
            </w:pPr>
            <w:r w:rsidRPr="00B85D62">
              <w:rPr>
                <w:rFonts w:cs="Arial"/>
              </w:rPr>
              <w:t>Cost of health states, per annum</w:t>
            </w:r>
          </w:p>
        </w:tc>
        <w:tc>
          <w:tcPr>
            <w:tcW w:w="0" w:type="auto"/>
            <w:shd w:val="clear" w:color="auto" w:fill="E7E6E6" w:themeFill="background2"/>
            <w:vAlign w:val="center"/>
          </w:tcPr>
          <w:p w14:paraId="29A8C488" w14:textId="77777777" w:rsidR="003250C1" w:rsidRPr="00B85D62" w:rsidRDefault="003250C1" w:rsidP="0066232B">
            <w:pPr>
              <w:spacing w:before="40" w:after="40"/>
              <w:jc w:val="right"/>
              <w:rPr>
                <w:rFonts w:cs="Arial"/>
              </w:rPr>
            </w:pPr>
          </w:p>
        </w:tc>
        <w:tc>
          <w:tcPr>
            <w:tcW w:w="0" w:type="auto"/>
            <w:shd w:val="clear" w:color="auto" w:fill="E7E6E6" w:themeFill="background2"/>
            <w:vAlign w:val="center"/>
          </w:tcPr>
          <w:p w14:paraId="4A8861C2" w14:textId="77777777" w:rsidR="003250C1" w:rsidRPr="00B85D62" w:rsidRDefault="003250C1" w:rsidP="0066232B">
            <w:pPr>
              <w:spacing w:before="40" w:after="40"/>
              <w:rPr>
                <w:rFonts w:cs="Arial"/>
              </w:rPr>
            </w:pPr>
          </w:p>
        </w:tc>
        <w:tc>
          <w:tcPr>
            <w:tcW w:w="0" w:type="auto"/>
            <w:shd w:val="clear" w:color="auto" w:fill="E7E6E6" w:themeFill="background2"/>
          </w:tcPr>
          <w:p w14:paraId="6D1B2CD6" w14:textId="77777777" w:rsidR="003250C1" w:rsidRPr="00B85D62" w:rsidRDefault="003250C1" w:rsidP="0066232B">
            <w:pPr>
              <w:spacing w:before="40" w:after="40"/>
              <w:rPr>
                <w:rFonts w:cs="Arial"/>
              </w:rPr>
            </w:pPr>
          </w:p>
        </w:tc>
      </w:tr>
      <w:tr w:rsidR="003250C1" w:rsidRPr="00B85D62" w14:paraId="60B19257" w14:textId="77777777" w:rsidTr="00B85D62">
        <w:trPr>
          <w:cantSplit/>
          <w:tblHeader/>
        </w:trPr>
        <w:tc>
          <w:tcPr>
            <w:tcW w:w="0" w:type="auto"/>
            <w:gridSpan w:val="3"/>
            <w:vAlign w:val="center"/>
          </w:tcPr>
          <w:p w14:paraId="35053B69" w14:textId="77777777" w:rsidR="003250C1" w:rsidRPr="00B85D62" w:rsidRDefault="003250C1" w:rsidP="0066232B">
            <w:pPr>
              <w:spacing w:before="40" w:after="40"/>
              <w:rPr>
                <w:rFonts w:cs="Arial"/>
              </w:rPr>
            </w:pPr>
            <w:r w:rsidRPr="00B85D62">
              <w:rPr>
                <w:rFonts w:cs="Arial"/>
              </w:rPr>
              <w:t>Cost of non-fatal ACS year 1</w:t>
            </w:r>
          </w:p>
        </w:tc>
        <w:tc>
          <w:tcPr>
            <w:tcW w:w="0" w:type="auto"/>
            <w:vAlign w:val="center"/>
          </w:tcPr>
          <w:p w14:paraId="24C4EB96" w14:textId="77777777" w:rsidR="003250C1" w:rsidRPr="00B85D62" w:rsidRDefault="003250C1" w:rsidP="0066232B">
            <w:pPr>
              <w:spacing w:before="40" w:after="40"/>
              <w:jc w:val="right"/>
              <w:rPr>
                <w:rFonts w:cs="Arial"/>
              </w:rPr>
            </w:pPr>
            <w:r w:rsidRPr="00B85D62">
              <w:rPr>
                <w:rFonts w:cs="Arial"/>
              </w:rPr>
              <w:t>£8195</w:t>
            </w:r>
          </w:p>
        </w:tc>
        <w:tc>
          <w:tcPr>
            <w:tcW w:w="0" w:type="auto"/>
            <w:vMerge w:val="restart"/>
            <w:vAlign w:val="center"/>
          </w:tcPr>
          <w:p w14:paraId="318E9510" w14:textId="0DC7C8D7" w:rsidR="003250C1" w:rsidRPr="00B85D62" w:rsidRDefault="003250C1" w:rsidP="0066232B">
            <w:pPr>
              <w:spacing w:before="40" w:after="40"/>
              <w:rPr>
                <w:rFonts w:cs="Arial"/>
              </w:rPr>
            </w:pPr>
            <w:r w:rsidRPr="00B85D62">
              <w:rPr>
                <w:rFonts w:cs="Arial"/>
              </w:rPr>
              <w:t>Walker</w:t>
            </w:r>
            <w:r w:rsidRPr="00B85D62">
              <w:rPr>
                <w:rFonts w:cs="Arial"/>
                <w:i/>
                <w:color w:val="00B0F0"/>
              </w:rPr>
              <w:t xml:space="preserve"> et al</w:t>
            </w:r>
            <w:r w:rsidRPr="00B85D62">
              <w:rPr>
                <w:rFonts w:cs="Arial"/>
              </w:rPr>
              <w:t xml:space="preserve"> </w:t>
            </w:r>
            <w:r w:rsidR="00C35B5E" w:rsidRPr="00B85D62">
              <w:rPr>
                <w:rFonts w:cs="Arial"/>
                <w:noProof/>
                <w:color w:val="2B579A"/>
                <w:shd w:val="clear" w:color="auto" w:fill="E6E6E6"/>
                <w:vertAlign w:val="superscript"/>
              </w:rPr>
              <w:t>159</w:t>
            </w:r>
            <w:r w:rsidRPr="00B85D62">
              <w:rPr>
                <w:rFonts w:cs="Arial"/>
              </w:rPr>
              <w:t xml:space="preserve">, inflated to 2019 prices </w:t>
            </w:r>
            <w:r w:rsidR="00C35B5E" w:rsidRPr="00B85D62">
              <w:rPr>
                <w:rFonts w:cs="Arial"/>
                <w:noProof/>
                <w:color w:val="2B579A"/>
                <w:shd w:val="clear" w:color="auto" w:fill="E6E6E6"/>
                <w:vertAlign w:val="superscript"/>
              </w:rPr>
              <w:t>157</w:t>
            </w:r>
          </w:p>
          <w:p w14:paraId="45F949CC" w14:textId="77777777" w:rsidR="003250C1" w:rsidRPr="00B85D62" w:rsidRDefault="003250C1" w:rsidP="0066232B">
            <w:pPr>
              <w:spacing w:before="40" w:after="40"/>
              <w:rPr>
                <w:rFonts w:cs="Arial"/>
              </w:rPr>
            </w:pPr>
          </w:p>
        </w:tc>
        <w:tc>
          <w:tcPr>
            <w:tcW w:w="0" w:type="auto"/>
            <w:vMerge w:val="restart"/>
          </w:tcPr>
          <w:p w14:paraId="0790FFCA" w14:textId="6FCE2296" w:rsidR="003250C1" w:rsidRPr="00B85D62" w:rsidRDefault="235A5600" w:rsidP="0066232B">
            <w:pPr>
              <w:spacing w:before="40" w:after="40"/>
              <w:rPr>
                <w:rFonts w:cs="Arial"/>
              </w:rPr>
            </w:pPr>
            <w:r w:rsidRPr="00B85D62">
              <w:rPr>
                <w:rFonts w:cs="Arial"/>
              </w:rPr>
              <w:t xml:space="preserve">See </w:t>
            </w:r>
            <w:r w:rsidR="006F44B5" w:rsidRPr="00B85D62">
              <w:rPr>
                <w:rFonts w:eastAsia="Arial" w:cs="Arial"/>
                <w:i/>
                <w:color w:val="000000" w:themeColor="text1"/>
              </w:rPr>
              <w:t xml:space="preserve">Online Supplementary file </w:t>
            </w:r>
            <w:r w:rsidR="002D4BC1" w:rsidRPr="00B85D62">
              <w:rPr>
                <w:rFonts w:eastAsia="Arial" w:cs="Arial"/>
                <w:i/>
                <w:color w:val="000000" w:themeColor="text1"/>
              </w:rPr>
              <w:t>4</w:t>
            </w:r>
            <w:r w:rsidR="006F44B5" w:rsidRPr="00B85D62">
              <w:rPr>
                <w:rFonts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15</w:t>
            </w:r>
          </w:p>
        </w:tc>
      </w:tr>
      <w:tr w:rsidR="003250C1" w:rsidRPr="00B85D62" w14:paraId="310B9E8F" w14:textId="77777777" w:rsidTr="00B85D62">
        <w:trPr>
          <w:cantSplit/>
          <w:tblHeader/>
        </w:trPr>
        <w:tc>
          <w:tcPr>
            <w:tcW w:w="0" w:type="auto"/>
            <w:gridSpan w:val="3"/>
            <w:vAlign w:val="center"/>
          </w:tcPr>
          <w:p w14:paraId="17480905" w14:textId="77777777" w:rsidR="003250C1" w:rsidRPr="00B85D62" w:rsidRDefault="003250C1" w:rsidP="0066232B">
            <w:pPr>
              <w:spacing w:before="40" w:after="40"/>
              <w:rPr>
                <w:rFonts w:cs="Arial"/>
              </w:rPr>
            </w:pPr>
            <w:r w:rsidRPr="00B85D62">
              <w:rPr>
                <w:rFonts w:cs="Arial"/>
              </w:rPr>
              <w:t>Cost of non-fatal ACS year 2 and beyond</w:t>
            </w:r>
          </w:p>
        </w:tc>
        <w:tc>
          <w:tcPr>
            <w:tcW w:w="0" w:type="auto"/>
            <w:vAlign w:val="center"/>
          </w:tcPr>
          <w:p w14:paraId="418ED07F" w14:textId="77777777" w:rsidR="003250C1" w:rsidRPr="00B85D62" w:rsidRDefault="003250C1" w:rsidP="0066232B">
            <w:pPr>
              <w:spacing w:before="40" w:after="40"/>
              <w:jc w:val="right"/>
              <w:rPr>
                <w:rFonts w:cs="Arial"/>
              </w:rPr>
            </w:pPr>
            <w:r w:rsidRPr="00B85D62">
              <w:rPr>
                <w:rFonts w:cs="Arial"/>
              </w:rPr>
              <w:t>£2137</w:t>
            </w:r>
          </w:p>
        </w:tc>
        <w:tc>
          <w:tcPr>
            <w:tcW w:w="0" w:type="auto"/>
            <w:vMerge/>
            <w:vAlign w:val="center"/>
          </w:tcPr>
          <w:p w14:paraId="1EE15D26" w14:textId="77777777" w:rsidR="003250C1" w:rsidRPr="00B85D62" w:rsidRDefault="003250C1" w:rsidP="0066232B">
            <w:pPr>
              <w:spacing w:before="40" w:after="40"/>
              <w:rPr>
                <w:rFonts w:cs="Arial"/>
              </w:rPr>
            </w:pPr>
          </w:p>
        </w:tc>
        <w:tc>
          <w:tcPr>
            <w:tcW w:w="0" w:type="auto"/>
            <w:vMerge/>
          </w:tcPr>
          <w:p w14:paraId="46BF3972" w14:textId="77777777" w:rsidR="003250C1" w:rsidRPr="00B85D62" w:rsidRDefault="003250C1" w:rsidP="0066232B">
            <w:pPr>
              <w:spacing w:before="40" w:after="40"/>
              <w:rPr>
                <w:rFonts w:cs="Arial"/>
              </w:rPr>
            </w:pPr>
          </w:p>
        </w:tc>
      </w:tr>
      <w:tr w:rsidR="003250C1" w:rsidRPr="00B85D62" w14:paraId="7894E44A" w14:textId="77777777" w:rsidTr="00B85D62">
        <w:trPr>
          <w:cantSplit/>
          <w:tblHeader/>
        </w:trPr>
        <w:tc>
          <w:tcPr>
            <w:tcW w:w="0" w:type="auto"/>
            <w:gridSpan w:val="3"/>
            <w:vAlign w:val="center"/>
          </w:tcPr>
          <w:p w14:paraId="25CEAD1E" w14:textId="77777777" w:rsidR="003250C1" w:rsidRPr="00B85D62" w:rsidRDefault="003250C1" w:rsidP="0066232B">
            <w:pPr>
              <w:spacing w:before="40" w:after="40"/>
              <w:rPr>
                <w:rFonts w:cs="Arial"/>
              </w:rPr>
            </w:pPr>
            <w:r w:rsidRPr="00B85D62">
              <w:rPr>
                <w:rFonts w:cs="Arial"/>
              </w:rPr>
              <w:t>Cost of non-fatal IS/TIA year 1</w:t>
            </w:r>
          </w:p>
        </w:tc>
        <w:tc>
          <w:tcPr>
            <w:tcW w:w="0" w:type="auto"/>
            <w:vAlign w:val="center"/>
          </w:tcPr>
          <w:p w14:paraId="04D41139" w14:textId="77777777" w:rsidR="003250C1" w:rsidRPr="00B85D62" w:rsidRDefault="003250C1" w:rsidP="0066232B">
            <w:pPr>
              <w:spacing w:before="40" w:after="40"/>
              <w:jc w:val="right"/>
              <w:rPr>
                <w:rFonts w:cs="Arial"/>
              </w:rPr>
            </w:pPr>
            <w:r w:rsidRPr="00B85D62">
              <w:rPr>
                <w:rFonts w:cs="Arial"/>
              </w:rPr>
              <w:t>£9244</w:t>
            </w:r>
          </w:p>
        </w:tc>
        <w:tc>
          <w:tcPr>
            <w:tcW w:w="0" w:type="auto"/>
            <w:vMerge/>
            <w:vAlign w:val="center"/>
          </w:tcPr>
          <w:p w14:paraId="56A56975" w14:textId="77777777" w:rsidR="003250C1" w:rsidRPr="00B85D62" w:rsidRDefault="003250C1" w:rsidP="0066232B">
            <w:pPr>
              <w:spacing w:before="40" w:after="40"/>
              <w:rPr>
                <w:rFonts w:cs="Arial"/>
              </w:rPr>
            </w:pPr>
          </w:p>
        </w:tc>
        <w:tc>
          <w:tcPr>
            <w:tcW w:w="0" w:type="auto"/>
            <w:vMerge/>
          </w:tcPr>
          <w:p w14:paraId="22CB9EB9" w14:textId="77777777" w:rsidR="003250C1" w:rsidRPr="00B85D62" w:rsidRDefault="003250C1" w:rsidP="0066232B">
            <w:pPr>
              <w:spacing w:before="40" w:after="40"/>
              <w:rPr>
                <w:rFonts w:cs="Arial"/>
              </w:rPr>
            </w:pPr>
          </w:p>
        </w:tc>
      </w:tr>
      <w:tr w:rsidR="003250C1" w:rsidRPr="00B85D62" w14:paraId="686BB887" w14:textId="77777777" w:rsidTr="00B85D62">
        <w:trPr>
          <w:cantSplit/>
          <w:tblHeader/>
        </w:trPr>
        <w:tc>
          <w:tcPr>
            <w:tcW w:w="0" w:type="auto"/>
            <w:gridSpan w:val="3"/>
            <w:vAlign w:val="center"/>
          </w:tcPr>
          <w:p w14:paraId="0306D6DC" w14:textId="77777777" w:rsidR="003250C1" w:rsidRPr="00B85D62" w:rsidRDefault="003250C1" w:rsidP="0066232B">
            <w:pPr>
              <w:spacing w:before="40" w:after="40"/>
              <w:rPr>
                <w:rFonts w:cs="Arial"/>
              </w:rPr>
            </w:pPr>
            <w:r w:rsidRPr="00B85D62">
              <w:rPr>
                <w:rFonts w:cs="Arial"/>
              </w:rPr>
              <w:t>Cost of non-fatal IS/TIA year 2 and beyond</w:t>
            </w:r>
          </w:p>
        </w:tc>
        <w:tc>
          <w:tcPr>
            <w:tcW w:w="0" w:type="auto"/>
            <w:vAlign w:val="center"/>
          </w:tcPr>
          <w:p w14:paraId="386D5FA8" w14:textId="77777777" w:rsidR="003250C1" w:rsidRPr="00B85D62" w:rsidRDefault="003250C1" w:rsidP="0066232B">
            <w:pPr>
              <w:spacing w:before="40" w:after="40"/>
              <w:jc w:val="right"/>
              <w:rPr>
                <w:rFonts w:cs="Arial"/>
              </w:rPr>
            </w:pPr>
            <w:r w:rsidRPr="00B85D62">
              <w:rPr>
                <w:rFonts w:cs="Arial"/>
              </w:rPr>
              <w:t>£1990</w:t>
            </w:r>
          </w:p>
        </w:tc>
        <w:tc>
          <w:tcPr>
            <w:tcW w:w="0" w:type="auto"/>
            <w:vMerge/>
            <w:vAlign w:val="center"/>
          </w:tcPr>
          <w:p w14:paraId="56FB908A" w14:textId="77777777" w:rsidR="003250C1" w:rsidRPr="00B85D62" w:rsidRDefault="003250C1" w:rsidP="0066232B">
            <w:pPr>
              <w:spacing w:before="40" w:after="40"/>
              <w:rPr>
                <w:rFonts w:cs="Arial"/>
              </w:rPr>
            </w:pPr>
          </w:p>
        </w:tc>
        <w:tc>
          <w:tcPr>
            <w:tcW w:w="0" w:type="auto"/>
            <w:vMerge/>
          </w:tcPr>
          <w:p w14:paraId="0BE4ED2E" w14:textId="77777777" w:rsidR="003250C1" w:rsidRPr="00B85D62" w:rsidRDefault="003250C1" w:rsidP="0066232B">
            <w:pPr>
              <w:spacing w:before="40" w:after="40"/>
              <w:rPr>
                <w:rFonts w:cs="Arial"/>
              </w:rPr>
            </w:pPr>
          </w:p>
        </w:tc>
      </w:tr>
      <w:tr w:rsidR="003250C1" w:rsidRPr="00B85D62" w14:paraId="74F3DB45" w14:textId="77777777" w:rsidTr="00B85D62">
        <w:trPr>
          <w:cantSplit/>
          <w:tblHeader/>
        </w:trPr>
        <w:tc>
          <w:tcPr>
            <w:tcW w:w="0" w:type="auto"/>
            <w:gridSpan w:val="3"/>
            <w:vAlign w:val="center"/>
          </w:tcPr>
          <w:p w14:paraId="07930370" w14:textId="77777777" w:rsidR="003250C1" w:rsidRPr="00B85D62" w:rsidRDefault="003250C1" w:rsidP="0066232B">
            <w:pPr>
              <w:spacing w:before="40" w:after="40"/>
              <w:rPr>
                <w:rFonts w:cs="Arial"/>
              </w:rPr>
            </w:pPr>
            <w:r w:rsidRPr="00B85D62">
              <w:rPr>
                <w:rFonts w:cs="Arial"/>
              </w:rPr>
              <w:t>Cost of CVD death</w:t>
            </w:r>
          </w:p>
        </w:tc>
        <w:tc>
          <w:tcPr>
            <w:tcW w:w="0" w:type="auto"/>
            <w:vAlign w:val="center"/>
          </w:tcPr>
          <w:p w14:paraId="2DF7A4D9" w14:textId="77777777" w:rsidR="003250C1" w:rsidRPr="00B85D62" w:rsidRDefault="003250C1" w:rsidP="0066232B">
            <w:pPr>
              <w:spacing w:before="40" w:after="40"/>
              <w:jc w:val="right"/>
              <w:rPr>
                <w:rFonts w:cs="Arial"/>
              </w:rPr>
            </w:pPr>
            <w:r w:rsidRPr="00B85D62">
              <w:rPr>
                <w:rFonts w:cs="Arial"/>
              </w:rPr>
              <w:t>£2300</w:t>
            </w:r>
          </w:p>
        </w:tc>
        <w:tc>
          <w:tcPr>
            <w:tcW w:w="0" w:type="auto"/>
            <w:vMerge/>
            <w:vAlign w:val="center"/>
          </w:tcPr>
          <w:p w14:paraId="107BE569" w14:textId="77777777" w:rsidR="003250C1" w:rsidRPr="00B85D62" w:rsidRDefault="003250C1" w:rsidP="0066232B">
            <w:pPr>
              <w:spacing w:before="40" w:after="40"/>
              <w:rPr>
                <w:rFonts w:cs="Arial"/>
              </w:rPr>
            </w:pPr>
          </w:p>
        </w:tc>
        <w:tc>
          <w:tcPr>
            <w:tcW w:w="0" w:type="auto"/>
            <w:vMerge/>
          </w:tcPr>
          <w:p w14:paraId="7C1CB90B" w14:textId="77777777" w:rsidR="003250C1" w:rsidRPr="00B85D62" w:rsidRDefault="003250C1" w:rsidP="0066232B">
            <w:pPr>
              <w:spacing w:before="40" w:after="40"/>
              <w:rPr>
                <w:rFonts w:cs="Arial"/>
              </w:rPr>
            </w:pPr>
          </w:p>
        </w:tc>
      </w:tr>
      <w:tr w:rsidR="003250C1" w:rsidRPr="00B85D62" w14:paraId="7373EA53" w14:textId="77777777" w:rsidTr="00B85D62">
        <w:trPr>
          <w:cantSplit/>
          <w:tblHeader/>
        </w:trPr>
        <w:tc>
          <w:tcPr>
            <w:tcW w:w="0" w:type="auto"/>
            <w:gridSpan w:val="3"/>
            <w:vAlign w:val="center"/>
          </w:tcPr>
          <w:p w14:paraId="4A2FE512" w14:textId="77777777" w:rsidR="003250C1" w:rsidRPr="00B85D62" w:rsidRDefault="003250C1" w:rsidP="0066232B">
            <w:pPr>
              <w:spacing w:before="40" w:after="40"/>
              <w:rPr>
                <w:rFonts w:cs="Arial"/>
              </w:rPr>
            </w:pPr>
            <w:r w:rsidRPr="00B85D62">
              <w:rPr>
                <w:rFonts w:cs="Arial"/>
              </w:rPr>
              <w:t>Cost of non-CVD death</w:t>
            </w:r>
          </w:p>
        </w:tc>
        <w:tc>
          <w:tcPr>
            <w:tcW w:w="0" w:type="auto"/>
            <w:vAlign w:val="center"/>
          </w:tcPr>
          <w:p w14:paraId="2A73B8E2" w14:textId="77777777" w:rsidR="003250C1" w:rsidRPr="00B85D62" w:rsidRDefault="003250C1" w:rsidP="0066232B">
            <w:pPr>
              <w:spacing w:before="40" w:after="40"/>
              <w:jc w:val="right"/>
              <w:rPr>
                <w:rFonts w:cs="Arial"/>
              </w:rPr>
            </w:pPr>
            <w:r w:rsidRPr="00B85D62">
              <w:rPr>
                <w:rFonts w:cs="Arial"/>
              </w:rPr>
              <w:t>£1929</w:t>
            </w:r>
          </w:p>
        </w:tc>
        <w:tc>
          <w:tcPr>
            <w:tcW w:w="0" w:type="auto"/>
            <w:vMerge/>
            <w:vAlign w:val="center"/>
          </w:tcPr>
          <w:p w14:paraId="34888BAC" w14:textId="77777777" w:rsidR="003250C1" w:rsidRPr="00B85D62" w:rsidRDefault="003250C1" w:rsidP="0066232B">
            <w:pPr>
              <w:spacing w:before="40" w:after="40"/>
              <w:rPr>
                <w:rFonts w:cs="Arial"/>
              </w:rPr>
            </w:pPr>
          </w:p>
        </w:tc>
        <w:tc>
          <w:tcPr>
            <w:tcW w:w="0" w:type="auto"/>
            <w:vMerge/>
          </w:tcPr>
          <w:p w14:paraId="75630997" w14:textId="77777777" w:rsidR="003250C1" w:rsidRPr="00B85D62" w:rsidRDefault="003250C1" w:rsidP="0066232B">
            <w:pPr>
              <w:spacing w:before="40" w:after="40"/>
              <w:rPr>
                <w:rFonts w:cs="Arial"/>
              </w:rPr>
            </w:pPr>
          </w:p>
        </w:tc>
      </w:tr>
      <w:tr w:rsidR="003250C1" w:rsidRPr="00B85D62" w14:paraId="2BDE2AC3" w14:textId="77777777" w:rsidTr="00B85D62">
        <w:trPr>
          <w:cantSplit/>
          <w:tblHeader/>
        </w:trPr>
        <w:tc>
          <w:tcPr>
            <w:tcW w:w="0" w:type="auto"/>
            <w:gridSpan w:val="3"/>
            <w:shd w:val="clear" w:color="auto" w:fill="E7E6E6" w:themeFill="background2"/>
            <w:vAlign w:val="center"/>
          </w:tcPr>
          <w:p w14:paraId="40F177C0" w14:textId="77777777" w:rsidR="003250C1" w:rsidRPr="00B85D62" w:rsidRDefault="003250C1" w:rsidP="0066232B">
            <w:pPr>
              <w:spacing w:before="40" w:after="40"/>
              <w:rPr>
                <w:rFonts w:cs="Arial"/>
              </w:rPr>
            </w:pPr>
            <w:r w:rsidRPr="00B85D62">
              <w:rPr>
                <w:rFonts w:cs="Arial"/>
              </w:rPr>
              <w:t>Health-related quality of life</w:t>
            </w:r>
          </w:p>
        </w:tc>
        <w:tc>
          <w:tcPr>
            <w:tcW w:w="0" w:type="auto"/>
            <w:shd w:val="clear" w:color="auto" w:fill="E7E6E6" w:themeFill="background2"/>
            <w:vAlign w:val="center"/>
          </w:tcPr>
          <w:p w14:paraId="0A8BD57F" w14:textId="77777777" w:rsidR="003250C1" w:rsidRPr="00B85D62" w:rsidRDefault="003250C1" w:rsidP="0066232B">
            <w:pPr>
              <w:spacing w:before="40" w:after="40"/>
              <w:jc w:val="right"/>
              <w:rPr>
                <w:rFonts w:cs="Arial"/>
              </w:rPr>
            </w:pPr>
          </w:p>
        </w:tc>
        <w:tc>
          <w:tcPr>
            <w:tcW w:w="0" w:type="auto"/>
            <w:shd w:val="clear" w:color="auto" w:fill="E7E6E6" w:themeFill="background2"/>
            <w:vAlign w:val="center"/>
          </w:tcPr>
          <w:p w14:paraId="318A2D53" w14:textId="77777777" w:rsidR="003250C1" w:rsidRPr="00B85D62" w:rsidRDefault="003250C1" w:rsidP="0066232B">
            <w:pPr>
              <w:spacing w:before="40" w:after="40"/>
              <w:rPr>
                <w:rFonts w:cs="Arial"/>
              </w:rPr>
            </w:pPr>
          </w:p>
        </w:tc>
        <w:tc>
          <w:tcPr>
            <w:tcW w:w="0" w:type="auto"/>
            <w:shd w:val="clear" w:color="auto" w:fill="E7E6E6" w:themeFill="background2"/>
          </w:tcPr>
          <w:p w14:paraId="1CF987DF" w14:textId="77777777" w:rsidR="003250C1" w:rsidRPr="00B85D62" w:rsidRDefault="003250C1" w:rsidP="0066232B">
            <w:pPr>
              <w:spacing w:before="40" w:after="40"/>
              <w:rPr>
                <w:rFonts w:cs="Arial"/>
              </w:rPr>
            </w:pPr>
          </w:p>
        </w:tc>
      </w:tr>
      <w:tr w:rsidR="003250C1" w:rsidRPr="00B85D62" w14:paraId="5F409B23" w14:textId="77777777" w:rsidTr="00B85D62">
        <w:trPr>
          <w:cantSplit/>
          <w:tblHeader/>
        </w:trPr>
        <w:tc>
          <w:tcPr>
            <w:tcW w:w="0" w:type="auto"/>
            <w:gridSpan w:val="3"/>
            <w:vAlign w:val="center"/>
          </w:tcPr>
          <w:p w14:paraId="051B4FE3" w14:textId="77777777" w:rsidR="003250C1" w:rsidRPr="00B85D62" w:rsidRDefault="003250C1" w:rsidP="0066232B">
            <w:pPr>
              <w:spacing w:before="40" w:after="40"/>
              <w:rPr>
                <w:rFonts w:cs="Arial"/>
              </w:rPr>
            </w:pPr>
            <w:r w:rsidRPr="00B85D62">
              <w:rPr>
                <w:rFonts w:cs="Arial"/>
              </w:rPr>
              <w:t>Age- and sex- adjustment</w:t>
            </w:r>
          </w:p>
        </w:tc>
        <w:tc>
          <w:tcPr>
            <w:tcW w:w="0" w:type="auto"/>
            <w:vAlign w:val="center"/>
          </w:tcPr>
          <w:p w14:paraId="03D4712A" w14:textId="77777777" w:rsidR="003250C1" w:rsidRPr="00B85D62" w:rsidRDefault="003250C1" w:rsidP="0066232B">
            <w:pPr>
              <w:spacing w:before="40" w:after="40"/>
              <w:jc w:val="right"/>
              <w:rPr>
                <w:rFonts w:cs="Arial"/>
              </w:rPr>
            </w:pPr>
            <w:r w:rsidRPr="00B85D62">
              <w:rPr>
                <w:rFonts w:cs="Arial"/>
              </w:rPr>
              <w:t>Regression model</w:t>
            </w:r>
          </w:p>
        </w:tc>
        <w:tc>
          <w:tcPr>
            <w:tcW w:w="0" w:type="auto"/>
            <w:vAlign w:val="center"/>
          </w:tcPr>
          <w:p w14:paraId="0806067E" w14:textId="78F1B5FB" w:rsidR="003250C1" w:rsidRPr="00B85D62" w:rsidRDefault="003250C1" w:rsidP="00C35B5E">
            <w:pPr>
              <w:spacing w:before="40" w:after="40"/>
              <w:rPr>
                <w:rFonts w:cs="Arial"/>
              </w:rPr>
            </w:pPr>
            <w:r w:rsidRPr="00B85D62">
              <w:rPr>
                <w:rFonts w:cs="Arial"/>
              </w:rPr>
              <w:t>Ara</w:t>
            </w:r>
            <w:r w:rsidRPr="00B85D62">
              <w:rPr>
                <w:rFonts w:cs="Arial"/>
                <w:i/>
                <w:color w:val="00B0F0"/>
              </w:rPr>
              <w:t xml:space="preserve"> et al</w:t>
            </w:r>
            <w:r w:rsidRPr="00B85D62">
              <w:rPr>
                <w:rFonts w:cs="Arial"/>
              </w:rPr>
              <w:t xml:space="preserve"> </w:t>
            </w:r>
            <w:r w:rsidR="00C35B5E" w:rsidRPr="00B85D62">
              <w:rPr>
                <w:rFonts w:cs="Arial"/>
                <w:noProof/>
                <w:color w:val="2B579A"/>
                <w:shd w:val="clear" w:color="auto" w:fill="E6E6E6"/>
                <w:vertAlign w:val="superscript"/>
              </w:rPr>
              <w:t>160</w:t>
            </w:r>
          </w:p>
        </w:tc>
        <w:tc>
          <w:tcPr>
            <w:tcW w:w="0" w:type="auto"/>
          </w:tcPr>
          <w:p w14:paraId="6A33C605" w14:textId="77777777" w:rsidR="003250C1" w:rsidRPr="00B85D62" w:rsidRDefault="003250C1" w:rsidP="0066232B">
            <w:pPr>
              <w:spacing w:before="40" w:after="40"/>
              <w:rPr>
                <w:rFonts w:cs="Arial"/>
              </w:rPr>
            </w:pPr>
            <w:r w:rsidRPr="00B85D62">
              <w:rPr>
                <w:rFonts w:cs="Arial"/>
              </w:rPr>
              <w:t>N/A</w:t>
            </w:r>
          </w:p>
        </w:tc>
      </w:tr>
      <w:tr w:rsidR="003250C1" w:rsidRPr="00B85D62" w14:paraId="53C4DF36" w14:textId="77777777" w:rsidTr="00B85D62">
        <w:trPr>
          <w:cantSplit/>
          <w:tblHeader/>
        </w:trPr>
        <w:tc>
          <w:tcPr>
            <w:tcW w:w="0" w:type="auto"/>
            <w:gridSpan w:val="3"/>
            <w:vAlign w:val="center"/>
          </w:tcPr>
          <w:p w14:paraId="4C8C6814" w14:textId="77777777" w:rsidR="003250C1" w:rsidRPr="00B85D62" w:rsidRDefault="003250C1" w:rsidP="0066232B">
            <w:pPr>
              <w:spacing w:before="40" w:after="40"/>
              <w:rPr>
                <w:rFonts w:cs="Arial"/>
              </w:rPr>
            </w:pPr>
            <w:r w:rsidRPr="00B85D62">
              <w:rPr>
                <w:rFonts w:cs="Arial"/>
              </w:rPr>
              <w:t>Post-first non-fatal ACS year 1</w:t>
            </w:r>
          </w:p>
        </w:tc>
        <w:tc>
          <w:tcPr>
            <w:tcW w:w="0" w:type="auto"/>
            <w:vAlign w:val="center"/>
          </w:tcPr>
          <w:p w14:paraId="4181A35A" w14:textId="77777777" w:rsidR="003250C1" w:rsidRPr="00B85D62" w:rsidRDefault="003250C1" w:rsidP="0066232B">
            <w:pPr>
              <w:spacing w:before="40" w:after="40"/>
              <w:jc w:val="right"/>
              <w:rPr>
                <w:rFonts w:cs="Arial"/>
              </w:rPr>
            </w:pPr>
            <w:r w:rsidRPr="00B85D62">
              <w:rPr>
                <w:rFonts w:cs="Arial"/>
              </w:rPr>
              <w:t>0.76</w:t>
            </w:r>
          </w:p>
        </w:tc>
        <w:tc>
          <w:tcPr>
            <w:tcW w:w="0" w:type="auto"/>
            <w:vMerge w:val="restart"/>
            <w:vAlign w:val="center"/>
          </w:tcPr>
          <w:p w14:paraId="2564969A" w14:textId="156247D5" w:rsidR="003250C1" w:rsidRPr="00B85D62" w:rsidRDefault="003250C1" w:rsidP="00C35B5E">
            <w:pPr>
              <w:spacing w:before="40" w:after="40"/>
              <w:rPr>
                <w:rFonts w:cs="Arial"/>
              </w:rPr>
            </w:pPr>
            <w:r w:rsidRPr="00B85D62">
              <w:rPr>
                <w:rFonts w:cs="Arial"/>
              </w:rPr>
              <w:t xml:space="preserve">NICE CG181 </w:t>
            </w:r>
            <w:r w:rsidR="00C35B5E" w:rsidRPr="00B85D62">
              <w:rPr>
                <w:rFonts w:cs="Arial"/>
                <w:noProof/>
                <w:color w:val="2B579A"/>
                <w:shd w:val="clear" w:color="auto" w:fill="E6E6E6"/>
                <w:vertAlign w:val="superscript"/>
              </w:rPr>
              <w:t>116</w:t>
            </w:r>
          </w:p>
        </w:tc>
        <w:tc>
          <w:tcPr>
            <w:tcW w:w="0" w:type="auto"/>
            <w:vMerge w:val="restart"/>
          </w:tcPr>
          <w:p w14:paraId="1EF262CC" w14:textId="49022DCE" w:rsidR="003250C1" w:rsidRPr="00B85D62" w:rsidRDefault="53668F92" w:rsidP="0066232B">
            <w:pPr>
              <w:spacing w:before="40" w:after="40"/>
              <w:rPr>
                <w:rFonts w:cs="Arial"/>
              </w:rPr>
            </w:pPr>
            <w:r w:rsidRPr="00B85D62">
              <w:rPr>
                <w:rFonts w:cs="Arial"/>
              </w:rPr>
              <w:t xml:space="preserve">See </w:t>
            </w:r>
            <w:r w:rsidR="006F44B5" w:rsidRPr="00B85D62">
              <w:rPr>
                <w:rFonts w:eastAsia="Arial" w:cs="Arial"/>
                <w:i/>
                <w:color w:val="000000" w:themeColor="text1"/>
              </w:rPr>
              <w:t xml:space="preserve">Online Supplementary file </w:t>
            </w:r>
            <w:r w:rsidR="002D4BC1" w:rsidRPr="00B85D62">
              <w:rPr>
                <w:rFonts w:eastAsia="Arial" w:cs="Arial"/>
                <w:i/>
                <w:color w:val="000000" w:themeColor="text1"/>
              </w:rPr>
              <w:t>4</w:t>
            </w:r>
            <w:r w:rsidR="006F44B5" w:rsidRPr="00B85D62">
              <w:rPr>
                <w:rFonts w:cs="Arial"/>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color w:val="FF0000"/>
              </w:rPr>
              <w:t>16</w:t>
            </w:r>
          </w:p>
        </w:tc>
      </w:tr>
      <w:tr w:rsidR="003250C1" w:rsidRPr="00B85D62" w14:paraId="22C5CC57" w14:textId="77777777" w:rsidTr="00B85D62">
        <w:trPr>
          <w:cantSplit/>
          <w:tblHeader/>
        </w:trPr>
        <w:tc>
          <w:tcPr>
            <w:tcW w:w="0" w:type="auto"/>
            <w:gridSpan w:val="3"/>
            <w:vAlign w:val="center"/>
          </w:tcPr>
          <w:p w14:paraId="42B3EFD0" w14:textId="77777777" w:rsidR="003250C1" w:rsidRPr="00B85D62" w:rsidRDefault="003250C1" w:rsidP="0066232B">
            <w:pPr>
              <w:spacing w:before="40" w:after="40"/>
              <w:rPr>
                <w:rFonts w:cs="Arial"/>
              </w:rPr>
            </w:pPr>
            <w:r w:rsidRPr="00B85D62">
              <w:rPr>
                <w:rFonts w:cs="Arial"/>
              </w:rPr>
              <w:t>Post-first non-fatal ACS year 2 and beyond</w:t>
            </w:r>
          </w:p>
        </w:tc>
        <w:tc>
          <w:tcPr>
            <w:tcW w:w="0" w:type="auto"/>
            <w:vAlign w:val="center"/>
          </w:tcPr>
          <w:p w14:paraId="0C03C633" w14:textId="77777777" w:rsidR="003250C1" w:rsidRPr="00B85D62" w:rsidRDefault="003250C1" w:rsidP="0066232B">
            <w:pPr>
              <w:spacing w:before="40" w:after="40"/>
              <w:jc w:val="right"/>
              <w:rPr>
                <w:rFonts w:cs="Arial"/>
              </w:rPr>
            </w:pPr>
            <w:r w:rsidRPr="00B85D62">
              <w:rPr>
                <w:rFonts w:cs="Arial"/>
              </w:rPr>
              <w:t>0.88</w:t>
            </w:r>
          </w:p>
        </w:tc>
        <w:tc>
          <w:tcPr>
            <w:tcW w:w="0" w:type="auto"/>
            <w:vMerge/>
            <w:vAlign w:val="center"/>
          </w:tcPr>
          <w:p w14:paraId="07D73885" w14:textId="77777777" w:rsidR="003250C1" w:rsidRPr="00B85D62" w:rsidRDefault="003250C1" w:rsidP="0066232B">
            <w:pPr>
              <w:spacing w:before="40" w:after="40"/>
              <w:rPr>
                <w:rFonts w:cs="Arial"/>
              </w:rPr>
            </w:pPr>
          </w:p>
        </w:tc>
        <w:tc>
          <w:tcPr>
            <w:tcW w:w="0" w:type="auto"/>
            <w:vMerge/>
          </w:tcPr>
          <w:p w14:paraId="669FFD50" w14:textId="77777777" w:rsidR="003250C1" w:rsidRPr="00B85D62" w:rsidRDefault="003250C1" w:rsidP="0066232B">
            <w:pPr>
              <w:spacing w:before="40" w:after="40"/>
              <w:rPr>
                <w:rFonts w:cs="Arial"/>
              </w:rPr>
            </w:pPr>
          </w:p>
        </w:tc>
      </w:tr>
      <w:tr w:rsidR="003250C1" w:rsidRPr="00B85D62" w14:paraId="4FADA454" w14:textId="77777777" w:rsidTr="00B85D62">
        <w:trPr>
          <w:cantSplit/>
          <w:tblHeader/>
        </w:trPr>
        <w:tc>
          <w:tcPr>
            <w:tcW w:w="0" w:type="auto"/>
            <w:gridSpan w:val="3"/>
            <w:vAlign w:val="center"/>
          </w:tcPr>
          <w:p w14:paraId="193CFD20" w14:textId="77777777" w:rsidR="003250C1" w:rsidRPr="00B85D62" w:rsidRDefault="003250C1" w:rsidP="0066232B">
            <w:pPr>
              <w:spacing w:before="40" w:after="40"/>
              <w:rPr>
                <w:rFonts w:cs="Arial"/>
              </w:rPr>
            </w:pPr>
            <w:r w:rsidRPr="00B85D62">
              <w:rPr>
                <w:rFonts w:cs="Arial"/>
              </w:rPr>
              <w:t xml:space="preserve">Post-first non-fatal IS/TIA </w:t>
            </w:r>
          </w:p>
        </w:tc>
        <w:tc>
          <w:tcPr>
            <w:tcW w:w="0" w:type="auto"/>
            <w:vAlign w:val="center"/>
          </w:tcPr>
          <w:p w14:paraId="53C76E18" w14:textId="77777777" w:rsidR="003250C1" w:rsidRPr="00B85D62" w:rsidRDefault="003250C1" w:rsidP="0066232B">
            <w:pPr>
              <w:spacing w:before="40" w:after="40"/>
              <w:jc w:val="right"/>
              <w:rPr>
                <w:rFonts w:cs="Arial"/>
              </w:rPr>
            </w:pPr>
            <w:r w:rsidRPr="00B85D62">
              <w:rPr>
                <w:rFonts w:cs="Arial"/>
              </w:rPr>
              <w:t>0.72</w:t>
            </w:r>
          </w:p>
        </w:tc>
        <w:tc>
          <w:tcPr>
            <w:tcW w:w="0" w:type="auto"/>
            <w:vMerge/>
            <w:vAlign w:val="center"/>
          </w:tcPr>
          <w:p w14:paraId="24D774C6" w14:textId="77777777" w:rsidR="003250C1" w:rsidRPr="00B85D62" w:rsidRDefault="003250C1" w:rsidP="0066232B">
            <w:pPr>
              <w:spacing w:before="40" w:after="40"/>
              <w:rPr>
                <w:rFonts w:cs="Arial"/>
              </w:rPr>
            </w:pPr>
          </w:p>
        </w:tc>
        <w:tc>
          <w:tcPr>
            <w:tcW w:w="0" w:type="auto"/>
            <w:vMerge/>
          </w:tcPr>
          <w:p w14:paraId="78A7928A" w14:textId="77777777" w:rsidR="003250C1" w:rsidRPr="00B85D62" w:rsidRDefault="003250C1" w:rsidP="0066232B">
            <w:pPr>
              <w:spacing w:before="40" w:after="40"/>
              <w:rPr>
                <w:rFonts w:cs="Arial"/>
              </w:rPr>
            </w:pPr>
          </w:p>
        </w:tc>
      </w:tr>
      <w:tr w:rsidR="003250C1" w:rsidRPr="00B85D62" w14:paraId="590B5597" w14:textId="77777777" w:rsidTr="00B85D62">
        <w:trPr>
          <w:cantSplit/>
          <w:tblHeader/>
        </w:trPr>
        <w:tc>
          <w:tcPr>
            <w:tcW w:w="0" w:type="auto"/>
            <w:gridSpan w:val="6"/>
            <w:vAlign w:val="center"/>
          </w:tcPr>
          <w:p w14:paraId="53860F71" w14:textId="5A998B03" w:rsidR="003250C1" w:rsidRPr="00B85D62" w:rsidRDefault="003250C1" w:rsidP="0066232B">
            <w:pPr>
              <w:spacing w:before="40" w:after="40"/>
              <w:rPr>
                <w:rFonts w:cs="Arial"/>
                <w:sz w:val="18"/>
                <w:szCs w:val="18"/>
              </w:rPr>
            </w:pPr>
            <w:r w:rsidRPr="00B85D62">
              <w:rPr>
                <w:rFonts w:cs="Arial"/>
                <w:sz w:val="18"/>
                <w:szCs w:val="18"/>
              </w:rPr>
              <w:t xml:space="preserve">ACS: Acute Coronary Syndrome; CG181: Clinical Guideline 181; CI: Confidence Interval; CPRD: Clinical </w:t>
            </w:r>
            <w:r w:rsidRPr="00B85D62">
              <w:rPr>
                <w:rFonts w:cs="Arial"/>
                <w:sz w:val="18"/>
                <w:szCs w:val="18"/>
                <w:highlight w:val="magenta"/>
              </w:rPr>
              <w:t>Practice</w:t>
            </w:r>
            <w:r w:rsidRPr="00B85D62">
              <w:rPr>
                <w:rFonts w:cs="Arial"/>
                <w:sz w:val="18"/>
                <w:szCs w:val="18"/>
              </w:rPr>
              <w:t xml:space="preserve"> Research Datalink; CVD: Cardiovascular</w:t>
            </w:r>
            <w:r w:rsidR="004E284C" w:rsidRPr="00B85D62">
              <w:rPr>
                <w:rFonts w:cs="Arial"/>
                <w:sz w:val="18"/>
                <w:szCs w:val="18"/>
              </w:rPr>
              <w:t xml:space="preserve"> Disease</w:t>
            </w:r>
            <w:r w:rsidRPr="00B85D62">
              <w:rPr>
                <w:rFonts w:cs="Arial"/>
                <w:sz w:val="18"/>
                <w:szCs w:val="18"/>
              </w:rPr>
              <w:t>; FH: Familial Hypercholesterolaemia; IS: Ischaemic Stroke; LLT: Lipid Lowering Therapy; NICE: National Institute for Health and Care Excellence; TIA: Transient Ischaemic Attack.</w:t>
            </w:r>
          </w:p>
        </w:tc>
      </w:tr>
    </w:tbl>
    <w:p w14:paraId="1D867C5B" w14:textId="77777777" w:rsidR="00A650C1" w:rsidRPr="00B85D62" w:rsidRDefault="00A650C1" w:rsidP="0066232B">
      <w:pPr>
        <w:rPr>
          <w:rFonts w:cs="Arial"/>
          <w:b/>
          <w:bCs/>
        </w:rPr>
      </w:pPr>
    </w:p>
    <w:p w14:paraId="22DF5F25" w14:textId="3017D656" w:rsidR="003250C1" w:rsidRPr="00B85D62" w:rsidRDefault="003250C1" w:rsidP="006C7E71">
      <w:pPr>
        <w:pStyle w:val="Heading4"/>
        <w:numPr>
          <w:ilvl w:val="0"/>
          <w:numId w:val="0"/>
        </w:numPr>
      </w:pPr>
      <w:r w:rsidRPr="00B85D62">
        <w:t>Analytic methods</w:t>
      </w:r>
    </w:p>
    <w:p w14:paraId="22AC2FBB" w14:textId="460058BD" w:rsidR="00B85D62" w:rsidRPr="00B85D62" w:rsidRDefault="003250C1" w:rsidP="0066232B">
      <w:pPr>
        <w:rPr>
          <w:rFonts w:cs="Arial"/>
        </w:rPr>
      </w:pPr>
      <w:r w:rsidRPr="00B85D62">
        <w:rPr>
          <w:rFonts w:cs="Arial"/>
        </w:rPr>
        <w:t xml:space="preserve">We present results in terms of the difference in health outcomes and costs between diagnosing and managing people </w:t>
      </w:r>
      <w:r w:rsidRPr="00B85D62">
        <w:rPr>
          <w:rFonts w:cs="Arial"/>
          <w:highlight w:val="magenta"/>
        </w:rPr>
        <w:t>compared to</w:t>
      </w:r>
      <w:r w:rsidRPr="00B85D62">
        <w:rPr>
          <w:rFonts w:cs="Arial"/>
        </w:rPr>
        <w:t xml:space="preserve"> not diagnosing (and no management until the first CVD event). Health outcomes include impact on event-free survival, life expectancy, quality-adjusted </w:t>
      </w:r>
      <w:r w:rsidR="00B85D62" w:rsidRPr="00B85D62">
        <w:rPr>
          <w:rFonts w:cs="Arial"/>
          <w:color w:val="00B0F0"/>
        </w:rPr>
        <w:t>life-year</w:t>
      </w:r>
      <w:r w:rsidRPr="00B85D62">
        <w:rPr>
          <w:rFonts w:cs="Arial"/>
        </w:rPr>
        <w:t>s (QALYs), costs, and (discounted) net health gains.</w:t>
      </w:r>
    </w:p>
    <w:p w14:paraId="6D898695" w14:textId="2BF67056" w:rsidR="00B85D62" w:rsidRPr="00B85D62" w:rsidRDefault="003250C1" w:rsidP="0066232B">
      <w:pPr>
        <w:rPr>
          <w:rFonts w:cs="Arial"/>
        </w:rPr>
      </w:pPr>
      <w:r w:rsidRPr="00B85D62">
        <w:rPr>
          <w:rFonts w:cs="Arial"/>
        </w:rPr>
        <w:t xml:space="preserve">We calculated the net health gain from diagnosis as the health gains to people net of the health losses (or gains) elsewhere in the NHS </w:t>
      </w:r>
      <w:r w:rsidRPr="00B85D62">
        <w:rPr>
          <w:rFonts w:cs="Arial"/>
          <w:highlight w:val="magenta"/>
        </w:rPr>
        <w:t>due to</w:t>
      </w:r>
      <w:r w:rsidRPr="00B85D62">
        <w:rPr>
          <w:rFonts w:cs="Arial"/>
        </w:rPr>
        <w:t xml:space="preserve"> the impact on costs </w:t>
      </w:r>
      <w:r w:rsidR="00C35B5E" w:rsidRPr="00B85D62">
        <w:rPr>
          <w:rFonts w:cs="Arial"/>
          <w:noProof/>
          <w:color w:val="2B579A"/>
          <w:shd w:val="clear" w:color="auto" w:fill="E6E6E6"/>
          <w:vertAlign w:val="superscript"/>
        </w:rPr>
        <w:t>161, 162</w:t>
      </w:r>
      <w:r w:rsidRPr="00B85D62">
        <w:rPr>
          <w:rFonts w:cs="Arial"/>
        </w:rPr>
        <w:t xml:space="preserve">. A positive net health gain means that an intervention, in this case diagnosis, is cost-effective, while a negative net health gain (or net health loss) means that an intervention is not cost-effective. We chose this approach, rather than incremental </w:t>
      </w:r>
      <w:r w:rsidR="00B85D62" w:rsidRPr="00B85D62">
        <w:rPr>
          <w:rFonts w:cs="Arial"/>
          <w:color w:val="00B0F0"/>
        </w:rPr>
        <w:t>cost-effectiveness</w:t>
      </w:r>
      <w:r w:rsidR="00B85D62" w:rsidRPr="00B85D62">
        <w:rPr>
          <w:rFonts w:cs="Arial"/>
          <w:color w:val="00B0F0"/>
        </w:rPr>
        <w:t xml:space="preserve"> ratio</w:t>
      </w:r>
      <w:r w:rsidRPr="00B85D62">
        <w:rPr>
          <w:rFonts w:cs="Arial"/>
        </w:rPr>
        <w:t xml:space="preserve">s, to make the magnitude of benefit from diagnosis clearer and easier to relate to the results used in the cost-effectiveness analysis of cascade protocols (reported in </w:t>
      </w:r>
      <w:r w:rsidR="006B1E34" w:rsidRPr="00B85D62">
        <w:rPr>
          <w:rFonts w:cs="Arial"/>
        </w:rPr>
        <w:t xml:space="preserve">section </w:t>
      </w:r>
      <w:r w:rsidR="00D94476" w:rsidRPr="00B85D62">
        <w:rPr>
          <w:rFonts w:cs="Arial"/>
        </w:rPr>
        <w:t>8</w:t>
      </w:r>
      <w:r w:rsidR="006B1E34" w:rsidRPr="00B85D62">
        <w:rPr>
          <w:rFonts w:cs="Arial"/>
        </w:rPr>
        <w:t>.5)</w:t>
      </w:r>
      <w:r w:rsidRPr="00B85D62">
        <w:rPr>
          <w:rFonts w:cs="Arial"/>
        </w:rPr>
        <w:t xml:space="preserve">. To calculate the health impact on the NHS, we used the cost-effectiveness thresholds used by the UK Department of Health and Social Care at £15,000/QALY and the NICE cost-effectiveness threshold of £20,000/QALY </w:t>
      </w:r>
      <w:r w:rsidR="00C35B5E" w:rsidRPr="00B85D62">
        <w:rPr>
          <w:rFonts w:cs="Arial"/>
          <w:noProof/>
          <w:color w:val="2B579A"/>
          <w:shd w:val="clear" w:color="auto" w:fill="E6E6E6"/>
          <w:vertAlign w:val="superscript"/>
        </w:rPr>
        <w:t>145, 163</w:t>
      </w:r>
      <w:r w:rsidRPr="00B85D62">
        <w:rPr>
          <w:rFonts w:cs="Arial"/>
        </w:rPr>
        <w:t xml:space="preserve">. The £15,000/QALY threshold reflects the most recent empirical evidence on the marginal productivity of the English NHS </w:t>
      </w:r>
      <w:r w:rsidR="00C35B5E" w:rsidRPr="00B85D62">
        <w:rPr>
          <w:rFonts w:cs="Arial"/>
          <w:noProof/>
          <w:color w:val="2B579A"/>
          <w:shd w:val="clear" w:color="auto" w:fill="E6E6E6"/>
          <w:vertAlign w:val="superscript"/>
        </w:rPr>
        <w:t>163</w:t>
      </w:r>
      <w:r w:rsidRPr="00B85D62">
        <w:rPr>
          <w:rFonts w:cs="Arial"/>
        </w:rPr>
        <w:t>, being also used as the measure of health opportunity cost in the Department of Health and Social Care</w:t>
      </w:r>
      <w:r w:rsidR="00B85D62" w:rsidRPr="00B85D62">
        <w:rPr>
          <w:rFonts w:cs="Arial"/>
        </w:rPr>
        <w:t>’</w:t>
      </w:r>
      <w:r w:rsidRPr="00B85D62">
        <w:rPr>
          <w:rFonts w:cs="Arial"/>
        </w:rPr>
        <w:t xml:space="preserve">s impact assessments </w:t>
      </w:r>
      <w:r w:rsidR="00C35B5E" w:rsidRPr="00B85D62">
        <w:rPr>
          <w:rFonts w:cs="Arial"/>
          <w:noProof/>
          <w:color w:val="2B579A"/>
          <w:shd w:val="clear" w:color="auto" w:fill="E6E6E6"/>
          <w:vertAlign w:val="superscript"/>
        </w:rPr>
        <w:t>164</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66</w:t>
      </w:r>
      <w:r w:rsidRPr="00B85D62">
        <w:rPr>
          <w:rFonts w:cs="Arial"/>
        </w:rPr>
        <w:t>.</w:t>
      </w:r>
    </w:p>
    <w:p w14:paraId="344D16DF" w14:textId="166BC2F7" w:rsidR="00B85D62" w:rsidRPr="00B85D62" w:rsidRDefault="003250C1" w:rsidP="0066232B">
      <w:pPr>
        <w:rPr>
          <w:rFonts w:cs="Arial"/>
        </w:rPr>
      </w:pPr>
      <w:r w:rsidRPr="00B85D62">
        <w:rPr>
          <w:rFonts w:cs="Arial"/>
        </w:rPr>
        <w:t xml:space="preserve">The base-case results are probabilistic over 1,000 Monte Carlo simulations </w:t>
      </w:r>
      <w:r w:rsidR="00C35B5E" w:rsidRPr="00B85D62">
        <w:rPr>
          <w:rFonts w:cs="Arial"/>
          <w:noProof/>
          <w:color w:val="2B579A"/>
          <w:shd w:val="clear" w:color="auto" w:fill="E6E6E6"/>
          <w:vertAlign w:val="superscript"/>
        </w:rPr>
        <w:t>167</w:t>
      </w:r>
      <w:r w:rsidR="00B85D62" w:rsidRPr="00B85D62">
        <w:rPr>
          <w:rFonts w:cs="Arial"/>
          <w:color w:val="00B0F0"/>
        </w:rPr>
        <w:t>,</w:t>
      </w:r>
      <w:r w:rsidRPr="00B85D62">
        <w:rPr>
          <w:rFonts w:cs="Arial"/>
        </w:rPr>
        <w:t xml:space="preserve"> with the scenarios run deterministically. We calculated the probability that FH diagnosis and treatment are cost-effective, as well as the expected value of perfect information </w:t>
      </w:r>
      <w:r w:rsidR="00C35B5E" w:rsidRPr="00B85D62">
        <w:rPr>
          <w:rFonts w:cs="Arial"/>
          <w:noProof/>
          <w:color w:val="2B579A"/>
          <w:shd w:val="clear" w:color="auto" w:fill="E6E6E6"/>
          <w:vertAlign w:val="superscript"/>
        </w:rPr>
        <w:t>167</w:t>
      </w:r>
      <w:r w:rsidR="00B85D62" w:rsidRPr="00B85D62">
        <w:rPr>
          <w:rFonts w:cs="Arial"/>
          <w:noProof/>
          <w:color w:val="00B0F0"/>
          <w:shd w:val="clear" w:color="auto" w:fill="E6E6E6"/>
          <w:vertAlign w:val="superscript"/>
        </w:rPr>
        <w:t>–</w:t>
      </w:r>
      <w:r w:rsidR="00B85D62" w:rsidRPr="00B85D62">
        <w:rPr>
          <w:rFonts w:cs="Arial"/>
          <w:noProof/>
          <w:color w:val="00B0F0"/>
          <w:shd w:val="clear" w:color="auto" w:fill="E6E6E6"/>
          <w:vertAlign w:val="superscript"/>
        </w:rPr>
        <w:t>1</w:t>
      </w:r>
      <w:r w:rsidR="00C35B5E" w:rsidRPr="00B85D62">
        <w:rPr>
          <w:rFonts w:cs="Arial"/>
          <w:noProof/>
          <w:color w:val="2B579A"/>
          <w:shd w:val="clear" w:color="auto" w:fill="E6E6E6"/>
          <w:vertAlign w:val="superscript"/>
        </w:rPr>
        <w:t>70</w:t>
      </w:r>
      <w:r w:rsidRPr="00B85D62">
        <w:rPr>
          <w:rFonts w:cs="Arial"/>
        </w:rPr>
        <w:t>.</w:t>
      </w:r>
    </w:p>
    <w:p w14:paraId="26BC5BDD" w14:textId="4FFCE795" w:rsidR="003250C1" w:rsidRPr="00B85D62" w:rsidRDefault="003250C1" w:rsidP="006C7E71">
      <w:pPr>
        <w:pStyle w:val="Heading4"/>
        <w:numPr>
          <w:ilvl w:val="0"/>
          <w:numId w:val="0"/>
        </w:numPr>
      </w:pPr>
      <w:r w:rsidRPr="00B85D62">
        <w:t>Scenario analysis</w:t>
      </w:r>
    </w:p>
    <w:p w14:paraId="231D0062" w14:textId="5F8007AF" w:rsidR="003250C1" w:rsidRPr="00B85D62" w:rsidRDefault="29556E7B" w:rsidP="0066232B">
      <w:pPr>
        <w:rPr>
          <w:rFonts w:cs="Arial"/>
        </w:rPr>
      </w:pPr>
      <w:r w:rsidRPr="00B85D62">
        <w:rPr>
          <w:rFonts w:cs="Arial"/>
        </w:rPr>
        <w:t>We conducted 29 scenario analyses to how diagnosis and management affects LDL-C, on the effect of LDL-C reductions on health outcomes, on the management of people with low PT-LDL-C, on the risk of CVD events over people</w:t>
      </w:r>
      <w:r w:rsidR="00B85D62" w:rsidRPr="00B85D62">
        <w:rPr>
          <w:rFonts w:cs="Arial"/>
        </w:rPr>
        <w:t>’</w:t>
      </w:r>
      <w:r w:rsidRPr="00B85D62">
        <w:rPr>
          <w:rFonts w:cs="Arial"/>
        </w:rPr>
        <w:t xml:space="preserve"> lifetime, on the consequences of the adverse events from LLT, on frequency and setting of monitoring, source of costs related to post-event care, and on the source of health-related quality of life weights (details and parameterisation in the </w:t>
      </w:r>
      <w:r w:rsidRPr="00B85D62">
        <w:rPr>
          <w:rFonts w:cs="Arial"/>
          <w:i/>
          <w:iCs/>
        </w:rPr>
        <w:t>Scenario analysis</w:t>
      </w:r>
      <w:r w:rsidR="0D10D91B" w:rsidRPr="00B85D62">
        <w:rPr>
          <w:rFonts w:cs="Arial"/>
          <w:i/>
          <w:iCs/>
        </w:rPr>
        <w:t xml:space="preserve"> section </w:t>
      </w:r>
      <w:r w:rsidR="0D10D91B" w:rsidRPr="00B85D62">
        <w:rPr>
          <w:rFonts w:cs="Arial"/>
        </w:rPr>
        <w:t xml:space="preserve">in </w:t>
      </w:r>
      <w:r w:rsidR="006F44B5" w:rsidRPr="00B85D62">
        <w:rPr>
          <w:rFonts w:eastAsia="Arial" w:cs="Arial"/>
          <w:i/>
          <w:color w:val="000000" w:themeColor="text1"/>
        </w:rPr>
        <w:t xml:space="preserve">Online Supplementary file 5 </w:t>
      </w:r>
      <w:r w:rsidR="006F44B5" w:rsidRPr="00B85D62">
        <w:rPr>
          <w:rFonts w:cs="Arial"/>
          <w:i/>
        </w:rPr>
        <w:t>(Cost-effectiveness</w:t>
      </w:r>
      <w:r w:rsidR="006F44B5" w:rsidRPr="00B85D62">
        <w:rPr>
          <w:rFonts w:cs="Arial"/>
        </w:rPr>
        <w:t>).</w:t>
      </w:r>
    </w:p>
    <w:p w14:paraId="3B20AAA8" w14:textId="77777777" w:rsidR="00B85D62" w:rsidRPr="00B85D62" w:rsidRDefault="003250C1" w:rsidP="006C7E71">
      <w:pPr>
        <w:pStyle w:val="Heading3"/>
        <w:rPr>
          <w:lang w:eastAsia="en-GB"/>
        </w:rPr>
      </w:pPr>
      <w:bookmarkStart w:id="214" w:name="_Toc107157491"/>
      <w:r w:rsidRPr="00B85D62">
        <w:rPr>
          <w:lang w:eastAsia="en-GB"/>
        </w:rPr>
        <w:t>Results</w:t>
      </w:r>
      <w:bookmarkEnd w:id="214"/>
    </w:p>
    <w:p w14:paraId="02008AD8" w14:textId="0C733764" w:rsidR="003250C1" w:rsidRPr="00B85D62" w:rsidRDefault="29556E7B" w:rsidP="0066232B">
      <w:pPr>
        <w:rPr>
          <w:rFonts w:cs="Arial"/>
          <w:highlight w:val="magenta"/>
          <w:lang w:eastAsia="en-GB"/>
        </w:rPr>
      </w:pPr>
      <w:r w:rsidRPr="00B85D62">
        <w:rPr>
          <w:rFonts w:cs="Arial"/>
          <w:lang w:eastAsia="en-GB"/>
        </w:rPr>
        <w:t xml:space="preserve">Full results are </w:t>
      </w:r>
      <w:r w:rsidR="630575E0" w:rsidRPr="00B85D62">
        <w:rPr>
          <w:rFonts w:cs="Arial"/>
          <w:lang w:eastAsia="en-GB"/>
        </w:rPr>
        <w:t xml:space="preserve">available in </w:t>
      </w:r>
      <w:r w:rsidR="00D94476" w:rsidRPr="00B85D62">
        <w:rPr>
          <w:rFonts w:cs="Arial"/>
          <w:i/>
          <w:lang w:eastAsia="en-GB"/>
        </w:rPr>
        <w:t>O</w:t>
      </w:r>
      <w:r w:rsidR="630575E0" w:rsidRPr="00B85D62">
        <w:rPr>
          <w:rFonts w:cs="Arial"/>
          <w:i/>
          <w:lang w:eastAsia="en-GB"/>
        </w:rPr>
        <w:t xml:space="preserve">nline </w:t>
      </w:r>
      <w:r w:rsidR="6721EFBB" w:rsidRPr="00B85D62">
        <w:rPr>
          <w:rFonts w:cs="Arial"/>
          <w:i/>
          <w:lang w:eastAsia="en-GB"/>
        </w:rPr>
        <w:t>supplementary excel file</w:t>
      </w:r>
      <w:r w:rsidR="4679994E" w:rsidRPr="00B85D62">
        <w:rPr>
          <w:rFonts w:cs="Arial"/>
          <w:i/>
          <w:lang w:eastAsia="en-GB"/>
        </w:rPr>
        <w:t xml:space="preserve"> </w:t>
      </w:r>
      <w:r w:rsidR="006F44B5" w:rsidRPr="00B85D62">
        <w:rPr>
          <w:rFonts w:cs="Arial"/>
          <w:i/>
          <w:lang w:eastAsia="en-GB"/>
        </w:rPr>
        <w:t>6</w:t>
      </w:r>
    </w:p>
    <w:p w14:paraId="69DB2CF9" w14:textId="77777777" w:rsidR="003250C1" w:rsidRPr="00B85D62" w:rsidRDefault="003250C1" w:rsidP="006C7E71">
      <w:pPr>
        <w:pStyle w:val="Heading4"/>
        <w:numPr>
          <w:ilvl w:val="0"/>
          <w:numId w:val="0"/>
        </w:numPr>
        <w:rPr>
          <w:lang w:eastAsia="en-GB"/>
        </w:rPr>
      </w:pPr>
      <w:r w:rsidRPr="00B85D62">
        <w:rPr>
          <w:lang w:eastAsia="en-GB"/>
        </w:rPr>
        <w:t>Gains in health outcomes in diagnosed people</w:t>
      </w:r>
    </w:p>
    <w:p w14:paraId="79B9EAD5" w14:textId="7E87FAFD" w:rsidR="00B85D62" w:rsidRPr="00B85D62" w:rsidRDefault="00B85D62" w:rsidP="0066232B">
      <w:pPr>
        <w:rPr>
          <w:rFonts w:cs="Arial"/>
          <w:lang w:eastAsia="en-GB"/>
        </w:rPr>
      </w:pPr>
      <w:r w:rsidRPr="00B85D62">
        <w:rPr>
          <w:rFonts w:cs="Arial"/>
          <w:i/>
          <w:color w:val="FF0000"/>
          <w:lang w:eastAsia="en-GB"/>
        </w:rPr>
        <w:t>F</w:t>
      </w:r>
      <w:r w:rsidRPr="00B85D62">
        <w:rPr>
          <w:rFonts w:cs="Arial"/>
          <w:i/>
          <w:color w:val="FF0000"/>
          <w:lang w:eastAsia="en-GB"/>
        </w:rPr>
        <w:t>igure</w:t>
      </w:r>
      <w:r w:rsidRPr="00B85D62">
        <w:rPr>
          <w:rFonts w:cs="Arial"/>
          <w:i/>
          <w:color w:val="FF0000"/>
          <w:lang w:eastAsia="en-GB"/>
        </w:rPr>
        <w:t xml:space="preserve"> </w:t>
      </w:r>
      <w:r w:rsidRPr="00B85D62">
        <w:rPr>
          <w:rFonts w:cs="Arial"/>
          <w:i/>
          <w:color w:val="FF0000"/>
          <w:lang w:eastAsia="en-GB"/>
        </w:rPr>
        <w:t>13</w:t>
      </w:r>
      <w:r w:rsidR="29556E7B" w:rsidRPr="00B85D62">
        <w:rPr>
          <w:rFonts w:cs="Arial"/>
          <w:lang w:eastAsia="en-GB"/>
        </w:rPr>
        <w:t xml:space="preserve"> shows the gain in event-free life expectancy </w:t>
      </w:r>
      <w:r w:rsidR="29556E7B" w:rsidRPr="00B85D62">
        <w:rPr>
          <w:rFonts w:cs="Arial"/>
          <w:highlight w:val="magenta"/>
          <w:lang w:eastAsia="en-GB"/>
        </w:rPr>
        <w:t>due to</w:t>
      </w:r>
      <w:r w:rsidR="29556E7B" w:rsidRPr="00B85D62">
        <w:rPr>
          <w:rFonts w:cs="Arial"/>
          <w:lang w:eastAsia="en-GB"/>
        </w:rPr>
        <w:t xml:space="preserve"> diagnosis in males (</w:t>
      </w:r>
      <w:r w:rsidR="68738DC4" w:rsidRPr="00B85D62">
        <w:rPr>
          <w:rFonts w:cs="Arial"/>
          <w:lang w:eastAsia="en-GB"/>
        </w:rPr>
        <w:t>1</w:t>
      </w:r>
      <w:r w:rsidRPr="00B85D62">
        <w:rPr>
          <w:rFonts w:cs="Arial"/>
          <w:color w:val="00B0F0"/>
          <w:lang w:eastAsia="en-GB"/>
        </w:rPr>
        <w:t>3</w:t>
      </w:r>
      <w:r w:rsidRPr="00B85D62">
        <w:rPr>
          <w:rFonts w:cs="Arial"/>
          <w:color w:val="00B0F0"/>
          <w:lang w:eastAsia="en-GB"/>
        </w:rPr>
        <w:t> </w:t>
      </w:r>
      <w:r w:rsidRPr="00B85D62">
        <w:rPr>
          <w:rFonts w:cs="Arial"/>
          <w:color w:val="00B0F0"/>
          <w:lang w:eastAsia="en-GB"/>
        </w:rPr>
        <w:t>A)</w:t>
      </w:r>
      <w:r w:rsidR="29556E7B" w:rsidRPr="00B85D62">
        <w:rPr>
          <w:rFonts w:cs="Arial"/>
          <w:lang w:eastAsia="en-GB"/>
        </w:rPr>
        <w:t xml:space="preserve"> and females (</w:t>
      </w:r>
      <w:r w:rsidR="31144690" w:rsidRPr="00B85D62">
        <w:rPr>
          <w:rFonts w:cs="Arial"/>
          <w:lang w:eastAsia="en-GB"/>
        </w:rPr>
        <w:t>1</w:t>
      </w:r>
      <w:r w:rsidR="29556E7B" w:rsidRPr="00B85D62">
        <w:rPr>
          <w:rFonts w:cs="Arial"/>
          <w:lang w:eastAsia="en-GB"/>
        </w:rPr>
        <w:t>3B). The gains are greater if diagnosis occurs at a younger age (e.g. approximately a gain of 20.86 years for males aged 0</w:t>
      </w:r>
      <w:r w:rsidRPr="00B85D62">
        <w:rPr>
          <w:rFonts w:cs="Arial"/>
          <w:color w:val="00B0F0"/>
          <w:lang w:eastAsia="en-GB"/>
        </w:rPr>
        <w:t>–</w:t>
      </w:r>
      <w:r w:rsidRPr="00B85D62">
        <w:rPr>
          <w:rFonts w:cs="Arial"/>
          <w:color w:val="00B0F0"/>
          <w:lang w:eastAsia="en-GB"/>
        </w:rPr>
        <w:t>9</w:t>
      </w:r>
      <w:r w:rsidR="29556E7B" w:rsidRPr="00B85D62">
        <w:rPr>
          <w:rFonts w:cs="Arial"/>
          <w:lang w:eastAsia="en-GB"/>
        </w:rPr>
        <w:t xml:space="preserve"> years with PT-LDL-C</w:t>
      </w:r>
      <w:r w:rsidRPr="00B85D62">
        <w:rPr>
          <w:rFonts w:cs="Arial"/>
          <w:color w:val="00B0F0"/>
          <w:lang w:eastAsia="en-GB"/>
        </w:rPr>
        <w:t>=</w:t>
      </w:r>
      <w:r w:rsidR="29556E7B" w:rsidRPr="00B85D62">
        <w:rPr>
          <w:rFonts w:cs="Arial"/>
          <w:lang w:eastAsia="en-GB"/>
        </w:rPr>
        <w:t xml:space="preserve">5.5 mmol/L </w:t>
      </w:r>
      <w:r w:rsidR="29556E7B" w:rsidRPr="00B85D62">
        <w:rPr>
          <w:rFonts w:cs="Arial"/>
          <w:highlight w:val="magenta"/>
          <w:lang w:eastAsia="en-GB"/>
        </w:rPr>
        <w:t>compared to</w:t>
      </w:r>
      <w:r w:rsidR="29556E7B" w:rsidRPr="00B85D62">
        <w:rPr>
          <w:rFonts w:cs="Arial"/>
          <w:lang w:eastAsia="en-GB"/>
        </w:rPr>
        <w:t xml:space="preserve"> 5.34 years for males aged 40</w:t>
      </w:r>
      <w:r w:rsidRPr="00B85D62">
        <w:rPr>
          <w:rFonts w:cs="Arial"/>
          <w:color w:val="00B0F0"/>
          <w:lang w:eastAsia="en-GB"/>
        </w:rPr>
        <w:t>–</w:t>
      </w:r>
      <w:r w:rsidRPr="00B85D62">
        <w:rPr>
          <w:rFonts w:cs="Arial"/>
          <w:color w:val="00B0F0"/>
          <w:lang w:eastAsia="en-GB"/>
        </w:rPr>
        <w:t>5</w:t>
      </w:r>
      <w:r w:rsidR="29556E7B" w:rsidRPr="00B85D62">
        <w:rPr>
          <w:rFonts w:cs="Arial"/>
          <w:lang w:eastAsia="en-GB"/>
        </w:rPr>
        <w:t>9 years with the same PT-LDL-C). People with higher PT-LDL-C have greater gains (e.g. gains in males aged 40</w:t>
      </w:r>
      <w:r w:rsidRPr="00B85D62">
        <w:rPr>
          <w:rFonts w:cs="Arial"/>
          <w:color w:val="00B0F0"/>
          <w:lang w:eastAsia="en-GB"/>
        </w:rPr>
        <w:t>–</w:t>
      </w:r>
      <w:r w:rsidRPr="00B85D62">
        <w:rPr>
          <w:rFonts w:cs="Arial"/>
          <w:color w:val="00B0F0"/>
          <w:lang w:eastAsia="en-GB"/>
        </w:rPr>
        <w:t>5</w:t>
      </w:r>
      <w:r w:rsidR="29556E7B" w:rsidRPr="00B85D62">
        <w:rPr>
          <w:rFonts w:cs="Arial"/>
          <w:lang w:eastAsia="en-GB"/>
        </w:rPr>
        <w:t>9 years range between 0.18</w:t>
      </w:r>
      <w:r w:rsidRPr="00B85D62">
        <w:rPr>
          <w:rFonts w:cs="Arial"/>
          <w:color w:val="00B0F0"/>
          <w:lang w:eastAsia="en-GB"/>
        </w:rPr>
        <w:t>–</w:t>
      </w:r>
      <w:r w:rsidRPr="00B85D62">
        <w:rPr>
          <w:rFonts w:cs="Arial"/>
          <w:color w:val="00B0F0"/>
          <w:lang w:eastAsia="en-GB"/>
        </w:rPr>
        <w:t>1</w:t>
      </w:r>
      <w:r w:rsidR="29556E7B" w:rsidRPr="00B85D62">
        <w:rPr>
          <w:rFonts w:cs="Arial"/>
          <w:lang w:eastAsia="en-GB"/>
        </w:rPr>
        <w:t xml:space="preserve">0.02 years depending on their PT-LDL-C). Gains are also more pronounced in people with prior CVD history. The gains in females follow the same pattern. The differences in gains in event-free life expectancy </w:t>
      </w:r>
      <w:r w:rsidR="29556E7B" w:rsidRPr="00B85D62">
        <w:rPr>
          <w:rFonts w:cs="Arial"/>
          <w:highlight w:val="magenta"/>
          <w:lang w:eastAsia="en-GB"/>
        </w:rPr>
        <w:t>due to</w:t>
      </w:r>
      <w:r w:rsidR="29556E7B" w:rsidRPr="00B85D62">
        <w:rPr>
          <w:rFonts w:cs="Arial"/>
          <w:lang w:eastAsia="en-GB"/>
        </w:rPr>
        <w:t xml:space="preserve"> diagnosis are driven by differences in the risk of CVD events, the competing risk of non-vascular mortality, the absolute reduction in LDL-C given the same proportional reduction from diagnosis and the increased effect of lowering LDL-C over time.</w:t>
      </w:r>
      <w:r w:rsidR="1FEE565B" w:rsidRPr="00B85D62">
        <w:rPr>
          <w:rFonts w:cs="Arial"/>
          <w:lang w:eastAsia="en-GB"/>
        </w:rPr>
        <w:t xml:space="preserve"> In </w:t>
      </w:r>
      <w:r w:rsidR="002442C8" w:rsidRPr="00B85D62">
        <w:rPr>
          <w:rFonts w:eastAsia="Arial" w:cs="Arial"/>
          <w:i/>
          <w:color w:val="000000" w:themeColor="text1"/>
        </w:rPr>
        <w:t xml:space="preserve">Online Supplementary file </w:t>
      </w:r>
      <w:r w:rsidR="002D4BC1" w:rsidRPr="00B85D62">
        <w:rPr>
          <w:rFonts w:eastAsia="Arial" w:cs="Arial"/>
          <w:i/>
          <w:color w:val="000000" w:themeColor="text1"/>
        </w:rPr>
        <w:t>4</w:t>
      </w:r>
      <w:r w:rsidR="002442C8" w:rsidRPr="00B85D62">
        <w:rPr>
          <w:rFonts w:eastAsia="Arial" w:cs="Arial"/>
          <w:color w:val="000000" w:themeColor="text1"/>
        </w:rPr>
        <w:t xml:space="preserve"> </w:t>
      </w:r>
      <w:r w:rsidR="002442C8" w:rsidRPr="00B85D62">
        <w:rPr>
          <w:rFonts w:cs="Arial"/>
          <w:i/>
        </w:rPr>
        <w:t>(Additional information)</w:t>
      </w:r>
      <w:r w:rsidR="1FEE565B" w:rsidRPr="00B85D62">
        <w:rPr>
          <w:rFonts w:cs="Arial"/>
          <w:lang w:eastAsia="en-GB"/>
        </w:rPr>
        <w:t>,</w:t>
      </w:r>
      <w:r w:rsidR="00895586" w:rsidRPr="00B85D62">
        <w:rPr>
          <w:rFonts w:cs="Arial"/>
          <w:lang w:eastAsia="en-GB"/>
        </w:rPr>
        <w:t xml:space="preserve"> </w:t>
      </w:r>
      <w:r w:rsidRPr="00B85D62">
        <w:rPr>
          <w:rFonts w:cs="Arial"/>
          <w:i/>
          <w:color w:val="FF0000"/>
          <w:lang w:eastAsia="en-GB"/>
        </w:rPr>
        <w:t>F</w:t>
      </w:r>
      <w:r w:rsidRPr="00B85D62">
        <w:rPr>
          <w:rFonts w:cs="Arial"/>
          <w:i/>
          <w:color w:val="FF0000"/>
          <w:lang w:eastAsia="en-GB"/>
        </w:rPr>
        <w:t>igure</w:t>
      </w:r>
      <w:r w:rsidRPr="00B85D62">
        <w:rPr>
          <w:rFonts w:cs="Arial"/>
          <w:i/>
          <w:color w:val="FF0000"/>
          <w:lang w:eastAsia="en-GB"/>
        </w:rPr>
        <w:t xml:space="preserve"> </w:t>
      </w:r>
      <w:r w:rsidRPr="00B85D62">
        <w:rPr>
          <w:rFonts w:cs="Arial"/>
          <w:i/>
          <w:color w:val="FF0000"/>
          <w:lang w:eastAsia="en-GB"/>
        </w:rPr>
        <w:t>5</w:t>
      </w:r>
      <w:r w:rsidR="29556E7B" w:rsidRPr="00B85D62">
        <w:rPr>
          <w:rFonts w:cs="Arial"/>
          <w:lang w:eastAsia="en-GB"/>
        </w:rPr>
        <w:t xml:space="preserve"> shows the gain in life expectancy. Gains in life expectancy are less pronounced but still substantial. For example, in males, the gain is 0.08</w:t>
      </w:r>
      <w:r w:rsidRPr="00B85D62">
        <w:rPr>
          <w:rFonts w:cs="Arial"/>
          <w:color w:val="00B0F0"/>
          <w:lang w:eastAsia="en-GB"/>
        </w:rPr>
        <w:t>–</w:t>
      </w:r>
      <w:r w:rsidRPr="00B85D62">
        <w:rPr>
          <w:rFonts w:cs="Arial"/>
          <w:color w:val="00B0F0"/>
          <w:lang w:eastAsia="en-GB"/>
        </w:rPr>
        <w:t>1</w:t>
      </w:r>
      <w:r w:rsidR="29556E7B" w:rsidRPr="00B85D62">
        <w:rPr>
          <w:rFonts w:cs="Arial"/>
          <w:lang w:eastAsia="en-GB"/>
        </w:rPr>
        <w:t>0.35 years.</w:t>
      </w:r>
    </w:p>
    <w:p w14:paraId="343229F6" w14:textId="206DA67F" w:rsidR="00B85D62" w:rsidRPr="00B85D62" w:rsidRDefault="00B85D62" w:rsidP="0066232B">
      <w:pPr>
        <w:rPr>
          <w:rFonts w:cs="Arial"/>
          <w:lang w:eastAsia="en-GB"/>
        </w:rPr>
      </w:pPr>
      <w:r w:rsidRPr="00B85D62">
        <w:rPr>
          <w:rFonts w:cs="Arial"/>
          <w:i/>
          <w:color w:val="FF0000"/>
          <w:lang w:eastAsia="en-GB"/>
        </w:rPr>
        <w:t>F</w:t>
      </w:r>
      <w:r w:rsidRPr="00B85D62">
        <w:rPr>
          <w:rFonts w:cs="Arial"/>
          <w:i/>
          <w:color w:val="FF0000"/>
          <w:lang w:eastAsia="en-GB"/>
        </w:rPr>
        <w:t>igure</w:t>
      </w:r>
      <w:r w:rsidRPr="00B85D62">
        <w:rPr>
          <w:rFonts w:cs="Arial"/>
          <w:i/>
          <w:color w:val="FF0000"/>
          <w:lang w:eastAsia="en-GB"/>
        </w:rPr>
        <w:t xml:space="preserve"> </w:t>
      </w:r>
      <w:r w:rsidRPr="00B85D62">
        <w:rPr>
          <w:rFonts w:cs="Arial"/>
          <w:i/>
          <w:color w:val="FF0000"/>
          <w:lang w:eastAsia="en-GB"/>
        </w:rPr>
        <w:t>14</w:t>
      </w:r>
      <w:r w:rsidR="29556E7B" w:rsidRPr="00B85D62">
        <w:rPr>
          <w:rFonts w:cs="Arial"/>
          <w:lang w:eastAsia="en-GB"/>
        </w:rPr>
        <w:t xml:space="preserve"> shows the gain in quality-adjusted life expectancy predicted by the model (</w:t>
      </w:r>
      <w:r w:rsidR="42793321" w:rsidRPr="00B85D62">
        <w:rPr>
          <w:rFonts w:cs="Arial"/>
          <w:lang w:eastAsia="en-GB"/>
        </w:rPr>
        <w:t>1</w:t>
      </w:r>
      <w:r w:rsidRPr="00B85D62">
        <w:rPr>
          <w:rFonts w:cs="Arial"/>
          <w:color w:val="00B0F0"/>
          <w:lang w:eastAsia="en-GB"/>
        </w:rPr>
        <w:t>4</w:t>
      </w:r>
      <w:r w:rsidRPr="00B85D62">
        <w:rPr>
          <w:rFonts w:cs="Arial"/>
          <w:color w:val="00B0F0"/>
          <w:lang w:eastAsia="en-GB"/>
        </w:rPr>
        <w:t> </w:t>
      </w:r>
      <w:r w:rsidRPr="00B85D62">
        <w:rPr>
          <w:rFonts w:cs="Arial"/>
          <w:color w:val="00B0F0"/>
          <w:lang w:eastAsia="en-GB"/>
        </w:rPr>
        <w:t xml:space="preserve">A </w:t>
      </w:r>
      <w:r w:rsidR="29556E7B" w:rsidRPr="00B85D62">
        <w:rPr>
          <w:rFonts w:cs="Arial"/>
          <w:lang w:eastAsia="en-GB"/>
        </w:rPr>
        <w:t xml:space="preserve">shows for males and </w:t>
      </w:r>
      <w:r w:rsidR="65A14006" w:rsidRPr="00B85D62">
        <w:rPr>
          <w:rFonts w:cs="Arial"/>
          <w:lang w:eastAsia="en-GB"/>
        </w:rPr>
        <w:t>14</w:t>
      </w:r>
      <w:r w:rsidR="29556E7B" w:rsidRPr="00B85D62">
        <w:rPr>
          <w:rFonts w:cs="Arial"/>
          <w:lang w:eastAsia="en-GB"/>
        </w:rPr>
        <w:t xml:space="preserve">B shows for females). This is the </w:t>
      </w:r>
      <w:r w:rsidRPr="00B85D62">
        <w:rPr>
          <w:rFonts w:cs="Arial"/>
          <w:lang w:eastAsia="en-GB"/>
        </w:rPr>
        <w:t>“</w:t>
      </w:r>
      <w:r w:rsidR="29556E7B" w:rsidRPr="00B85D62">
        <w:rPr>
          <w:rFonts w:cs="Arial"/>
          <w:lang w:eastAsia="en-GB"/>
        </w:rPr>
        <w:t>QALY gain</w:t>
      </w:r>
      <w:r w:rsidRPr="00B85D62">
        <w:rPr>
          <w:rFonts w:cs="Arial"/>
          <w:lang w:eastAsia="en-GB"/>
        </w:rPr>
        <w:t>”</w:t>
      </w:r>
      <w:r w:rsidR="29556E7B" w:rsidRPr="00B85D62">
        <w:rPr>
          <w:rFonts w:cs="Arial"/>
          <w:lang w:eastAsia="en-GB"/>
        </w:rPr>
        <w:t xml:space="preserve"> which, after discounting to present values, enters the calculation of cost-effectiveness. Similarly to the gain in event-free life expectancy and overall life expectancy, the differences in QALY gains reflect the different </w:t>
      </w:r>
      <w:r w:rsidR="00D94476" w:rsidRPr="00B85D62">
        <w:rPr>
          <w:rFonts w:cs="Arial"/>
          <w:lang w:eastAsia="en-GB"/>
        </w:rPr>
        <w:t>cardiovascular</w:t>
      </w:r>
      <w:r w:rsidR="00D94476" w:rsidRPr="00B85D62" w:rsidDel="00D94476">
        <w:rPr>
          <w:rFonts w:cs="Arial"/>
          <w:lang w:eastAsia="en-GB"/>
        </w:rPr>
        <w:t xml:space="preserve"> </w:t>
      </w:r>
      <w:r w:rsidR="29556E7B" w:rsidRPr="00B85D62">
        <w:rPr>
          <w:rFonts w:cs="Arial"/>
          <w:lang w:eastAsia="en-GB"/>
        </w:rPr>
        <w:t>risk and risk reduction given the PT-LDL-C. The QALY gain ranges between 0.04</w:t>
      </w:r>
      <w:r w:rsidRPr="00B85D62">
        <w:rPr>
          <w:rFonts w:cs="Arial"/>
          <w:color w:val="00B0F0"/>
          <w:lang w:eastAsia="en-GB"/>
        </w:rPr>
        <w:t>–</w:t>
      </w:r>
      <w:r w:rsidRPr="00B85D62">
        <w:rPr>
          <w:rFonts w:cs="Arial"/>
          <w:color w:val="00B0F0"/>
          <w:lang w:eastAsia="en-GB"/>
        </w:rPr>
        <w:t>1</w:t>
      </w:r>
      <w:r w:rsidR="29556E7B" w:rsidRPr="00B85D62">
        <w:rPr>
          <w:rFonts w:cs="Arial"/>
          <w:lang w:eastAsia="en-GB"/>
        </w:rPr>
        <w:t>1.20 QALYs, depending on the subgroups. Once discounted to present values, the QALY gain is lower at 0.01</w:t>
      </w:r>
      <w:r w:rsidRPr="00B85D62">
        <w:rPr>
          <w:rFonts w:cs="Arial"/>
          <w:color w:val="00B0F0"/>
          <w:lang w:eastAsia="en-GB"/>
        </w:rPr>
        <w:t>–</w:t>
      </w:r>
      <w:r w:rsidRPr="00B85D62">
        <w:rPr>
          <w:rFonts w:cs="Arial"/>
          <w:color w:val="00B0F0"/>
          <w:lang w:eastAsia="en-GB"/>
        </w:rPr>
        <w:t>2</w:t>
      </w:r>
      <w:r w:rsidR="29556E7B" w:rsidRPr="00B85D62">
        <w:rPr>
          <w:rFonts w:cs="Arial"/>
          <w:lang w:eastAsia="en-GB"/>
        </w:rPr>
        <w:t>.11 discounted QALYs (</w:t>
      </w:r>
      <w:r w:rsidR="00065D49" w:rsidRPr="00B85D62">
        <w:rPr>
          <w:rFonts w:eastAsia="Arial" w:cs="Arial"/>
          <w:i/>
          <w:color w:val="000000" w:themeColor="text1"/>
        </w:rPr>
        <w:t xml:space="preserve">Online Supplementary file </w:t>
      </w:r>
      <w:r w:rsidR="002D4BC1" w:rsidRPr="00B85D62">
        <w:rPr>
          <w:rFonts w:eastAsia="Arial" w:cs="Arial"/>
          <w:i/>
          <w:color w:val="000000" w:themeColor="text1"/>
        </w:rPr>
        <w:t>4</w:t>
      </w:r>
      <w:r w:rsidR="00F65F6D" w:rsidRPr="00B85D62">
        <w:rPr>
          <w:rFonts w:cs="Arial"/>
          <w:lang w:eastAsia="en-GB"/>
        </w:rPr>
        <w:t xml:space="preserve">, </w:t>
      </w:r>
      <w:r w:rsidRPr="00B85D62">
        <w:rPr>
          <w:rFonts w:cs="Arial"/>
          <w:i/>
          <w:color w:val="FF0000"/>
          <w:lang w:eastAsia="en-GB"/>
        </w:rPr>
        <w:t>F</w:t>
      </w:r>
      <w:r w:rsidRPr="00B85D62">
        <w:rPr>
          <w:rFonts w:cs="Arial"/>
          <w:i/>
          <w:color w:val="FF0000"/>
          <w:lang w:eastAsia="en-GB"/>
        </w:rPr>
        <w:t>igure</w:t>
      </w:r>
      <w:r w:rsidRPr="00B85D62">
        <w:rPr>
          <w:rFonts w:cs="Arial"/>
          <w:i/>
          <w:color w:val="FF0000"/>
          <w:lang w:eastAsia="en-GB"/>
        </w:rPr>
        <w:t xml:space="preserve"> </w:t>
      </w:r>
      <w:r w:rsidRPr="00B85D62">
        <w:rPr>
          <w:rFonts w:cs="Arial"/>
          <w:i/>
          <w:color w:val="FF0000"/>
          <w:lang w:eastAsia="en-GB"/>
        </w:rPr>
        <w:t>6</w:t>
      </w:r>
      <w:r w:rsidR="29556E7B" w:rsidRPr="00B85D62">
        <w:rPr>
          <w:rFonts w:cs="Arial"/>
          <w:lang w:eastAsia="en-GB"/>
        </w:rPr>
        <w:t>).</w:t>
      </w:r>
    </w:p>
    <w:p w14:paraId="1E285FF8" w14:textId="292221CC" w:rsidR="00B85D62" w:rsidRPr="00B85D62" w:rsidRDefault="00B85D62" w:rsidP="0011266D">
      <w:pPr>
        <w:pStyle w:val="Caption"/>
        <w:keepNext/>
        <w:rPr>
          <w:bCs/>
        </w:rPr>
      </w:pPr>
      <w:bookmarkStart w:id="215" w:name="_Toc79740232"/>
      <w:bookmarkStart w:id="216" w:name="_Toc107157395"/>
      <w:r w:rsidRPr="00B85D62">
        <w:rPr>
          <w:i/>
          <w:color w:val="FF0000"/>
        </w:rPr>
        <w:t>F</w:t>
      </w:r>
      <w:r w:rsidRPr="00B85D62">
        <w:rPr>
          <w:i/>
          <w:color w:val="FF0000"/>
        </w:rPr>
        <w:t>igure</w:t>
      </w:r>
      <w:r w:rsidRPr="00B85D62">
        <w:rPr>
          <w:i/>
          <w:color w:val="FF0000"/>
        </w:rPr>
        <w:t xml:space="preserve"> </w:t>
      </w:r>
      <w:r w:rsidRPr="00B85D62">
        <w:rPr>
          <w:i/>
          <w:noProof/>
          <w:color w:val="FF0000"/>
        </w:rPr>
        <w:t>13</w:t>
      </w:r>
      <w:r w:rsidR="0011266D" w:rsidRPr="00B85D62">
        <w:t xml:space="preserve"> </w:t>
      </w:r>
      <w:r w:rsidR="0011266D" w:rsidRPr="00B85D62">
        <w:rPr>
          <w:bCs/>
        </w:rPr>
        <w:t xml:space="preserve">Gain in event-free life expectancy </w:t>
      </w:r>
      <w:r w:rsidR="0011266D" w:rsidRPr="00B85D62">
        <w:rPr>
          <w:bCs/>
          <w:highlight w:val="magenta"/>
        </w:rPr>
        <w:t>due to</w:t>
      </w:r>
      <w:r w:rsidR="0011266D" w:rsidRPr="00B85D62">
        <w:rPr>
          <w:bCs/>
        </w:rPr>
        <w:t xml:space="preserve"> diagnosis (not discounted, in years)</w:t>
      </w:r>
      <w:bookmarkEnd w:id="215"/>
      <w:bookmarkEnd w:id="216"/>
    </w:p>
    <w:p w14:paraId="41C39D1D" w14:textId="77777777" w:rsidR="00B85D62" w:rsidRPr="00B85D62" w:rsidRDefault="29556E7B" w:rsidP="0066232B">
      <w:pPr>
        <w:keepNext/>
        <w:rPr>
          <w:rFonts w:cs="Arial"/>
        </w:rPr>
      </w:pPr>
      <w:r w:rsidRPr="00B85D62">
        <w:rPr>
          <w:rFonts w:cs="Arial"/>
        </w:rPr>
        <w:t>A: Gain in event-free life expectancy from diagnosis in males</w:t>
      </w:r>
    </w:p>
    <w:p w14:paraId="2E8D8051" w14:textId="77777777" w:rsidR="00B85D62" w:rsidRPr="00B85D62" w:rsidRDefault="0011266D" w:rsidP="0066232B">
      <w:pPr>
        <w:keepNext/>
        <w:rPr>
          <w:rFonts w:cs="Arial"/>
        </w:rPr>
      </w:pPr>
      <w:r w:rsidRPr="00B85D62">
        <w:rPr>
          <w:rFonts w:cs="Arial"/>
        </w:rPr>
        <w:t>B</w:t>
      </w:r>
      <w:r w:rsidR="29556E7B" w:rsidRPr="00B85D62">
        <w:rPr>
          <w:rFonts w:cs="Arial"/>
        </w:rPr>
        <w:t>: Gain in event-free life expectancy from diagnosis in females</w:t>
      </w:r>
    </w:p>
    <w:p w14:paraId="4D464A70" w14:textId="1CC472B9" w:rsidR="00B85D62" w:rsidRPr="00B85D62" w:rsidRDefault="00B85D62" w:rsidP="0011266D">
      <w:pPr>
        <w:pStyle w:val="Caption"/>
        <w:keepNext/>
      </w:pPr>
      <w:bookmarkStart w:id="217" w:name="_Toc79740233"/>
      <w:bookmarkStart w:id="218" w:name="_Toc107157396"/>
      <w:r w:rsidRPr="00B85D62">
        <w:rPr>
          <w:i/>
          <w:color w:val="FF0000"/>
        </w:rPr>
        <w:t>F</w:t>
      </w:r>
      <w:r w:rsidRPr="00B85D62">
        <w:rPr>
          <w:i/>
          <w:color w:val="FF0000"/>
        </w:rPr>
        <w:t>igure</w:t>
      </w:r>
      <w:r w:rsidRPr="00B85D62">
        <w:rPr>
          <w:i/>
          <w:color w:val="FF0000"/>
        </w:rPr>
        <w:t xml:space="preserve"> </w:t>
      </w:r>
      <w:r w:rsidRPr="00B85D62">
        <w:rPr>
          <w:i/>
          <w:noProof/>
          <w:color w:val="FF0000"/>
        </w:rPr>
        <w:t>14</w:t>
      </w:r>
      <w:r w:rsidR="0011266D" w:rsidRPr="00B85D62">
        <w:rPr>
          <w:rFonts w:eastAsia="Arial" w:cs="Arial"/>
          <w:bCs/>
          <w:iCs w:val="0"/>
          <w:sz w:val="22"/>
          <w:szCs w:val="22"/>
        </w:rPr>
        <w:t xml:space="preserve"> Gain in quality-adjusted life expectancy from diagnosis (not discounted, in QALYs)</w:t>
      </w:r>
      <w:bookmarkEnd w:id="217"/>
      <w:bookmarkEnd w:id="218"/>
    </w:p>
    <w:p w14:paraId="1FA3B929" w14:textId="77777777" w:rsidR="00B85D62" w:rsidRPr="00B85D62" w:rsidRDefault="003250C1" w:rsidP="0066232B">
      <w:pPr>
        <w:keepNext/>
        <w:rPr>
          <w:rFonts w:cs="Arial"/>
        </w:rPr>
      </w:pPr>
      <w:r w:rsidRPr="00B85D62">
        <w:rPr>
          <w:rFonts w:cs="Arial"/>
        </w:rPr>
        <w:t>A: Gain in quality-adjusted life expectancy from diagnosis in males</w:t>
      </w:r>
    </w:p>
    <w:p w14:paraId="7CD113E9" w14:textId="77777777" w:rsidR="00B85D62" w:rsidRPr="00B85D62" w:rsidRDefault="003250C1" w:rsidP="0066232B">
      <w:pPr>
        <w:keepNext/>
        <w:rPr>
          <w:rFonts w:cs="Arial"/>
        </w:rPr>
      </w:pPr>
      <w:r w:rsidRPr="00B85D62">
        <w:rPr>
          <w:rFonts w:cs="Arial"/>
        </w:rPr>
        <w:t>B: Gain in quality-adjusted life expectancy from diagnosis in females</w:t>
      </w:r>
    </w:p>
    <w:p w14:paraId="5735DC2F" w14:textId="67031888" w:rsidR="003250C1" w:rsidRPr="00B85D62" w:rsidRDefault="003250C1" w:rsidP="006C7E71">
      <w:pPr>
        <w:pStyle w:val="Heading4"/>
        <w:numPr>
          <w:ilvl w:val="0"/>
          <w:numId w:val="0"/>
        </w:numPr>
        <w:rPr>
          <w:lang w:eastAsia="en-GB"/>
        </w:rPr>
      </w:pPr>
      <w:r w:rsidRPr="00B85D62">
        <w:rPr>
          <w:lang w:eastAsia="en-GB"/>
        </w:rPr>
        <w:t>Impact of diagnosis on costs</w:t>
      </w:r>
    </w:p>
    <w:p w14:paraId="206664D2" w14:textId="679FC44F" w:rsidR="00B85D62" w:rsidRPr="00B85D62" w:rsidRDefault="00B85D62" w:rsidP="0066232B">
      <w:pPr>
        <w:rPr>
          <w:rFonts w:cs="Arial"/>
          <w:lang w:eastAsia="en-GB"/>
        </w:rPr>
      </w:pPr>
      <w:r w:rsidRPr="00B85D62">
        <w:rPr>
          <w:rFonts w:cs="Arial"/>
          <w:i/>
          <w:color w:val="FF0000"/>
          <w:lang w:eastAsia="en-GB"/>
        </w:rPr>
        <w:t>F</w:t>
      </w:r>
      <w:r w:rsidRPr="00B85D62">
        <w:rPr>
          <w:rFonts w:cs="Arial"/>
          <w:i/>
          <w:color w:val="FF0000"/>
          <w:lang w:eastAsia="en-GB"/>
        </w:rPr>
        <w:t>igure</w:t>
      </w:r>
      <w:r w:rsidRPr="00B85D62">
        <w:rPr>
          <w:rFonts w:cs="Arial"/>
          <w:i/>
          <w:color w:val="FF0000"/>
          <w:lang w:eastAsia="en-GB"/>
        </w:rPr>
        <w:t xml:space="preserve"> </w:t>
      </w:r>
      <w:r w:rsidRPr="00B85D62">
        <w:rPr>
          <w:rFonts w:cs="Arial"/>
          <w:i/>
          <w:color w:val="FF0000"/>
          <w:lang w:eastAsia="en-GB"/>
        </w:rPr>
        <w:t>15</w:t>
      </w:r>
      <w:r w:rsidR="29556E7B" w:rsidRPr="00B85D62">
        <w:rPr>
          <w:rFonts w:cs="Arial"/>
          <w:lang w:eastAsia="en-GB"/>
        </w:rPr>
        <w:t xml:space="preserve"> shows the impact of diagnosis on NHS costs over people</w:t>
      </w:r>
      <w:r w:rsidRPr="00B85D62">
        <w:rPr>
          <w:rFonts w:cs="Arial"/>
          <w:lang w:eastAsia="en-GB"/>
        </w:rPr>
        <w:t>’</w:t>
      </w:r>
      <w:r w:rsidR="29556E7B" w:rsidRPr="00B85D62">
        <w:rPr>
          <w:rFonts w:cs="Arial"/>
          <w:lang w:eastAsia="en-GB"/>
        </w:rPr>
        <w:t xml:space="preserve"> expected lifetime (</w:t>
      </w:r>
      <w:r w:rsidR="008F65EF" w:rsidRPr="00B85D62">
        <w:rPr>
          <w:rFonts w:eastAsia="Arial" w:cs="Arial"/>
          <w:i/>
          <w:color w:val="000000" w:themeColor="text1"/>
        </w:rPr>
        <w:t>Online Supplementary file 3</w:t>
      </w:r>
      <w:r w:rsidR="006C069F" w:rsidRPr="00B85D62">
        <w:rPr>
          <w:rFonts w:cs="Arial"/>
          <w:lang w:eastAsia="en-GB"/>
        </w:rPr>
        <w:t>,</w:t>
      </w:r>
      <w:r w:rsidR="22FDE8B2" w:rsidRPr="00B85D62">
        <w:rPr>
          <w:rFonts w:cs="Arial"/>
          <w:lang w:eastAsia="en-GB"/>
        </w:rPr>
        <w:t xml:space="preserve"> </w:t>
      </w:r>
      <w:r w:rsidR="29556E7B" w:rsidRPr="00B85D62">
        <w:rPr>
          <w:rFonts w:cs="Arial"/>
          <w:lang w:eastAsia="en-GB"/>
        </w:rPr>
        <w:t>see</w:t>
      </w:r>
      <w:r w:rsidR="00895586" w:rsidRPr="00B85D62">
        <w:rPr>
          <w:rFonts w:cs="Arial"/>
          <w:lang w:eastAsia="en-GB"/>
        </w:rPr>
        <w:t xml:space="preserve"> </w:t>
      </w:r>
      <w:r w:rsidRPr="00B85D62">
        <w:rPr>
          <w:rFonts w:cs="Arial"/>
          <w:i/>
          <w:color w:val="FF0000"/>
          <w:lang w:eastAsia="en-GB"/>
        </w:rPr>
        <w:t>F</w:t>
      </w:r>
      <w:r w:rsidRPr="00B85D62">
        <w:rPr>
          <w:rFonts w:cs="Arial"/>
          <w:i/>
          <w:color w:val="FF0000"/>
          <w:lang w:eastAsia="en-GB"/>
        </w:rPr>
        <w:t>igure</w:t>
      </w:r>
      <w:r w:rsidRPr="00B85D62">
        <w:rPr>
          <w:rFonts w:cs="Arial"/>
          <w:i/>
          <w:color w:val="FF0000"/>
          <w:lang w:eastAsia="en-GB"/>
        </w:rPr>
        <w:t xml:space="preserve"> </w:t>
      </w:r>
      <w:r w:rsidRPr="00B85D62">
        <w:rPr>
          <w:rFonts w:cs="Arial"/>
          <w:i/>
          <w:color w:val="FF0000"/>
          <w:lang w:eastAsia="en-GB"/>
        </w:rPr>
        <w:t>7</w:t>
      </w:r>
      <w:r w:rsidR="29556E7B" w:rsidRPr="00B85D62">
        <w:rPr>
          <w:rFonts w:cs="Arial"/>
          <w:lang w:eastAsia="en-GB"/>
        </w:rPr>
        <w:t xml:space="preserve"> for discounted results). In subgroups with lower PT-LDL-C (</w:t>
      </w:r>
      <w:r w:rsidRPr="00B85D62">
        <w:rPr>
          <w:rFonts w:cs="Arial"/>
          <w:color w:val="00B0F0"/>
          <w:lang w:eastAsia="en-GB"/>
        </w:rPr>
        <w:t>&lt;</w:t>
      </w:r>
      <w:r w:rsidRPr="00B85D62">
        <w:rPr>
          <w:rFonts w:cs="Arial"/>
          <w:color w:val="00B0F0"/>
          <w:lang w:eastAsia="en-GB"/>
        </w:rPr>
        <w:t> </w:t>
      </w:r>
      <w:r w:rsidR="29556E7B" w:rsidRPr="00B85D62">
        <w:rPr>
          <w:rFonts w:cs="Arial"/>
          <w:lang w:eastAsia="en-GB"/>
        </w:rPr>
        <w:t>1.5</w:t>
      </w:r>
      <w:r w:rsidRPr="00B85D62">
        <w:rPr>
          <w:rFonts w:cs="Arial"/>
          <w:color w:val="00B0F0"/>
          <w:lang w:eastAsia="en-GB"/>
        </w:rPr>
        <w:t>–</w:t>
      </w:r>
      <w:r w:rsidRPr="00B85D62">
        <w:rPr>
          <w:rFonts w:cs="Arial"/>
          <w:color w:val="00B0F0"/>
          <w:lang w:eastAsia="en-GB"/>
        </w:rPr>
        <w:t>3</w:t>
      </w:r>
      <w:r w:rsidR="29556E7B" w:rsidRPr="00B85D62">
        <w:rPr>
          <w:rFonts w:cs="Arial"/>
          <w:lang w:eastAsia="en-GB"/>
        </w:rPr>
        <w:t xml:space="preserve">.5 mmol/L depending on age and prior CVD history), diagnosis increases costs. This is because the risk of CVD events in these people is lower, and the </w:t>
      </w:r>
      <w:r w:rsidR="752118E5" w:rsidRPr="00B85D62">
        <w:rPr>
          <w:rFonts w:cs="Arial"/>
          <w:lang w:eastAsia="en-GB"/>
        </w:rPr>
        <w:t xml:space="preserve">risk </w:t>
      </w:r>
      <w:r w:rsidR="29556E7B" w:rsidRPr="00B85D62">
        <w:rPr>
          <w:rFonts w:cs="Arial"/>
          <w:lang w:eastAsia="en-GB"/>
        </w:rPr>
        <w:t xml:space="preserve">reduction </w:t>
      </w:r>
      <w:r w:rsidR="29556E7B" w:rsidRPr="00B85D62">
        <w:rPr>
          <w:rFonts w:cs="Arial"/>
          <w:highlight w:val="magenta"/>
          <w:lang w:eastAsia="en-GB"/>
        </w:rPr>
        <w:t>due to</w:t>
      </w:r>
      <w:r w:rsidR="29556E7B" w:rsidRPr="00B85D62">
        <w:rPr>
          <w:rFonts w:cs="Arial"/>
          <w:lang w:eastAsia="en-GB"/>
        </w:rPr>
        <w:t xml:space="preserve"> diagnosis is also lower, as it depends on their PT-LDL-C. Therefore, the additional costs of LLT and monitoring are not fully offset by the savings in the costs of the avoided CVD events. The cost increase is more pronounced in younger subgroups with lower PT-LDL-C because they incur monitoring costs from diagnosis, are treated from 10 years of age, but benefit from CVD events only from 25 years of age. With greater levels of PT-LDL-C, the diagnosis results in larger savings in younger subgroups (than older subgroups), as their </w:t>
      </w:r>
      <w:r w:rsidR="00D94476" w:rsidRPr="00B85D62">
        <w:rPr>
          <w:rFonts w:cs="Arial"/>
          <w:lang w:eastAsia="en-GB"/>
        </w:rPr>
        <w:t>cardiovascular</w:t>
      </w:r>
      <w:r w:rsidR="00D94476" w:rsidRPr="00B85D62" w:rsidDel="00D94476">
        <w:rPr>
          <w:rFonts w:cs="Arial"/>
          <w:lang w:eastAsia="en-GB"/>
        </w:rPr>
        <w:t xml:space="preserve"> </w:t>
      </w:r>
      <w:r w:rsidR="29556E7B" w:rsidRPr="00B85D62">
        <w:rPr>
          <w:rFonts w:cs="Arial"/>
          <w:lang w:eastAsia="en-GB"/>
        </w:rPr>
        <w:t xml:space="preserve">risk is higher and diagnosis prevents a larger number of CVD events. The savings are greater in subgroups with prior CVD history because they are at higher risk of CVD events. The additional costs of FH diagnosis are mostly </w:t>
      </w:r>
      <w:r w:rsidR="29556E7B" w:rsidRPr="00B85D62">
        <w:rPr>
          <w:rFonts w:cs="Arial"/>
          <w:highlight w:val="magenta"/>
          <w:lang w:eastAsia="en-GB"/>
        </w:rPr>
        <w:t>due to</w:t>
      </w:r>
      <w:r w:rsidR="29556E7B" w:rsidRPr="00B85D62">
        <w:rPr>
          <w:rFonts w:cs="Arial"/>
          <w:lang w:eastAsia="en-GB"/>
        </w:rPr>
        <w:t xml:space="preserve"> monitoring given the small acquisition cost of statins.</w:t>
      </w:r>
    </w:p>
    <w:p w14:paraId="1AE0EBE0" w14:textId="71BE1555" w:rsidR="00B85D62" w:rsidRPr="00B85D62" w:rsidRDefault="00B85D62" w:rsidP="0011266D">
      <w:pPr>
        <w:pStyle w:val="Caption"/>
        <w:keepNext/>
      </w:pPr>
      <w:bookmarkStart w:id="219" w:name="_Toc79740234"/>
      <w:bookmarkStart w:id="220" w:name="_Toc107157397"/>
      <w:r w:rsidRPr="00B85D62">
        <w:rPr>
          <w:i/>
          <w:color w:val="FF0000"/>
        </w:rPr>
        <w:t>F</w:t>
      </w:r>
      <w:r w:rsidRPr="00B85D62">
        <w:rPr>
          <w:i/>
          <w:color w:val="FF0000"/>
        </w:rPr>
        <w:t>igure</w:t>
      </w:r>
      <w:r w:rsidRPr="00B85D62">
        <w:rPr>
          <w:i/>
          <w:color w:val="FF0000"/>
        </w:rPr>
        <w:t xml:space="preserve"> </w:t>
      </w:r>
      <w:r w:rsidRPr="00B85D62">
        <w:rPr>
          <w:i/>
          <w:noProof/>
          <w:color w:val="FF0000"/>
        </w:rPr>
        <w:t>15</w:t>
      </w:r>
      <w:r w:rsidR="0011266D" w:rsidRPr="00B85D62">
        <w:t xml:space="preserve"> </w:t>
      </w:r>
      <w:r w:rsidR="0011266D" w:rsidRPr="00B85D62">
        <w:rPr>
          <w:rFonts w:eastAsia="Arial" w:cs="Arial"/>
          <w:bCs/>
          <w:iCs w:val="0"/>
          <w:sz w:val="22"/>
          <w:szCs w:val="22"/>
        </w:rPr>
        <w:t>Impact of FH diagnosis on costs, discounted to their present value</w:t>
      </w:r>
      <w:bookmarkEnd w:id="219"/>
      <w:bookmarkEnd w:id="220"/>
    </w:p>
    <w:p w14:paraId="58D21558" w14:textId="77777777" w:rsidR="00B85D62" w:rsidRPr="00B85D62" w:rsidRDefault="0011266D" w:rsidP="0066232B">
      <w:pPr>
        <w:keepNext/>
        <w:rPr>
          <w:rFonts w:cs="Arial"/>
        </w:rPr>
      </w:pPr>
      <w:r w:rsidRPr="00B85D62">
        <w:rPr>
          <w:rFonts w:cs="Arial"/>
        </w:rPr>
        <w:t>A</w:t>
      </w:r>
      <w:r w:rsidR="29556E7B" w:rsidRPr="00B85D62">
        <w:rPr>
          <w:rFonts w:cs="Arial"/>
        </w:rPr>
        <w:t>: Impact of FH diagnosis on NHS costs in males (undiscounted)</w:t>
      </w:r>
    </w:p>
    <w:p w14:paraId="5613AEB6" w14:textId="77777777" w:rsidR="00B85D62" w:rsidRPr="00B85D62" w:rsidRDefault="0011266D" w:rsidP="0066232B">
      <w:pPr>
        <w:keepNext/>
        <w:rPr>
          <w:rFonts w:cs="Arial"/>
        </w:rPr>
      </w:pPr>
      <w:r w:rsidRPr="00B85D62">
        <w:rPr>
          <w:rFonts w:cs="Arial"/>
        </w:rPr>
        <w:t>B</w:t>
      </w:r>
      <w:r w:rsidR="29556E7B" w:rsidRPr="00B85D62">
        <w:rPr>
          <w:rFonts w:cs="Arial"/>
        </w:rPr>
        <w:t>: Impact of FH diagnosis on NHS costs in females (undiscounted)</w:t>
      </w:r>
    </w:p>
    <w:p w14:paraId="5C1A6BBE" w14:textId="77777777" w:rsidR="00B85D62" w:rsidRPr="00B85D62" w:rsidRDefault="003250C1" w:rsidP="006C7E71">
      <w:pPr>
        <w:pStyle w:val="Heading4"/>
        <w:numPr>
          <w:ilvl w:val="0"/>
          <w:numId w:val="0"/>
        </w:numPr>
        <w:rPr>
          <w:lang w:eastAsia="en-GB"/>
        </w:rPr>
      </w:pPr>
      <w:r w:rsidRPr="00B85D62">
        <w:rPr>
          <w:lang w:eastAsia="en-GB"/>
        </w:rPr>
        <w:t>Impact of diagnosis on net health to the NHS</w:t>
      </w:r>
    </w:p>
    <w:p w14:paraId="22478272" w14:textId="28AE8140" w:rsidR="003250C1" w:rsidRPr="00B85D62" w:rsidRDefault="00B85D62" w:rsidP="0066232B">
      <w:pPr>
        <w:rPr>
          <w:rFonts w:cs="Arial"/>
          <w:lang w:eastAsia="en-GB"/>
        </w:rPr>
      </w:pPr>
      <w:r w:rsidRPr="00B85D62">
        <w:rPr>
          <w:rFonts w:cs="Arial"/>
          <w:i/>
          <w:color w:val="FF0000"/>
          <w:lang w:eastAsia="en-GB"/>
        </w:rPr>
        <w:t>F</w:t>
      </w:r>
      <w:r w:rsidRPr="00B85D62">
        <w:rPr>
          <w:rFonts w:cs="Arial"/>
          <w:i/>
          <w:color w:val="FF0000"/>
          <w:lang w:eastAsia="en-GB"/>
        </w:rPr>
        <w:t>igure</w:t>
      </w:r>
      <w:r w:rsidRPr="00B85D62">
        <w:rPr>
          <w:rFonts w:cs="Arial"/>
          <w:i/>
          <w:color w:val="FF0000"/>
          <w:lang w:eastAsia="en-GB"/>
        </w:rPr>
        <w:t xml:space="preserve"> </w:t>
      </w:r>
      <w:r w:rsidRPr="00B85D62">
        <w:rPr>
          <w:rFonts w:cs="Arial"/>
          <w:i/>
          <w:color w:val="FF0000"/>
          <w:lang w:eastAsia="en-GB"/>
        </w:rPr>
        <w:t>16</w:t>
      </w:r>
      <w:r w:rsidR="29556E7B" w:rsidRPr="00B85D62">
        <w:rPr>
          <w:rFonts w:cs="Arial"/>
          <w:lang w:eastAsia="en-GB"/>
        </w:rPr>
        <w:t xml:space="preserve"> shows the net health gain of diagnosis at a cost-effectiveness threshold of £15,000/QALY, discounted to present values (</w:t>
      </w:r>
      <w:r w:rsidR="5E175D95" w:rsidRPr="00B85D62">
        <w:rPr>
          <w:rFonts w:cs="Arial"/>
          <w:lang w:eastAsia="en-GB"/>
        </w:rPr>
        <w:t xml:space="preserve">also in </w:t>
      </w:r>
      <w:r w:rsidR="0086298A" w:rsidRPr="00B85D62">
        <w:rPr>
          <w:rFonts w:eastAsia="Arial" w:cs="Arial"/>
          <w:i/>
          <w:color w:val="000000" w:themeColor="text1"/>
        </w:rPr>
        <w:t xml:space="preserve">Online Supplementary file </w:t>
      </w:r>
      <w:r w:rsidR="000237C6" w:rsidRPr="00B85D62">
        <w:rPr>
          <w:rFonts w:eastAsia="Arial" w:cs="Arial"/>
          <w:i/>
          <w:color w:val="000000" w:themeColor="text1"/>
        </w:rPr>
        <w:t>4</w:t>
      </w:r>
      <w:r w:rsidR="0086298A" w:rsidRPr="00B85D62">
        <w:rPr>
          <w:rFonts w:eastAsia="Arial" w:cs="Arial"/>
          <w:color w:val="000000" w:themeColor="text1"/>
        </w:rPr>
        <w:t xml:space="preserve"> </w:t>
      </w:r>
      <w:r w:rsidR="0086298A" w:rsidRPr="00B85D62">
        <w:rPr>
          <w:rFonts w:cs="Arial"/>
          <w:i/>
        </w:rPr>
        <w:t>(</w:t>
      </w:r>
      <w:r w:rsidR="000237C6" w:rsidRPr="00B85D62">
        <w:rPr>
          <w:rFonts w:cs="Arial"/>
          <w:i/>
        </w:rPr>
        <w:t>Cost</w:t>
      </w:r>
      <w:r w:rsidRPr="00B85D62">
        <w:rPr>
          <w:rFonts w:cs="Arial"/>
          <w:i/>
        </w:rPr>
        <w:t xml:space="preserve"> </w:t>
      </w:r>
      <w:r w:rsidR="000237C6" w:rsidRPr="00B85D62">
        <w:rPr>
          <w:rFonts w:cs="Arial"/>
          <w:i/>
        </w:rPr>
        <w:t>and Health Benefits</w:t>
      </w:r>
      <w:r w:rsidR="0086298A" w:rsidRPr="00B85D62">
        <w:rPr>
          <w:rFonts w:cs="Arial"/>
          <w:i/>
        </w:rPr>
        <w:t>)</w:t>
      </w:r>
      <w:r w:rsidR="00823C9F" w:rsidRPr="00B85D62">
        <w:rPr>
          <w:rFonts w:cs="Arial"/>
          <w:lang w:eastAsia="en-GB"/>
        </w:rPr>
        <w:t>,</w:t>
      </w:r>
      <w:r w:rsidR="006A155D" w:rsidRPr="00B85D62">
        <w:rPr>
          <w:rFonts w:cs="Arial"/>
          <w:lang w:eastAsia="en-GB"/>
        </w:rPr>
        <w:t xml:space="preserve"> </w:t>
      </w:r>
      <w:r w:rsidRPr="00B85D62">
        <w:rPr>
          <w:rFonts w:cs="Arial"/>
          <w:i/>
          <w:color w:val="FF0000"/>
          <w:lang w:eastAsia="en-GB"/>
        </w:rPr>
        <w:t>F</w:t>
      </w:r>
      <w:r w:rsidRPr="00B85D62">
        <w:rPr>
          <w:rFonts w:cs="Arial"/>
          <w:i/>
          <w:color w:val="FF0000"/>
          <w:lang w:eastAsia="en-GB"/>
        </w:rPr>
        <w:t>igure</w:t>
      </w:r>
      <w:r w:rsidRPr="00B85D62">
        <w:rPr>
          <w:rFonts w:cs="Arial"/>
          <w:i/>
          <w:color w:val="FF0000"/>
          <w:lang w:eastAsia="en-GB"/>
        </w:rPr>
        <w:t xml:space="preserve"> </w:t>
      </w:r>
      <w:r w:rsidRPr="00B85D62">
        <w:rPr>
          <w:rFonts w:cs="Arial"/>
          <w:i/>
          <w:color w:val="FF0000"/>
          <w:lang w:eastAsia="en-GB"/>
        </w:rPr>
        <w:t>8</w:t>
      </w:r>
      <w:r w:rsidR="29556E7B" w:rsidRPr="00B85D62">
        <w:rPr>
          <w:rFonts w:cs="Arial"/>
          <w:i/>
          <w:iCs/>
          <w:lang w:eastAsia="en-GB"/>
        </w:rPr>
        <w:t xml:space="preserve"> </w:t>
      </w:r>
      <w:r w:rsidR="29556E7B" w:rsidRPr="00B85D62">
        <w:rPr>
          <w:rFonts w:cs="Arial"/>
          <w:lang w:eastAsia="en-GB"/>
        </w:rPr>
        <w:t xml:space="preserve">for results according to the cost-effectiveness threshold of £20,000/QALY). </w:t>
      </w:r>
      <w:r w:rsidR="00BA146D" w:rsidRPr="00B85D62">
        <w:rPr>
          <w:rFonts w:cs="Arial"/>
          <w:lang w:eastAsia="en-GB"/>
        </w:rPr>
        <w:t xml:space="preserve">The net health gain from diagnosis ranged between </w:t>
      </w:r>
      <w:r w:rsidRPr="00B85D62">
        <w:rPr>
          <w:rFonts w:cs="Arial"/>
          <w:color w:val="00B0F0"/>
          <w:lang w:eastAsia="en-GB"/>
        </w:rPr>
        <w:t>–</w:t>
      </w:r>
      <w:r w:rsidRPr="00B85D62">
        <w:rPr>
          <w:rFonts w:cs="Arial"/>
          <w:color w:val="00B0F0"/>
          <w:lang w:eastAsia="en-GB"/>
        </w:rPr>
        <w:t>0</w:t>
      </w:r>
      <w:r w:rsidR="00BA146D" w:rsidRPr="00B85D62">
        <w:rPr>
          <w:rFonts w:cs="Arial"/>
          <w:lang w:eastAsia="en-GB"/>
        </w:rPr>
        <w:t xml:space="preserve">.27 to 2.51 QALYs at the £15,000/QALY threshold. </w:t>
      </w:r>
      <w:r w:rsidR="29556E7B" w:rsidRPr="00B85D62">
        <w:rPr>
          <w:rFonts w:cs="Arial"/>
          <w:lang w:eastAsia="en-GB"/>
        </w:rPr>
        <w:t>In males (</w:t>
      </w:r>
      <w:r w:rsidRPr="00B85D62">
        <w:rPr>
          <w:rFonts w:cs="Arial"/>
          <w:i/>
          <w:color w:val="FF0000"/>
          <w:lang w:eastAsia="en-GB"/>
        </w:rPr>
        <w:t>F</w:t>
      </w:r>
      <w:r w:rsidRPr="00B85D62">
        <w:rPr>
          <w:rFonts w:cs="Arial"/>
          <w:i/>
          <w:color w:val="FF0000"/>
          <w:lang w:eastAsia="en-GB"/>
        </w:rPr>
        <w:t>igure</w:t>
      </w:r>
      <w:r w:rsidRPr="00B85D62">
        <w:rPr>
          <w:rFonts w:cs="Arial"/>
          <w:i/>
          <w:color w:val="FF0000"/>
          <w:lang w:eastAsia="en-GB"/>
        </w:rPr>
        <w:t xml:space="preserve"> </w:t>
      </w:r>
      <w:r w:rsidRPr="00B85D62">
        <w:rPr>
          <w:rFonts w:cs="Arial"/>
          <w:i/>
          <w:color w:val="FF0000"/>
          <w:lang w:eastAsia="en-GB"/>
        </w:rPr>
        <w:t>1</w:t>
      </w:r>
      <w:r w:rsidRPr="00B85D62">
        <w:rPr>
          <w:rFonts w:cs="Arial"/>
          <w:i/>
          <w:color w:val="00B0F0"/>
          <w:lang w:eastAsia="en-GB"/>
        </w:rPr>
        <w:t>6</w:t>
      </w:r>
      <w:r w:rsidRPr="00B85D62">
        <w:rPr>
          <w:rFonts w:cs="Arial"/>
          <w:i/>
          <w:color w:val="00B0F0"/>
          <w:lang w:eastAsia="en-GB"/>
        </w:rPr>
        <w:t> </w:t>
      </w:r>
      <w:r w:rsidRPr="00B85D62">
        <w:rPr>
          <w:rFonts w:cs="Arial"/>
          <w:color w:val="00B0F0"/>
          <w:lang w:eastAsia="en-GB"/>
        </w:rPr>
        <w:t>A)</w:t>
      </w:r>
      <w:r w:rsidR="29556E7B" w:rsidRPr="00B85D62">
        <w:rPr>
          <w:rFonts w:cs="Arial"/>
          <w:lang w:eastAsia="en-GB"/>
        </w:rPr>
        <w:t xml:space="preserve">, diagnosis represents a net health gain for the NHS for most people unless their PT-LDL-C </w:t>
      </w:r>
      <w:r w:rsidRPr="00B85D62">
        <w:rPr>
          <w:rFonts w:cs="Arial"/>
          <w:color w:val="00B0F0"/>
          <w:lang w:eastAsia="en-GB"/>
        </w:rPr>
        <w:t>&lt;</w:t>
      </w:r>
      <w:r w:rsidRPr="00B85D62">
        <w:rPr>
          <w:rFonts w:cs="Arial"/>
          <w:color w:val="00B0F0"/>
          <w:lang w:eastAsia="en-GB"/>
        </w:rPr>
        <w:t> </w:t>
      </w:r>
      <w:r w:rsidR="29556E7B" w:rsidRPr="00B85D62">
        <w:rPr>
          <w:rFonts w:cs="Arial"/>
          <w:lang w:eastAsia="en-GB"/>
        </w:rPr>
        <w:t xml:space="preserve">1.5 mmol/L if aged </w:t>
      </w:r>
      <w:r w:rsidRPr="00B85D62">
        <w:rPr>
          <w:rFonts w:cs="Arial"/>
          <w:color w:val="00B0F0"/>
          <w:lang w:eastAsia="en-GB"/>
        </w:rPr>
        <w:t>&lt;</w:t>
      </w:r>
      <w:r w:rsidRPr="00B85D62">
        <w:rPr>
          <w:rFonts w:cs="Arial"/>
          <w:color w:val="00B0F0"/>
          <w:lang w:eastAsia="en-GB"/>
        </w:rPr>
        <w:t> </w:t>
      </w:r>
      <w:r w:rsidR="29556E7B" w:rsidRPr="00B85D62">
        <w:rPr>
          <w:rFonts w:cs="Arial"/>
          <w:lang w:eastAsia="en-GB"/>
        </w:rPr>
        <w:t xml:space="preserve">39 years or PT-LDL-C </w:t>
      </w:r>
      <w:r w:rsidRPr="00B85D62">
        <w:rPr>
          <w:rFonts w:cs="Arial"/>
          <w:color w:val="00B0F0"/>
          <w:lang w:eastAsia="en-GB"/>
        </w:rPr>
        <w:t>&lt;</w:t>
      </w:r>
      <w:r w:rsidRPr="00B85D62">
        <w:rPr>
          <w:rFonts w:cs="Arial"/>
          <w:color w:val="00B0F0"/>
          <w:lang w:eastAsia="en-GB"/>
        </w:rPr>
        <w:t> </w:t>
      </w:r>
      <w:r w:rsidR="29556E7B" w:rsidRPr="00B85D62">
        <w:rPr>
          <w:rFonts w:cs="Arial"/>
          <w:lang w:eastAsia="en-GB"/>
        </w:rPr>
        <w:t>0.5 mmol/L if aged &gt;= 40 or had prior CVD history. The results are similar in females (</w:t>
      </w:r>
      <w:r w:rsidRPr="00B85D62">
        <w:rPr>
          <w:rFonts w:cs="Arial"/>
          <w:i/>
          <w:color w:val="FF0000"/>
          <w:lang w:eastAsia="en-GB"/>
        </w:rPr>
        <w:t>F</w:t>
      </w:r>
      <w:r w:rsidRPr="00B85D62">
        <w:rPr>
          <w:rFonts w:cs="Arial"/>
          <w:i/>
          <w:color w:val="FF0000"/>
          <w:lang w:eastAsia="en-GB"/>
        </w:rPr>
        <w:t>igure</w:t>
      </w:r>
      <w:r w:rsidRPr="00B85D62">
        <w:rPr>
          <w:rFonts w:cs="Arial"/>
          <w:i/>
          <w:color w:val="FF0000"/>
          <w:lang w:eastAsia="en-GB"/>
        </w:rPr>
        <w:t xml:space="preserve"> </w:t>
      </w:r>
      <w:r w:rsidRPr="00B85D62">
        <w:rPr>
          <w:rFonts w:cs="Arial"/>
          <w:i/>
          <w:color w:val="FF0000"/>
          <w:lang w:eastAsia="en-GB"/>
        </w:rPr>
        <w:t>16</w:t>
      </w:r>
      <w:r w:rsidR="29556E7B" w:rsidRPr="00B85D62">
        <w:rPr>
          <w:rFonts w:cs="Arial"/>
          <w:lang w:eastAsia="en-GB"/>
        </w:rPr>
        <w:t>B), although the net health gains are generally not as large, and diagnosis is not net health gain for people with PT-LDL-C &lt;= 2.5 mmol/L aged 0</w:t>
      </w:r>
      <w:r w:rsidRPr="00B85D62">
        <w:rPr>
          <w:rFonts w:cs="Arial"/>
          <w:color w:val="00B0F0"/>
          <w:lang w:eastAsia="en-GB"/>
        </w:rPr>
        <w:t>–</w:t>
      </w:r>
      <w:r w:rsidRPr="00B85D62">
        <w:rPr>
          <w:rFonts w:cs="Arial"/>
          <w:color w:val="00B0F0"/>
          <w:lang w:eastAsia="en-GB"/>
        </w:rPr>
        <w:t>3</w:t>
      </w:r>
      <w:r w:rsidR="29556E7B" w:rsidRPr="00B85D62">
        <w:rPr>
          <w:rFonts w:cs="Arial"/>
          <w:lang w:eastAsia="en-GB"/>
        </w:rPr>
        <w:t>9 years of age. This is because females are at lower risk of CVD events.</w:t>
      </w:r>
    </w:p>
    <w:p w14:paraId="5C11632F" w14:textId="77777777" w:rsidR="00B85D62" w:rsidRPr="00B85D62" w:rsidRDefault="29556E7B" w:rsidP="0066232B">
      <w:pPr>
        <w:rPr>
          <w:rFonts w:cs="Arial"/>
          <w:lang w:eastAsia="en-GB"/>
        </w:rPr>
      </w:pPr>
      <w:r w:rsidRPr="00B85D62">
        <w:rPr>
          <w:rFonts w:cs="Arial"/>
          <w:lang w:eastAsia="en-GB"/>
        </w:rPr>
        <w:t xml:space="preserve">The net health gain increases with PT-LDL-C. The pattern of net health gain by age is not as clear, </w:t>
      </w:r>
      <w:r w:rsidRPr="00B85D62">
        <w:rPr>
          <w:rFonts w:cs="Arial"/>
          <w:highlight w:val="magenta"/>
          <w:lang w:eastAsia="en-GB"/>
        </w:rPr>
        <w:t>due to</w:t>
      </w:r>
      <w:r w:rsidRPr="00B85D62">
        <w:rPr>
          <w:rFonts w:cs="Arial"/>
          <w:lang w:eastAsia="en-GB"/>
        </w:rPr>
        <w:t xml:space="preserve"> the effect of discounting and the age at which we assumed people start being at risk of CVD events (25 years of age in the base-case). As a result, people diagnosed younger start incurring costs but only derive benefits later in life, both of which are discounted to present values at 3.5% per annum.</w:t>
      </w:r>
    </w:p>
    <w:p w14:paraId="462A4E24" w14:textId="72040D79" w:rsidR="00B85D62" w:rsidRPr="00B85D62" w:rsidRDefault="29556E7B" w:rsidP="0066232B">
      <w:pPr>
        <w:rPr>
          <w:rFonts w:cs="Arial"/>
          <w:lang w:eastAsia="en-GB"/>
        </w:rPr>
      </w:pPr>
      <w:r w:rsidRPr="00B85D62">
        <w:rPr>
          <w:rFonts w:cs="Arial"/>
          <w:lang w:eastAsia="en-GB"/>
        </w:rPr>
        <w:t xml:space="preserve">The probability that diagnosis is a net health gain to the NHS (i.e. cost-effective) follows a similar pattern (see </w:t>
      </w:r>
      <w:r w:rsidR="00B85D62" w:rsidRPr="00B85D62">
        <w:rPr>
          <w:rFonts w:cs="Arial"/>
          <w:i/>
          <w:color w:val="FF0000"/>
          <w:lang w:eastAsia="en-GB"/>
        </w:rPr>
        <w:t>F</w:t>
      </w:r>
      <w:r w:rsidR="00B85D62" w:rsidRPr="00B85D62">
        <w:rPr>
          <w:rFonts w:cs="Arial"/>
          <w:i/>
          <w:color w:val="FF0000"/>
          <w:lang w:eastAsia="en-GB"/>
        </w:rPr>
        <w:t>igure</w:t>
      </w:r>
      <w:r w:rsidR="00B85D62" w:rsidRPr="00B85D62">
        <w:rPr>
          <w:rFonts w:cs="Arial"/>
          <w:i/>
          <w:color w:val="FF0000"/>
          <w:lang w:eastAsia="en-GB"/>
        </w:rPr>
        <w:t xml:space="preserve"> </w:t>
      </w:r>
      <w:r w:rsidR="00B85D62" w:rsidRPr="00B85D62">
        <w:rPr>
          <w:rFonts w:cs="Arial"/>
          <w:i/>
          <w:color w:val="FF0000"/>
          <w:lang w:eastAsia="en-GB"/>
        </w:rPr>
        <w:t>9</w:t>
      </w:r>
      <w:r w:rsidR="74245C64" w:rsidRPr="00B85D62">
        <w:rPr>
          <w:rFonts w:cs="Arial"/>
          <w:lang w:eastAsia="en-GB"/>
        </w:rPr>
        <w:t xml:space="preserve"> in </w:t>
      </w:r>
      <w:r w:rsidR="0086298A" w:rsidRPr="00B85D62">
        <w:rPr>
          <w:rFonts w:eastAsia="Arial" w:cs="Arial"/>
          <w:i/>
          <w:color w:val="000000" w:themeColor="text1"/>
        </w:rPr>
        <w:t xml:space="preserve">Online Supplementary file </w:t>
      </w:r>
      <w:r w:rsidR="000237C6" w:rsidRPr="00B85D62">
        <w:rPr>
          <w:rFonts w:eastAsia="Arial" w:cs="Arial"/>
          <w:i/>
          <w:color w:val="000000" w:themeColor="text1"/>
        </w:rPr>
        <w:t>4</w:t>
      </w:r>
      <w:r w:rsidRPr="00B85D62">
        <w:rPr>
          <w:rFonts w:cs="Arial"/>
          <w:lang w:eastAsia="en-GB"/>
        </w:rPr>
        <w:t xml:space="preserve">). The probability is close to 1 in most subgroups in whom diagnosis is a net health gain, and close to zero in subgroups where the diagnosis is a net health loss (e.g. subgroups with PT-LDL-C </w:t>
      </w:r>
      <w:r w:rsidR="00B85D62" w:rsidRPr="00B85D62">
        <w:rPr>
          <w:rFonts w:cs="Arial"/>
          <w:color w:val="00B0F0"/>
          <w:lang w:eastAsia="en-GB"/>
        </w:rPr>
        <w:t>&lt;</w:t>
      </w:r>
      <w:r w:rsidR="00B85D62" w:rsidRPr="00B85D62">
        <w:rPr>
          <w:rFonts w:cs="Arial"/>
          <w:color w:val="00B0F0"/>
          <w:lang w:eastAsia="en-GB"/>
        </w:rPr>
        <w:t> </w:t>
      </w:r>
      <w:r w:rsidRPr="00B85D62">
        <w:rPr>
          <w:rFonts w:cs="Arial"/>
          <w:lang w:eastAsia="en-GB"/>
        </w:rPr>
        <w:t>1.5 mmol/L and no prior CVD history).</w:t>
      </w:r>
    </w:p>
    <w:p w14:paraId="7BF409AE" w14:textId="7330A74F" w:rsidR="00B85D62" w:rsidRPr="00B85D62" w:rsidRDefault="00B85D62" w:rsidP="0011266D">
      <w:pPr>
        <w:pStyle w:val="Caption"/>
        <w:keepNext/>
        <w:rPr>
          <w:b w:val="0"/>
          <w:bCs/>
        </w:rPr>
      </w:pPr>
      <w:bookmarkStart w:id="221" w:name="_Toc79740235"/>
      <w:bookmarkStart w:id="222" w:name="_Toc107157398"/>
      <w:r w:rsidRPr="00B85D62">
        <w:rPr>
          <w:b w:val="0"/>
          <w:bCs/>
          <w:i/>
          <w:color w:val="FF0000"/>
        </w:rPr>
        <w:t>F</w:t>
      </w:r>
      <w:r w:rsidRPr="00B85D62">
        <w:rPr>
          <w:b w:val="0"/>
          <w:bCs/>
          <w:i/>
          <w:color w:val="FF0000"/>
        </w:rPr>
        <w:t>igure</w:t>
      </w:r>
      <w:r w:rsidRPr="00B85D62">
        <w:rPr>
          <w:b w:val="0"/>
          <w:bCs/>
          <w:i/>
          <w:color w:val="FF0000"/>
        </w:rPr>
        <w:t xml:space="preserve"> </w:t>
      </w:r>
      <w:r w:rsidRPr="00B85D62">
        <w:rPr>
          <w:b w:val="0"/>
          <w:bCs/>
          <w:i/>
          <w:noProof/>
          <w:color w:val="FF0000"/>
        </w:rPr>
        <w:t>16</w:t>
      </w:r>
      <w:r w:rsidR="0011266D" w:rsidRPr="00B85D62">
        <w:rPr>
          <w:b w:val="0"/>
          <w:bCs/>
        </w:rPr>
        <w:t xml:space="preserve"> Net health gain of FH diagnosis and treatment </w:t>
      </w:r>
      <w:r w:rsidR="0011266D" w:rsidRPr="00B85D62">
        <w:rPr>
          <w:b w:val="0"/>
          <w:bCs/>
          <w:highlight w:val="magenta"/>
        </w:rPr>
        <w:t>compared to</w:t>
      </w:r>
      <w:r w:rsidR="0011266D" w:rsidRPr="00B85D62">
        <w:rPr>
          <w:b w:val="0"/>
          <w:bCs/>
        </w:rPr>
        <w:t xml:space="preserve"> no diagnosis and no treatment results by pre-treatment </w:t>
      </w:r>
      <w:r w:rsidR="005A1731" w:rsidRPr="00B85D62">
        <w:rPr>
          <w:b w:val="0"/>
          <w:bCs/>
        </w:rPr>
        <w:t>LDL-C</w:t>
      </w:r>
      <w:r w:rsidR="0011266D" w:rsidRPr="00B85D62">
        <w:rPr>
          <w:b w:val="0"/>
          <w:bCs/>
        </w:rPr>
        <w:t xml:space="preserve">, in quality-adjusted </w:t>
      </w:r>
      <w:r w:rsidRPr="00B85D62">
        <w:rPr>
          <w:b w:val="0"/>
          <w:bCs/>
          <w:color w:val="00B0F0"/>
        </w:rPr>
        <w:t>life-year</w:t>
      </w:r>
      <w:r w:rsidR="0011266D" w:rsidRPr="00B85D62">
        <w:rPr>
          <w:b w:val="0"/>
          <w:bCs/>
        </w:rPr>
        <w:t>s per individual, at a cost-effectiveness threshold of £15,000/QALY</w:t>
      </w:r>
      <w:bookmarkEnd w:id="221"/>
      <w:bookmarkEnd w:id="222"/>
    </w:p>
    <w:p w14:paraId="7AC51C37" w14:textId="77777777" w:rsidR="00B85D62" w:rsidRPr="00B85D62" w:rsidRDefault="0011266D" w:rsidP="0066232B">
      <w:pPr>
        <w:rPr>
          <w:rFonts w:cs="Arial"/>
        </w:rPr>
      </w:pPr>
      <w:r w:rsidRPr="00B85D62">
        <w:rPr>
          <w:rFonts w:cs="Arial"/>
        </w:rPr>
        <w:t>A</w:t>
      </w:r>
      <w:r w:rsidR="29556E7B" w:rsidRPr="00B85D62">
        <w:rPr>
          <w:rFonts w:cs="Arial"/>
        </w:rPr>
        <w:t>: Males</w:t>
      </w:r>
    </w:p>
    <w:p w14:paraId="262182EB" w14:textId="5C2461B4" w:rsidR="003250C1" w:rsidRPr="00B85D62" w:rsidRDefault="0011266D" w:rsidP="0066232B">
      <w:pPr>
        <w:rPr>
          <w:rFonts w:cs="Arial"/>
          <w:lang w:eastAsia="en-GB"/>
        </w:rPr>
      </w:pPr>
      <w:r w:rsidRPr="00B85D62">
        <w:rPr>
          <w:rFonts w:cs="Arial"/>
          <w:lang w:eastAsia="en-GB"/>
        </w:rPr>
        <w:t>B</w:t>
      </w:r>
      <w:r w:rsidR="29556E7B" w:rsidRPr="00B85D62">
        <w:rPr>
          <w:rFonts w:cs="Arial"/>
          <w:lang w:eastAsia="en-GB"/>
        </w:rPr>
        <w:t>: Females</w:t>
      </w:r>
    </w:p>
    <w:p w14:paraId="607A1797" w14:textId="77777777" w:rsidR="00B85D62" w:rsidRPr="00B85D62" w:rsidRDefault="003250C1" w:rsidP="0066232B">
      <w:pPr>
        <w:rPr>
          <w:rFonts w:cs="Arial"/>
          <w:sz w:val="18"/>
          <w:szCs w:val="18"/>
          <w:lang w:eastAsia="en-GB"/>
        </w:rPr>
      </w:pPr>
      <w:r w:rsidRPr="00B85D62">
        <w:rPr>
          <w:rFonts w:cs="Arial"/>
          <w:sz w:val="18"/>
          <w:szCs w:val="18"/>
          <w:lang w:eastAsia="en-GB"/>
        </w:rPr>
        <w:t>CVD: cardiovascular disease. LDL-C: Low-density lipoprotein cholesterol. Results are probabilistic.</w:t>
      </w:r>
    </w:p>
    <w:p w14:paraId="669108DA" w14:textId="3E087A79" w:rsidR="00B85D62" w:rsidRPr="00B85D62" w:rsidRDefault="003250C1" w:rsidP="0066232B">
      <w:pPr>
        <w:rPr>
          <w:rFonts w:cs="Arial"/>
          <w:sz w:val="18"/>
          <w:szCs w:val="18"/>
          <w:lang w:eastAsia="en-GB"/>
        </w:rPr>
      </w:pPr>
      <w:r w:rsidRPr="00B85D62">
        <w:rPr>
          <w:rFonts w:cs="Arial"/>
          <w:sz w:val="18"/>
          <w:szCs w:val="18"/>
          <w:lang w:eastAsia="en-GB"/>
        </w:rPr>
        <w:t>Net health gain</w:t>
      </w:r>
      <w:r w:rsidR="00B85D62" w:rsidRPr="00B85D62">
        <w:rPr>
          <w:rFonts w:cs="Arial"/>
          <w:color w:val="00B0F0"/>
          <w:sz w:val="18"/>
          <w:szCs w:val="18"/>
          <w:lang w:eastAsia="en-GB"/>
        </w:rPr>
        <w:t>=(</w:t>
      </w:r>
      <w:r w:rsidRPr="00B85D62">
        <w:rPr>
          <w:rFonts w:cs="Arial"/>
          <w:sz w:val="18"/>
          <w:szCs w:val="18"/>
          <w:lang w:eastAsia="en-GB"/>
        </w:rPr>
        <w:t>QALYs if individual group was diagnosed – QALYs if individual group was not diagnosed</w:t>
      </w:r>
      <w:r w:rsidR="00B85D62" w:rsidRPr="00B85D62">
        <w:rPr>
          <w:rFonts w:cs="Arial"/>
          <w:color w:val="00B0F0"/>
          <w:sz w:val="18"/>
          <w:szCs w:val="18"/>
          <w:lang w:eastAsia="en-GB"/>
        </w:rPr>
        <w:t>)</w:t>
      </w:r>
      <w:r w:rsidR="00B85D62" w:rsidRPr="00B85D62">
        <w:rPr>
          <w:rFonts w:cs="Arial"/>
          <w:color w:val="00B0F0"/>
          <w:sz w:val="18"/>
          <w:szCs w:val="18"/>
          <w:lang w:eastAsia="en-GB"/>
        </w:rPr>
        <w:t xml:space="preserve"> – </w:t>
      </w:r>
      <w:r w:rsidR="00B85D62" w:rsidRPr="00B85D62">
        <w:rPr>
          <w:rFonts w:cs="Arial"/>
          <w:color w:val="00B0F0"/>
          <w:sz w:val="18"/>
          <w:szCs w:val="18"/>
          <w:lang w:eastAsia="en-GB"/>
        </w:rPr>
        <w:t>(</w:t>
      </w:r>
      <w:r w:rsidRPr="00B85D62">
        <w:rPr>
          <w:rFonts w:cs="Arial"/>
          <w:sz w:val="18"/>
          <w:szCs w:val="18"/>
          <w:lang w:eastAsia="en-GB"/>
        </w:rPr>
        <w:t>costs if individual group was diagnosed – costs if individual group was not diagnosed</w:t>
      </w:r>
      <w:r w:rsidR="00B85D62" w:rsidRPr="00B85D62">
        <w:rPr>
          <w:rFonts w:cs="Arial"/>
          <w:color w:val="00B0F0"/>
          <w:sz w:val="18"/>
          <w:szCs w:val="18"/>
          <w:lang w:eastAsia="en-GB"/>
        </w:rPr>
        <w:t>)/</w:t>
      </w:r>
      <w:r w:rsidRPr="00B85D62">
        <w:rPr>
          <w:rFonts w:cs="Arial"/>
          <w:sz w:val="18"/>
          <w:szCs w:val="18"/>
          <w:lang w:eastAsia="en-GB"/>
        </w:rPr>
        <w:t>cost-effectiveness threshold at £15,000/QALY</w:t>
      </w:r>
    </w:p>
    <w:p w14:paraId="5C3EE1FF" w14:textId="76D86469" w:rsidR="003250C1" w:rsidRPr="00B85D62" w:rsidRDefault="003250C1" w:rsidP="006C7E71">
      <w:pPr>
        <w:pStyle w:val="Heading4"/>
        <w:numPr>
          <w:ilvl w:val="0"/>
          <w:numId w:val="0"/>
        </w:numPr>
        <w:rPr>
          <w:i/>
          <w:lang w:eastAsia="en-GB"/>
        </w:rPr>
      </w:pPr>
      <w:r w:rsidRPr="00B85D62">
        <w:rPr>
          <w:lang w:eastAsia="en-GB"/>
        </w:rPr>
        <w:t>Uncertainty analysis</w:t>
      </w:r>
    </w:p>
    <w:p w14:paraId="7370C887" w14:textId="5002FAEE" w:rsidR="003250C1" w:rsidRPr="00B85D62" w:rsidRDefault="00B85D62" w:rsidP="0066232B">
      <w:pPr>
        <w:rPr>
          <w:rFonts w:cs="Arial"/>
          <w:lang w:eastAsia="en-GB"/>
        </w:rPr>
      </w:pPr>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15</w:t>
      </w:r>
      <w:r w:rsidR="00200E58" w:rsidRPr="00B85D62">
        <w:rPr>
          <w:rFonts w:cs="Arial"/>
          <w:lang w:eastAsia="en-GB"/>
        </w:rPr>
        <w:t xml:space="preserve"> </w:t>
      </w:r>
      <w:r w:rsidR="29556E7B" w:rsidRPr="00B85D62">
        <w:rPr>
          <w:rFonts w:cs="Arial"/>
          <w:lang w:eastAsia="en-GB"/>
        </w:rPr>
        <w:t>summarises the results of the scenario analysis (details</w:t>
      </w:r>
      <w:r w:rsidR="29556E7B" w:rsidRPr="00B85D62">
        <w:rPr>
          <w:rFonts w:cs="Arial"/>
          <w:iCs/>
          <w:lang w:eastAsia="en-GB"/>
        </w:rPr>
        <w:t xml:space="preserve"> in </w:t>
      </w:r>
      <w:r w:rsidR="006C4BC8" w:rsidRPr="00B85D62">
        <w:rPr>
          <w:rFonts w:eastAsia="Arial" w:cs="Arial"/>
          <w:i/>
          <w:color w:val="000000" w:themeColor="text1"/>
        </w:rPr>
        <w:t xml:space="preserve">Online Supplementary file </w:t>
      </w:r>
      <w:r w:rsidR="00E84D8B" w:rsidRPr="00B85D62">
        <w:rPr>
          <w:rFonts w:eastAsia="Arial" w:cs="Arial"/>
          <w:i/>
          <w:color w:val="000000" w:themeColor="text1"/>
        </w:rPr>
        <w:t>4</w:t>
      </w:r>
      <w:r w:rsidR="27FA351A" w:rsidRPr="00B85D62">
        <w:rPr>
          <w:rFonts w:cs="Arial"/>
          <w:iCs/>
          <w:lang w:eastAsia="en-GB"/>
        </w:rPr>
        <w:t>,</w:t>
      </w:r>
      <w:r w:rsidR="29556E7B" w:rsidRPr="00B85D62">
        <w:rPr>
          <w:rFonts w:cs="Arial"/>
          <w:iCs/>
          <w:lang w:eastAsia="en-GB"/>
        </w:rPr>
        <w:t xml:space="preserve"> </w:t>
      </w:r>
      <w:r w:rsidRPr="00B85D62">
        <w:rPr>
          <w:rFonts w:cs="Arial"/>
          <w:i/>
          <w:iCs/>
          <w:color w:val="FF0000"/>
          <w:lang w:eastAsia="en-GB"/>
        </w:rPr>
        <w:t>T</w:t>
      </w:r>
      <w:r w:rsidRPr="00B85D62">
        <w:rPr>
          <w:rFonts w:cs="Arial"/>
          <w:i/>
          <w:iCs/>
          <w:color w:val="FF0000"/>
          <w:lang w:eastAsia="en-GB"/>
        </w:rPr>
        <w:t>able</w:t>
      </w:r>
      <w:r w:rsidRPr="00B85D62">
        <w:rPr>
          <w:rFonts w:cs="Arial"/>
          <w:i/>
          <w:iCs/>
          <w:color w:val="FF0000"/>
          <w:lang w:eastAsia="en-GB"/>
        </w:rPr>
        <w:t xml:space="preserve"> </w:t>
      </w:r>
      <w:r w:rsidRPr="00B85D62">
        <w:rPr>
          <w:rFonts w:cs="Arial"/>
          <w:i/>
          <w:iCs/>
          <w:color w:val="FF0000"/>
          <w:lang w:eastAsia="en-GB"/>
        </w:rPr>
        <w:t>28</w:t>
      </w:r>
      <w:r w:rsidR="29556E7B" w:rsidRPr="00B85D62">
        <w:rPr>
          <w:rFonts w:cs="Arial"/>
          <w:lang w:eastAsia="en-GB"/>
        </w:rPr>
        <w:t>). Diagnosis was a net health gain in the base-case and all scenarios in most of the subgroups (cells in white). In the subgroups with PT-LDL-C &gt;= 2.5 mmol/L, diagnosis was a net health gain in most of base-case and scenarios (cells in light grey). In the subgroups with no prior CVD and low PT-LDL-C (0.5</w:t>
      </w:r>
      <w:r w:rsidRPr="00B85D62">
        <w:rPr>
          <w:rFonts w:cs="Arial"/>
          <w:color w:val="00B0F0"/>
          <w:lang w:eastAsia="en-GB"/>
        </w:rPr>
        <w:t>–</w:t>
      </w:r>
      <w:r w:rsidRPr="00B85D62">
        <w:rPr>
          <w:rFonts w:cs="Arial"/>
          <w:color w:val="00B0F0"/>
          <w:lang w:eastAsia="en-GB"/>
        </w:rPr>
        <w:t>1</w:t>
      </w:r>
      <w:r w:rsidR="29556E7B" w:rsidRPr="00B85D62">
        <w:rPr>
          <w:rFonts w:cs="Arial"/>
          <w:lang w:eastAsia="en-GB"/>
        </w:rPr>
        <w:t xml:space="preserve">.5 mmol/L), diagnosis was not a net health gain in any (cells in </w:t>
      </w:r>
      <w:r w:rsidR="29556E7B" w:rsidRPr="00B85D62">
        <w:rPr>
          <w:rFonts w:cs="Arial"/>
          <w:highlight w:val="magenta"/>
          <w:lang w:eastAsia="en-GB"/>
        </w:rPr>
        <w:t>black</w:t>
      </w:r>
      <w:r w:rsidR="29556E7B" w:rsidRPr="00B85D62">
        <w:rPr>
          <w:rFonts w:cs="Arial"/>
          <w:lang w:eastAsia="en-GB"/>
        </w:rPr>
        <w:t>) or most of the scenarios (cells in dark grey).</w:t>
      </w:r>
    </w:p>
    <w:p w14:paraId="33EC8896" w14:textId="55D3B70B" w:rsidR="00200E58" w:rsidRPr="00B85D62" w:rsidRDefault="00B85D62" w:rsidP="00200E58">
      <w:pPr>
        <w:pStyle w:val="Caption"/>
        <w:keepNext/>
        <w:rPr>
          <w:rFonts w:cs="Arial"/>
        </w:rPr>
      </w:pPr>
      <w:bookmarkStart w:id="223" w:name="_Toc79740210"/>
      <w:bookmarkStart w:id="224" w:name="_Toc107157369"/>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15</w:t>
      </w:r>
      <w:r w:rsidR="00200E58" w:rsidRPr="00B85D62">
        <w:rPr>
          <w:rFonts w:cs="Arial"/>
        </w:rPr>
        <w:t xml:space="preserve"> Results of the scenario analysis</w:t>
      </w:r>
      <w:bookmarkEnd w:id="223"/>
      <w:bookmarkEnd w:id="224"/>
    </w:p>
    <w:tbl>
      <w:tblPr>
        <w:tblW w:w="0" w:type="auto"/>
        <w:tblCellMar>
          <w:top w:w="40" w:type="dxa"/>
          <w:left w:w="60" w:type="dxa"/>
          <w:bottom w:w="40" w:type="dxa"/>
          <w:right w:w="60" w:type="dxa"/>
        </w:tblCellMar>
        <w:tblLook w:val="04A0" w:firstRow="1" w:lastRow="0" w:firstColumn="1" w:lastColumn="0" w:noHBand="0" w:noVBand="1"/>
      </w:tblPr>
      <w:tblGrid>
        <w:gridCol w:w="1576"/>
        <w:gridCol w:w="661"/>
        <w:gridCol w:w="820"/>
        <w:gridCol w:w="820"/>
        <w:gridCol w:w="1118"/>
        <w:gridCol w:w="1044"/>
        <w:gridCol w:w="1044"/>
        <w:gridCol w:w="999"/>
        <w:gridCol w:w="944"/>
      </w:tblGrid>
      <w:tr w:rsidR="003250C1" w:rsidRPr="00B85D62" w14:paraId="0C3E9E22" w14:textId="77777777" w:rsidTr="00B85D62">
        <w:trPr>
          <w:cantSplit/>
        </w:trPr>
        <w:tc>
          <w:tcPr>
            <w:tcW w:w="0" w:type="auto"/>
            <w:vMerge w:val="restart"/>
            <w:shd w:val="clear" w:color="auto" w:fill="auto"/>
            <w:vAlign w:val="center"/>
          </w:tcPr>
          <w:p w14:paraId="02F7A6E2" w14:textId="77777777" w:rsidR="003250C1" w:rsidRPr="00B85D62" w:rsidRDefault="003250C1" w:rsidP="0066232B">
            <w:pPr>
              <w:rPr>
                <w:rFonts w:cs="Arial"/>
                <w:color w:val="000000"/>
                <w:lang w:eastAsia="en-GB"/>
              </w:rPr>
            </w:pPr>
            <w:r w:rsidRPr="00B85D62">
              <w:rPr>
                <w:rFonts w:cs="Arial"/>
                <w:lang w:eastAsia="en-GB"/>
              </w:rPr>
              <w:t>PT-LDL-C, in mmol/L</w:t>
            </w:r>
          </w:p>
        </w:tc>
        <w:tc>
          <w:tcPr>
            <w:tcW w:w="0" w:type="auto"/>
            <w:gridSpan w:val="5"/>
            <w:shd w:val="clear" w:color="auto" w:fill="auto"/>
            <w:vAlign w:val="center"/>
          </w:tcPr>
          <w:p w14:paraId="71C9E199" w14:textId="77777777" w:rsidR="003250C1" w:rsidRPr="00B85D62" w:rsidRDefault="003250C1" w:rsidP="0066232B">
            <w:pPr>
              <w:jc w:val="center"/>
              <w:rPr>
                <w:rFonts w:cs="Arial"/>
                <w:color w:val="000000"/>
                <w:lang w:eastAsia="en-GB"/>
              </w:rPr>
            </w:pPr>
            <w:r w:rsidRPr="00B85D62">
              <w:rPr>
                <w:rFonts w:cs="Arial"/>
                <w:lang w:eastAsia="en-GB"/>
              </w:rPr>
              <w:t>No prior cardiovascular disease</w:t>
            </w:r>
          </w:p>
        </w:tc>
        <w:tc>
          <w:tcPr>
            <w:tcW w:w="0" w:type="auto"/>
            <w:gridSpan w:val="3"/>
            <w:shd w:val="clear" w:color="auto" w:fill="auto"/>
            <w:vAlign w:val="center"/>
          </w:tcPr>
          <w:p w14:paraId="68E09EF2" w14:textId="77777777" w:rsidR="003250C1" w:rsidRPr="00B85D62" w:rsidRDefault="003250C1" w:rsidP="0066232B">
            <w:pPr>
              <w:jc w:val="center"/>
              <w:rPr>
                <w:rFonts w:cs="Arial"/>
                <w:lang w:eastAsia="en-GB"/>
              </w:rPr>
            </w:pPr>
            <w:r w:rsidRPr="00B85D62">
              <w:rPr>
                <w:rFonts w:cs="Arial"/>
                <w:lang w:eastAsia="en-GB"/>
              </w:rPr>
              <w:t>With prior cardiovascular disease</w:t>
            </w:r>
          </w:p>
        </w:tc>
      </w:tr>
      <w:tr w:rsidR="00B85D62" w:rsidRPr="00B85D62" w14:paraId="5189EA28" w14:textId="77777777" w:rsidTr="00B85D62">
        <w:trPr>
          <w:cantSplit/>
        </w:trPr>
        <w:tc>
          <w:tcPr>
            <w:tcW w:w="0" w:type="auto"/>
            <w:vMerge/>
            <w:shd w:val="clear" w:color="auto" w:fill="auto"/>
            <w:vAlign w:val="center"/>
            <w:hideMark/>
          </w:tcPr>
          <w:p w14:paraId="59452743" w14:textId="77777777" w:rsidR="003250C1" w:rsidRPr="00B85D62" w:rsidRDefault="003250C1" w:rsidP="0066232B">
            <w:pPr>
              <w:rPr>
                <w:rFonts w:cs="Arial"/>
                <w:color w:val="000000"/>
                <w:lang w:eastAsia="en-GB"/>
              </w:rPr>
            </w:pPr>
          </w:p>
        </w:tc>
        <w:tc>
          <w:tcPr>
            <w:tcW w:w="0" w:type="auto"/>
            <w:shd w:val="clear" w:color="auto" w:fill="auto"/>
            <w:vAlign w:val="center"/>
            <w:hideMark/>
          </w:tcPr>
          <w:p w14:paraId="4D0015EC" w14:textId="78D21CB8" w:rsidR="003250C1" w:rsidRPr="00B85D62" w:rsidRDefault="003250C1" w:rsidP="0066232B">
            <w:pPr>
              <w:rPr>
                <w:rFonts w:cs="Arial"/>
                <w:color w:val="000000"/>
                <w:lang w:eastAsia="en-GB"/>
              </w:rPr>
            </w:pPr>
            <w:r w:rsidRPr="00B85D62">
              <w:rPr>
                <w:rFonts w:cs="Arial"/>
                <w:lang w:eastAsia="en-GB"/>
              </w:rPr>
              <w:t>Age 0</w:t>
            </w:r>
            <w:r w:rsidR="00B85D62" w:rsidRPr="00B85D62">
              <w:rPr>
                <w:rFonts w:cs="Arial"/>
                <w:color w:val="00B0F0"/>
                <w:lang w:eastAsia="en-GB"/>
              </w:rPr>
              <w:t>–</w:t>
            </w:r>
            <w:r w:rsidR="00B85D62" w:rsidRPr="00B85D62">
              <w:rPr>
                <w:rFonts w:cs="Arial"/>
                <w:color w:val="00B0F0"/>
                <w:lang w:eastAsia="en-GB"/>
              </w:rPr>
              <w:t>9</w:t>
            </w:r>
            <w:r w:rsidRPr="00B85D62">
              <w:rPr>
                <w:rFonts w:cs="Arial"/>
                <w:lang w:eastAsia="en-GB"/>
              </w:rPr>
              <w:t xml:space="preserve"> </w:t>
            </w:r>
          </w:p>
        </w:tc>
        <w:tc>
          <w:tcPr>
            <w:tcW w:w="0" w:type="auto"/>
            <w:shd w:val="clear" w:color="auto" w:fill="auto"/>
            <w:vAlign w:val="center"/>
            <w:hideMark/>
          </w:tcPr>
          <w:p w14:paraId="1755DDBF" w14:textId="6E8F5EFD" w:rsidR="003250C1" w:rsidRPr="00B85D62" w:rsidRDefault="003250C1" w:rsidP="0066232B">
            <w:pPr>
              <w:jc w:val="center"/>
              <w:rPr>
                <w:rFonts w:cs="Arial"/>
                <w:color w:val="000000"/>
                <w:lang w:eastAsia="en-GB"/>
              </w:rPr>
            </w:pPr>
            <w:r w:rsidRPr="00B85D62">
              <w:rPr>
                <w:rFonts w:cs="Arial"/>
                <w:lang w:eastAsia="en-GB"/>
              </w:rPr>
              <w:t>Age 10</w:t>
            </w:r>
            <w:r w:rsidR="00B85D62" w:rsidRPr="00B85D62">
              <w:rPr>
                <w:rFonts w:cs="Arial"/>
                <w:color w:val="00B0F0"/>
                <w:lang w:eastAsia="en-GB"/>
              </w:rPr>
              <w:t>–</w:t>
            </w:r>
            <w:r w:rsidR="00B85D62" w:rsidRPr="00B85D62">
              <w:rPr>
                <w:rFonts w:cs="Arial"/>
                <w:color w:val="00B0F0"/>
                <w:lang w:eastAsia="en-GB"/>
              </w:rPr>
              <w:t>1</w:t>
            </w:r>
            <w:r w:rsidRPr="00B85D62">
              <w:rPr>
                <w:rFonts w:cs="Arial"/>
                <w:lang w:eastAsia="en-GB"/>
              </w:rPr>
              <w:t>7</w:t>
            </w:r>
          </w:p>
        </w:tc>
        <w:tc>
          <w:tcPr>
            <w:tcW w:w="0" w:type="auto"/>
            <w:shd w:val="clear" w:color="auto" w:fill="auto"/>
            <w:vAlign w:val="center"/>
            <w:hideMark/>
          </w:tcPr>
          <w:p w14:paraId="5428A826" w14:textId="0BD684C9" w:rsidR="003250C1" w:rsidRPr="00B85D62" w:rsidRDefault="003250C1" w:rsidP="0066232B">
            <w:pPr>
              <w:jc w:val="center"/>
              <w:rPr>
                <w:rFonts w:cs="Arial"/>
                <w:color w:val="000000"/>
                <w:lang w:eastAsia="en-GB"/>
              </w:rPr>
            </w:pPr>
            <w:r w:rsidRPr="00B85D62">
              <w:rPr>
                <w:rFonts w:cs="Arial"/>
                <w:lang w:eastAsia="en-GB"/>
              </w:rPr>
              <w:t>Age 18</w:t>
            </w:r>
            <w:r w:rsidR="00B85D62" w:rsidRPr="00B85D62">
              <w:rPr>
                <w:rFonts w:cs="Arial"/>
                <w:color w:val="00B0F0"/>
                <w:lang w:eastAsia="en-GB"/>
              </w:rPr>
              <w:t>–</w:t>
            </w:r>
            <w:r w:rsidR="00B85D62" w:rsidRPr="00B85D62">
              <w:rPr>
                <w:rFonts w:cs="Arial"/>
                <w:color w:val="00B0F0"/>
                <w:lang w:eastAsia="en-GB"/>
              </w:rPr>
              <w:t>3</w:t>
            </w:r>
            <w:r w:rsidRPr="00B85D62">
              <w:rPr>
                <w:rFonts w:cs="Arial"/>
                <w:lang w:eastAsia="en-GB"/>
              </w:rPr>
              <w:t>9</w:t>
            </w:r>
          </w:p>
        </w:tc>
        <w:tc>
          <w:tcPr>
            <w:tcW w:w="0" w:type="auto"/>
            <w:shd w:val="clear" w:color="auto" w:fill="auto"/>
            <w:vAlign w:val="center"/>
            <w:hideMark/>
          </w:tcPr>
          <w:p w14:paraId="36C7A9C0" w14:textId="5A8B597D" w:rsidR="003250C1" w:rsidRPr="00B85D62" w:rsidRDefault="003250C1" w:rsidP="0066232B">
            <w:pPr>
              <w:jc w:val="center"/>
              <w:rPr>
                <w:rFonts w:cs="Arial"/>
                <w:color w:val="000000"/>
                <w:lang w:eastAsia="en-GB"/>
              </w:rPr>
            </w:pPr>
            <w:r w:rsidRPr="00B85D62">
              <w:rPr>
                <w:rFonts w:cs="Arial"/>
                <w:lang w:eastAsia="en-GB"/>
              </w:rPr>
              <w:t>Age 40</w:t>
            </w:r>
            <w:r w:rsidR="00B85D62" w:rsidRPr="00B85D62">
              <w:rPr>
                <w:rFonts w:cs="Arial"/>
                <w:color w:val="00B0F0"/>
                <w:lang w:eastAsia="en-GB"/>
              </w:rPr>
              <w:t>–</w:t>
            </w:r>
            <w:r w:rsidR="00B85D62" w:rsidRPr="00B85D62">
              <w:rPr>
                <w:rFonts w:cs="Arial"/>
                <w:color w:val="00B0F0"/>
                <w:lang w:eastAsia="en-GB"/>
              </w:rPr>
              <w:t>5</w:t>
            </w:r>
            <w:r w:rsidRPr="00B85D62">
              <w:rPr>
                <w:rFonts w:cs="Arial"/>
                <w:lang w:eastAsia="en-GB"/>
              </w:rPr>
              <w:t>9 No CVD</w:t>
            </w:r>
          </w:p>
        </w:tc>
        <w:tc>
          <w:tcPr>
            <w:tcW w:w="0" w:type="auto"/>
            <w:shd w:val="clear" w:color="auto" w:fill="auto"/>
            <w:vAlign w:val="center"/>
            <w:hideMark/>
          </w:tcPr>
          <w:p w14:paraId="24C7EC77" w14:textId="3AD5F74B" w:rsidR="003250C1" w:rsidRPr="00B85D62" w:rsidRDefault="003250C1" w:rsidP="0066232B">
            <w:pPr>
              <w:jc w:val="center"/>
              <w:rPr>
                <w:rFonts w:cs="Arial"/>
                <w:color w:val="000000"/>
                <w:lang w:eastAsia="en-GB"/>
              </w:rPr>
            </w:pPr>
            <w:r w:rsidRPr="00B85D62">
              <w:rPr>
                <w:rFonts w:cs="Arial"/>
                <w:lang w:eastAsia="en-GB"/>
              </w:rPr>
              <w:t>Age 6</w:t>
            </w:r>
            <w:r w:rsidR="00B85D62" w:rsidRPr="00B85D62">
              <w:rPr>
                <w:rFonts w:cs="Arial"/>
                <w:color w:val="00B0F0"/>
                <w:lang w:eastAsia="en-GB"/>
              </w:rPr>
              <w:t>0</w:t>
            </w:r>
            <w:r w:rsidR="00B85D62" w:rsidRPr="00B85D62">
              <w:rPr>
                <w:rFonts w:cs="Arial"/>
                <w:color w:val="00B0F0"/>
                <w:lang w:eastAsia="en-GB"/>
              </w:rPr>
              <w:t> </w:t>
            </w:r>
            <w:r w:rsidR="00B85D62" w:rsidRPr="00B85D62">
              <w:rPr>
                <w:rFonts w:cs="Arial"/>
                <w:color w:val="00B0F0"/>
                <w:lang w:eastAsia="en-GB"/>
              </w:rPr>
              <w:t>+</w:t>
            </w:r>
            <w:r w:rsidRPr="00B85D62">
              <w:rPr>
                <w:rFonts w:cs="Arial"/>
                <w:lang w:eastAsia="en-GB"/>
              </w:rPr>
              <w:t xml:space="preserve"> No CVD</w:t>
            </w:r>
          </w:p>
        </w:tc>
        <w:tc>
          <w:tcPr>
            <w:tcW w:w="0" w:type="auto"/>
            <w:shd w:val="clear" w:color="auto" w:fill="auto"/>
            <w:vAlign w:val="center"/>
            <w:hideMark/>
          </w:tcPr>
          <w:p w14:paraId="24C7502C" w14:textId="0FDB8DC3" w:rsidR="003250C1" w:rsidRPr="00B85D62" w:rsidRDefault="003250C1" w:rsidP="0066232B">
            <w:pPr>
              <w:jc w:val="center"/>
              <w:rPr>
                <w:rFonts w:cs="Arial"/>
                <w:color w:val="000000"/>
                <w:lang w:eastAsia="en-GB"/>
              </w:rPr>
            </w:pPr>
            <w:r w:rsidRPr="00B85D62">
              <w:rPr>
                <w:rFonts w:cs="Arial"/>
                <w:lang w:eastAsia="en-GB"/>
              </w:rPr>
              <w:t>Age 18</w:t>
            </w:r>
            <w:r w:rsidR="00B85D62" w:rsidRPr="00B85D62">
              <w:rPr>
                <w:rFonts w:cs="Arial"/>
                <w:color w:val="00B0F0"/>
                <w:lang w:eastAsia="en-GB"/>
              </w:rPr>
              <w:t>–</w:t>
            </w:r>
            <w:r w:rsidR="00B85D62" w:rsidRPr="00B85D62">
              <w:rPr>
                <w:rFonts w:cs="Arial"/>
                <w:color w:val="00B0F0"/>
                <w:lang w:eastAsia="en-GB"/>
              </w:rPr>
              <w:t>3</w:t>
            </w:r>
            <w:r w:rsidRPr="00B85D62">
              <w:rPr>
                <w:rFonts w:cs="Arial"/>
                <w:lang w:eastAsia="en-GB"/>
              </w:rPr>
              <w:t>9 Prior CVD</w:t>
            </w:r>
          </w:p>
        </w:tc>
        <w:tc>
          <w:tcPr>
            <w:tcW w:w="0" w:type="auto"/>
            <w:shd w:val="clear" w:color="auto" w:fill="auto"/>
            <w:vAlign w:val="center"/>
            <w:hideMark/>
          </w:tcPr>
          <w:p w14:paraId="0D5B71A4" w14:textId="2215B83A" w:rsidR="003250C1" w:rsidRPr="00B85D62" w:rsidRDefault="003250C1" w:rsidP="0066232B">
            <w:pPr>
              <w:jc w:val="center"/>
              <w:rPr>
                <w:rFonts w:cs="Arial"/>
                <w:color w:val="000000"/>
                <w:lang w:eastAsia="en-GB"/>
              </w:rPr>
            </w:pPr>
            <w:r w:rsidRPr="00B85D62">
              <w:rPr>
                <w:rFonts w:cs="Arial"/>
                <w:lang w:eastAsia="en-GB"/>
              </w:rPr>
              <w:t>Age 40</w:t>
            </w:r>
            <w:r w:rsidR="00B85D62" w:rsidRPr="00B85D62">
              <w:rPr>
                <w:rFonts w:cs="Arial"/>
                <w:color w:val="00B0F0"/>
                <w:lang w:eastAsia="en-GB"/>
              </w:rPr>
              <w:t>–</w:t>
            </w:r>
            <w:r w:rsidR="00B85D62" w:rsidRPr="00B85D62">
              <w:rPr>
                <w:rFonts w:cs="Arial"/>
                <w:color w:val="00B0F0"/>
                <w:lang w:eastAsia="en-GB"/>
              </w:rPr>
              <w:t>5</w:t>
            </w:r>
            <w:r w:rsidRPr="00B85D62">
              <w:rPr>
                <w:rFonts w:cs="Arial"/>
                <w:lang w:eastAsia="en-GB"/>
              </w:rPr>
              <w:t>9 Prior CVD</w:t>
            </w:r>
          </w:p>
        </w:tc>
        <w:tc>
          <w:tcPr>
            <w:tcW w:w="0" w:type="auto"/>
            <w:shd w:val="clear" w:color="auto" w:fill="auto"/>
            <w:vAlign w:val="center"/>
            <w:hideMark/>
          </w:tcPr>
          <w:p w14:paraId="08236943" w14:textId="3DC4B958" w:rsidR="003250C1" w:rsidRPr="00B85D62" w:rsidRDefault="003250C1" w:rsidP="0066232B">
            <w:pPr>
              <w:jc w:val="center"/>
              <w:rPr>
                <w:rFonts w:cs="Arial"/>
                <w:lang w:eastAsia="en-GB"/>
              </w:rPr>
            </w:pPr>
            <w:r w:rsidRPr="00B85D62">
              <w:rPr>
                <w:rFonts w:cs="Arial"/>
                <w:lang w:eastAsia="en-GB"/>
              </w:rPr>
              <w:t>Age 6</w:t>
            </w:r>
            <w:r w:rsidR="00B85D62" w:rsidRPr="00B85D62">
              <w:rPr>
                <w:rFonts w:cs="Arial"/>
                <w:color w:val="00B0F0"/>
                <w:lang w:eastAsia="en-GB"/>
              </w:rPr>
              <w:t>0</w:t>
            </w:r>
            <w:r w:rsidR="00B85D62" w:rsidRPr="00B85D62">
              <w:rPr>
                <w:rFonts w:cs="Arial"/>
                <w:color w:val="00B0F0"/>
                <w:lang w:eastAsia="en-GB"/>
              </w:rPr>
              <w:t> </w:t>
            </w:r>
            <w:r w:rsidR="00B85D62" w:rsidRPr="00B85D62">
              <w:rPr>
                <w:rFonts w:cs="Arial"/>
                <w:color w:val="00B0F0"/>
                <w:lang w:eastAsia="en-GB"/>
              </w:rPr>
              <w:t>+</w:t>
            </w:r>
            <w:r w:rsidRPr="00B85D62">
              <w:rPr>
                <w:rFonts w:cs="Arial"/>
                <w:lang w:eastAsia="en-GB"/>
              </w:rPr>
              <w:t xml:space="preserve"> Prior CVD</w:t>
            </w:r>
          </w:p>
        </w:tc>
      </w:tr>
      <w:tr w:rsidR="00B85D62" w:rsidRPr="00B85D62" w14:paraId="453DC829" w14:textId="77777777" w:rsidTr="00B85D62">
        <w:trPr>
          <w:cantSplit/>
        </w:trPr>
        <w:tc>
          <w:tcPr>
            <w:tcW w:w="0" w:type="auto"/>
            <w:shd w:val="clear" w:color="auto" w:fill="E7E6E6" w:themeFill="background2"/>
            <w:vAlign w:val="center"/>
          </w:tcPr>
          <w:p w14:paraId="32E8F0ED" w14:textId="77777777" w:rsidR="003250C1" w:rsidRPr="00B85D62" w:rsidRDefault="003250C1" w:rsidP="0066232B">
            <w:pPr>
              <w:rPr>
                <w:rFonts w:cs="Arial"/>
                <w:b/>
                <w:bCs/>
                <w:color w:val="000000"/>
                <w:lang w:eastAsia="en-GB"/>
              </w:rPr>
            </w:pPr>
            <w:r w:rsidRPr="00B85D62">
              <w:rPr>
                <w:rFonts w:cs="Arial"/>
                <w:b/>
                <w:bCs/>
                <w:lang w:eastAsia="en-GB"/>
              </w:rPr>
              <w:t>Males</w:t>
            </w:r>
          </w:p>
        </w:tc>
        <w:tc>
          <w:tcPr>
            <w:tcW w:w="0" w:type="auto"/>
            <w:shd w:val="clear" w:color="auto" w:fill="E7E6E6" w:themeFill="background2"/>
            <w:vAlign w:val="center"/>
          </w:tcPr>
          <w:p w14:paraId="2D6F7942"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288BA58E"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105B047E"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0EC80954"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2B1A8DCB"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34BE7A04"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0A5BBA0E"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7BFD7350" w14:textId="77777777" w:rsidR="003250C1" w:rsidRPr="00B85D62" w:rsidRDefault="003250C1" w:rsidP="0066232B">
            <w:pPr>
              <w:rPr>
                <w:rFonts w:cs="Arial"/>
                <w:b/>
                <w:bCs/>
                <w:lang w:eastAsia="en-GB"/>
              </w:rPr>
            </w:pPr>
          </w:p>
        </w:tc>
      </w:tr>
      <w:tr w:rsidR="00B85D62" w:rsidRPr="00B85D62" w14:paraId="7FFC0CB9" w14:textId="77777777" w:rsidTr="00B85D62">
        <w:trPr>
          <w:cantSplit/>
        </w:trPr>
        <w:tc>
          <w:tcPr>
            <w:tcW w:w="0" w:type="auto"/>
            <w:shd w:val="clear" w:color="auto" w:fill="auto"/>
            <w:noWrap/>
            <w:vAlign w:val="bottom"/>
            <w:hideMark/>
          </w:tcPr>
          <w:p w14:paraId="6E34AFB9" w14:textId="77777777" w:rsidR="003250C1" w:rsidRPr="00B85D62" w:rsidRDefault="003250C1" w:rsidP="0066232B">
            <w:pPr>
              <w:jc w:val="right"/>
              <w:rPr>
                <w:rFonts w:cs="Arial"/>
                <w:lang w:eastAsia="en-GB"/>
              </w:rPr>
            </w:pPr>
            <w:r w:rsidRPr="00B85D62">
              <w:rPr>
                <w:rFonts w:cs="Arial"/>
                <w:lang w:eastAsia="en-GB"/>
              </w:rPr>
              <w:t>0.5</w:t>
            </w:r>
          </w:p>
        </w:tc>
        <w:tc>
          <w:tcPr>
            <w:tcW w:w="0" w:type="auto"/>
            <w:shd w:val="clear" w:color="auto" w:fill="000000" w:themeFill="text1"/>
            <w:noWrap/>
            <w:vAlign w:val="bottom"/>
            <w:hideMark/>
          </w:tcPr>
          <w:p w14:paraId="76463C72"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000000" w:themeFill="text1"/>
            <w:noWrap/>
            <w:vAlign w:val="bottom"/>
            <w:hideMark/>
          </w:tcPr>
          <w:p w14:paraId="7F89E582"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000000" w:themeFill="text1"/>
            <w:noWrap/>
            <w:vAlign w:val="bottom"/>
            <w:hideMark/>
          </w:tcPr>
          <w:p w14:paraId="6836B56B"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000000" w:themeFill="text1"/>
            <w:noWrap/>
            <w:vAlign w:val="bottom"/>
            <w:hideMark/>
          </w:tcPr>
          <w:p w14:paraId="15DABA31"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404040" w:themeFill="text1" w:themeFillTint="BF"/>
            <w:noWrap/>
            <w:vAlign w:val="bottom"/>
            <w:hideMark/>
          </w:tcPr>
          <w:p w14:paraId="0325A7FF" w14:textId="77777777" w:rsidR="003250C1" w:rsidRPr="00B85D62" w:rsidRDefault="003250C1" w:rsidP="0066232B">
            <w:pPr>
              <w:jc w:val="right"/>
              <w:rPr>
                <w:rFonts w:cs="Arial"/>
                <w:lang w:eastAsia="en-GB"/>
              </w:rPr>
            </w:pPr>
            <w:r w:rsidRPr="00B85D62">
              <w:rPr>
                <w:rFonts w:cs="Arial"/>
                <w:color w:val="FFFFFF"/>
              </w:rPr>
              <w:t>1</w:t>
            </w:r>
          </w:p>
        </w:tc>
        <w:tc>
          <w:tcPr>
            <w:tcW w:w="0" w:type="auto"/>
            <w:shd w:val="clear" w:color="auto" w:fill="000000" w:themeFill="text1"/>
            <w:noWrap/>
            <w:vAlign w:val="bottom"/>
            <w:hideMark/>
          </w:tcPr>
          <w:p w14:paraId="56AA8BF8"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404040" w:themeFill="text1" w:themeFillTint="BF"/>
            <w:noWrap/>
            <w:vAlign w:val="bottom"/>
            <w:hideMark/>
          </w:tcPr>
          <w:p w14:paraId="67C89AFC" w14:textId="77777777" w:rsidR="003250C1" w:rsidRPr="00B85D62" w:rsidRDefault="003250C1" w:rsidP="0066232B">
            <w:pPr>
              <w:jc w:val="right"/>
              <w:rPr>
                <w:rFonts w:cs="Arial"/>
                <w:lang w:eastAsia="en-GB"/>
              </w:rPr>
            </w:pPr>
            <w:r w:rsidRPr="00B85D62">
              <w:rPr>
                <w:rFonts w:cs="Arial"/>
                <w:color w:val="FFFFFF"/>
              </w:rPr>
              <w:t>3</w:t>
            </w:r>
          </w:p>
        </w:tc>
        <w:tc>
          <w:tcPr>
            <w:tcW w:w="0" w:type="auto"/>
            <w:shd w:val="clear" w:color="auto" w:fill="BFBFBF" w:themeFill="background1" w:themeFillShade="BF"/>
            <w:noWrap/>
            <w:vAlign w:val="bottom"/>
            <w:hideMark/>
          </w:tcPr>
          <w:p w14:paraId="15EEA9FD" w14:textId="77777777" w:rsidR="003250C1" w:rsidRPr="00B85D62" w:rsidRDefault="003250C1" w:rsidP="0066232B">
            <w:pPr>
              <w:jc w:val="right"/>
              <w:rPr>
                <w:rFonts w:cs="Arial"/>
                <w:lang w:eastAsia="en-GB"/>
              </w:rPr>
            </w:pPr>
            <w:r w:rsidRPr="00B85D62">
              <w:rPr>
                <w:rFonts w:cs="Arial"/>
              </w:rPr>
              <w:t>13</w:t>
            </w:r>
          </w:p>
        </w:tc>
      </w:tr>
      <w:tr w:rsidR="00B85D62" w:rsidRPr="00B85D62" w14:paraId="62BA394A" w14:textId="77777777" w:rsidTr="00B85D62">
        <w:trPr>
          <w:cantSplit/>
        </w:trPr>
        <w:tc>
          <w:tcPr>
            <w:tcW w:w="0" w:type="auto"/>
            <w:shd w:val="clear" w:color="auto" w:fill="auto"/>
            <w:noWrap/>
            <w:vAlign w:val="bottom"/>
            <w:hideMark/>
          </w:tcPr>
          <w:p w14:paraId="03810FCB" w14:textId="77777777" w:rsidR="003250C1" w:rsidRPr="00B85D62" w:rsidRDefault="003250C1" w:rsidP="0066232B">
            <w:pPr>
              <w:jc w:val="right"/>
              <w:rPr>
                <w:rFonts w:cs="Arial"/>
                <w:lang w:eastAsia="en-GB"/>
              </w:rPr>
            </w:pPr>
            <w:r w:rsidRPr="00B85D62">
              <w:rPr>
                <w:rFonts w:cs="Arial"/>
                <w:lang w:eastAsia="en-GB"/>
              </w:rPr>
              <w:t>1.5</w:t>
            </w:r>
          </w:p>
        </w:tc>
        <w:tc>
          <w:tcPr>
            <w:tcW w:w="0" w:type="auto"/>
            <w:shd w:val="clear" w:color="auto" w:fill="000000" w:themeFill="text1"/>
            <w:noWrap/>
            <w:vAlign w:val="bottom"/>
            <w:hideMark/>
          </w:tcPr>
          <w:p w14:paraId="09479885"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3B3838" w:themeFill="background2" w:themeFillShade="40"/>
            <w:noWrap/>
            <w:vAlign w:val="bottom"/>
            <w:hideMark/>
          </w:tcPr>
          <w:p w14:paraId="1AB2DB85" w14:textId="77777777" w:rsidR="003250C1" w:rsidRPr="00B85D62" w:rsidRDefault="003250C1" w:rsidP="0066232B">
            <w:pPr>
              <w:jc w:val="right"/>
              <w:rPr>
                <w:rFonts w:cs="Arial"/>
                <w:lang w:eastAsia="en-GB"/>
              </w:rPr>
            </w:pPr>
            <w:r w:rsidRPr="00B85D62">
              <w:rPr>
                <w:rFonts w:cs="Arial"/>
                <w:color w:val="FFFFFF"/>
              </w:rPr>
              <w:t>1</w:t>
            </w:r>
          </w:p>
        </w:tc>
        <w:tc>
          <w:tcPr>
            <w:tcW w:w="0" w:type="auto"/>
            <w:shd w:val="clear" w:color="auto" w:fill="3B3838" w:themeFill="background2" w:themeFillShade="40"/>
            <w:noWrap/>
            <w:vAlign w:val="bottom"/>
            <w:hideMark/>
          </w:tcPr>
          <w:p w14:paraId="5A9C2F71" w14:textId="77777777" w:rsidR="003250C1" w:rsidRPr="00B85D62" w:rsidRDefault="003250C1" w:rsidP="0066232B">
            <w:pPr>
              <w:jc w:val="right"/>
              <w:rPr>
                <w:rFonts w:cs="Arial"/>
                <w:lang w:eastAsia="en-GB"/>
              </w:rPr>
            </w:pPr>
            <w:r w:rsidRPr="00B85D62">
              <w:rPr>
                <w:rFonts w:cs="Arial"/>
                <w:color w:val="FFFFFF"/>
              </w:rPr>
              <w:t>3</w:t>
            </w:r>
          </w:p>
        </w:tc>
        <w:tc>
          <w:tcPr>
            <w:tcW w:w="0" w:type="auto"/>
            <w:shd w:val="clear" w:color="auto" w:fill="BFBFBF" w:themeFill="background1" w:themeFillShade="BF"/>
            <w:noWrap/>
            <w:vAlign w:val="bottom"/>
            <w:hideMark/>
          </w:tcPr>
          <w:p w14:paraId="34D4EFBF" w14:textId="77777777" w:rsidR="003250C1" w:rsidRPr="00B85D62" w:rsidRDefault="003250C1" w:rsidP="0066232B">
            <w:pPr>
              <w:jc w:val="right"/>
              <w:rPr>
                <w:rFonts w:cs="Arial"/>
                <w:lang w:eastAsia="en-GB"/>
              </w:rPr>
            </w:pPr>
            <w:r w:rsidRPr="00B85D62">
              <w:rPr>
                <w:rFonts w:cs="Arial"/>
              </w:rPr>
              <w:t>20</w:t>
            </w:r>
          </w:p>
        </w:tc>
        <w:tc>
          <w:tcPr>
            <w:tcW w:w="0" w:type="auto"/>
            <w:shd w:val="clear" w:color="auto" w:fill="E7E6E6" w:themeFill="background2"/>
            <w:noWrap/>
            <w:vAlign w:val="bottom"/>
            <w:hideMark/>
          </w:tcPr>
          <w:p w14:paraId="67FE493A" w14:textId="77777777" w:rsidR="003250C1" w:rsidRPr="00B85D62" w:rsidRDefault="003250C1" w:rsidP="0066232B">
            <w:pPr>
              <w:jc w:val="right"/>
              <w:rPr>
                <w:rFonts w:cs="Arial"/>
                <w:lang w:eastAsia="en-GB"/>
              </w:rPr>
            </w:pPr>
            <w:r w:rsidRPr="00B85D62">
              <w:rPr>
                <w:rFonts w:cs="Arial"/>
              </w:rPr>
              <w:t>27</w:t>
            </w:r>
          </w:p>
        </w:tc>
        <w:tc>
          <w:tcPr>
            <w:tcW w:w="0" w:type="auto"/>
            <w:shd w:val="clear" w:color="auto" w:fill="E7E6E6" w:themeFill="background2"/>
            <w:noWrap/>
            <w:vAlign w:val="bottom"/>
            <w:hideMark/>
          </w:tcPr>
          <w:p w14:paraId="214C23EB" w14:textId="77777777" w:rsidR="003250C1" w:rsidRPr="00B85D62" w:rsidRDefault="003250C1" w:rsidP="0066232B">
            <w:pPr>
              <w:jc w:val="right"/>
              <w:rPr>
                <w:rFonts w:cs="Arial"/>
                <w:lang w:eastAsia="en-GB"/>
              </w:rPr>
            </w:pPr>
            <w:r w:rsidRPr="00B85D62">
              <w:rPr>
                <w:rFonts w:cs="Arial"/>
              </w:rPr>
              <w:t>28</w:t>
            </w:r>
          </w:p>
        </w:tc>
        <w:tc>
          <w:tcPr>
            <w:tcW w:w="0" w:type="auto"/>
            <w:shd w:val="clear" w:color="auto" w:fill="E7E6E6" w:themeFill="background2"/>
            <w:noWrap/>
            <w:vAlign w:val="bottom"/>
            <w:hideMark/>
          </w:tcPr>
          <w:p w14:paraId="010AACCA" w14:textId="77777777" w:rsidR="003250C1" w:rsidRPr="00B85D62" w:rsidRDefault="003250C1" w:rsidP="0066232B">
            <w:pPr>
              <w:jc w:val="right"/>
              <w:rPr>
                <w:rFonts w:cs="Arial"/>
                <w:lang w:eastAsia="en-GB"/>
              </w:rPr>
            </w:pPr>
            <w:r w:rsidRPr="00B85D62">
              <w:rPr>
                <w:rFonts w:cs="Arial"/>
              </w:rPr>
              <w:t>28</w:t>
            </w:r>
          </w:p>
        </w:tc>
        <w:tc>
          <w:tcPr>
            <w:tcW w:w="0" w:type="auto"/>
            <w:shd w:val="clear" w:color="auto" w:fill="E7E6E6" w:themeFill="background2"/>
            <w:noWrap/>
            <w:vAlign w:val="bottom"/>
            <w:hideMark/>
          </w:tcPr>
          <w:p w14:paraId="119380A0" w14:textId="77777777" w:rsidR="003250C1" w:rsidRPr="00B85D62" w:rsidRDefault="003250C1" w:rsidP="0066232B">
            <w:pPr>
              <w:jc w:val="right"/>
              <w:rPr>
                <w:rFonts w:cs="Arial"/>
                <w:lang w:eastAsia="en-GB"/>
              </w:rPr>
            </w:pPr>
            <w:r w:rsidRPr="00B85D62">
              <w:rPr>
                <w:rFonts w:cs="Arial"/>
              </w:rPr>
              <w:t>28</w:t>
            </w:r>
          </w:p>
        </w:tc>
      </w:tr>
      <w:tr w:rsidR="00B85D62" w:rsidRPr="00B85D62" w14:paraId="5520121C" w14:textId="77777777" w:rsidTr="00B85D62">
        <w:trPr>
          <w:cantSplit/>
        </w:trPr>
        <w:tc>
          <w:tcPr>
            <w:tcW w:w="0" w:type="auto"/>
            <w:shd w:val="clear" w:color="auto" w:fill="auto"/>
            <w:noWrap/>
            <w:vAlign w:val="bottom"/>
            <w:hideMark/>
          </w:tcPr>
          <w:p w14:paraId="1D34B5F2" w14:textId="77777777" w:rsidR="003250C1" w:rsidRPr="00B85D62" w:rsidRDefault="003250C1" w:rsidP="0066232B">
            <w:pPr>
              <w:jc w:val="right"/>
              <w:rPr>
                <w:rFonts w:cs="Arial"/>
                <w:color w:val="000000"/>
                <w:lang w:eastAsia="en-GB"/>
              </w:rPr>
            </w:pPr>
            <w:r w:rsidRPr="00B85D62">
              <w:rPr>
                <w:rFonts w:cs="Arial"/>
                <w:lang w:eastAsia="en-GB"/>
              </w:rPr>
              <w:t>2.5</w:t>
            </w:r>
          </w:p>
        </w:tc>
        <w:tc>
          <w:tcPr>
            <w:tcW w:w="0" w:type="auto"/>
            <w:shd w:val="clear" w:color="auto" w:fill="BFBFBF" w:themeFill="background1" w:themeFillShade="BF"/>
            <w:noWrap/>
            <w:vAlign w:val="bottom"/>
            <w:hideMark/>
          </w:tcPr>
          <w:p w14:paraId="0A34CFD9" w14:textId="77777777" w:rsidR="003250C1" w:rsidRPr="00B85D62" w:rsidRDefault="003250C1" w:rsidP="0066232B">
            <w:pPr>
              <w:jc w:val="right"/>
              <w:rPr>
                <w:rFonts w:cs="Arial"/>
                <w:lang w:eastAsia="en-GB"/>
              </w:rPr>
            </w:pPr>
            <w:r w:rsidRPr="00B85D62">
              <w:rPr>
                <w:rFonts w:cs="Arial"/>
              </w:rPr>
              <w:t>20</w:t>
            </w:r>
          </w:p>
        </w:tc>
        <w:tc>
          <w:tcPr>
            <w:tcW w:w="0" w:type="auto"/>
            <w:shd w:val="clear" w:color="auto" w:fill="E7E6E6" w:themeFill="background2"/>
            <w:noWrap/>
            <w:vAlign w:val="bottom"/>
            <w:hideMark/>
          </w:tcPr>
          <w:p w14:paraId="27165D86" w14:textId="77777777" w:rsidR="003250C1" w:rsidRPr="00B85D62" w:rsidRDefault="003250C1" w:rsidP="0066232B">
            <w:pPr>
              <w:jc w:val="right"/>
              <w:rPr>
                <w:rFonts w:cs="Arial"/>
                <w:lang w:eastAsia="en-GB"/>
              </w:rPr>
            </w:pPr>
            <w:r w:rsidRPr="00B85D62">
              <w:rPr>
                <w:rFonts w:cs="Arial"/>
              </w:rPr>
              <w:t>25</w:t>
            </w:r>
          </w:p>
        </w:tc>
        <w:tc>
          <w:tcPr>
            <w:tcW w:w="0" w:type="auto"/>
            <w:shd w:val="clear" w:color="auto" w:fill="E7E6E6" w:themeFill="background2"/>
            <w:noWrap/>
            <w:vAlign w:val="bottom"/>
            <w:hideMark/>
          </w:tcPr>
          <w:p w14:paraId="200E9F2B" w14:textId="77777777" w:rsidR="003250C1" w:rsidRPr="00B85D62" w:rsidRDefault="003250C1" w:rsidP="0066232B">
            <w:pPr>
              <w:jc w:val="right"/>
              <w:rPr>
                <w:rFonts w:cs="Arial"/>
                <w:lang w:eastAsia="en-GB"/>
              </w:rPr>
            </w:pPr>
            <w:r w:rsidRPr="00B85D62">
              <w:rPr>
                <w:rFonts w:cs="Arial"/>
              </w:rPr>
              <w:t>25</w:t>
            </w:r>
          </w:p>
        </w:tc>
        <w:tc>
          <w:tcPr>
            <w:tcW w:w="0" w:type="auto"/>
            <w:shd w:val="clear" w:color="auto" w:fill="E7E6E6" w:themeFill="background2"/>
            <w:noWrap/>
            <w:vAlign w:val="bottom"/>
            <w:hideMark/>
          </w:tcPr>
          <w:p w14:paraId="6BFD0504" w14:textId="77777777" w:rsidR="003250C1" w:rsidRPr="00B85D62" w:rsidRDefault="003250C1" w:rsidP="0066232B">
            <w:pPr>
              <w:jc w:val="right"/>
              <w:rPr>
                <w:rFonts w:cs="Arial"/>
                <w:lang w:eastAsia="en-GB"/>
              </w:rPr>
            </w:pPr>
            <w:r w:rsidRPr="00B85D62">
              <w:rPr>
                <w:rFonts w:cs="Arial"/>
              </w:rPr>
              <w:t>29</w:t>
            </w:r>
          </w:p>
        </w:tc>
        <w:tc>
          <w:tcPr>
            <w:tcW w:w="0" w:type="auto"/>
            <w:shd w:val="clear" w:color="auto" w:fill="E7E6E6" w:themeFill="background2"/>
            <w:noWrap/>
            <w:vAlign w:val="bottom"/>
            <w:hideMark/>
          </w:tcPr>
          <w:p w14:paraId="64B666D5" w14:textId="77777777" w:rsidR="003250C1" w:rsidRPr="00B85D62" w:rsidRDefault="003250C1" w:rsidP="0066232B">
            <w:pPr>
              <w:jc w:val="right"/>
              <w:rPr>
                <w:rFonts w:cs="Arial"/>
                <w:lang w:eastAsia="en-GB"/>
              </w:rPr>
            </w:pPr>
            <w:r w:rsidRPr="00B85D62">
              <w:rPr>
                <w:rFonts w:cs="Arial"/>
              </w:rPr>
              <w:t>29</w:t>
            </w:r>
          </w:p>
        </w:tc>
        <w:tc>
          <w:tcPr>
            <w:tcW w:w="0" w:type="auto"/>
            <w:shd w:val="clear" w:color="auto" w:fill="auto"/>
            <w:noWrap/>
            <w:vAlign w:val="bottom"/>
            <w:hideMark/>
          </w:tcPr>
          <w:p w14:paraId="4493E74C"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791D3A5A"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7154968A"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29A33883" w14:textId="77777777" w:rsidTr="00B85D62">
        <w:trPr>
          <w:cantSplit/>
        </w:trPr>
        <w:tc>
          <w:tcPr>
            <w:tcW w:w="0" w:type="auto"/>
            <w:shd w:val="clear" w:color="auto" w:fill="auto"/>
            <w:noWrap/>
            <w:vAlign w:val="bottom"/>
            <w:hideMark/>
          </w:tcPr>
          <w:p w14:paraId="4A639E41" w14:textId="77777777" w:rsidR="003250C1" w:rsidRPr="00B85D62" w:rsidRDefault="003250C1" w:rsidP="0066232B">
            <w:pPr>
              <w:jc w:val="right"/>
              <w:rPr>
                <w:rFonts w:cs="Arial"/>
                <w:lang w:eastAsia="en-GB"/>
              </w:rPr>
            </w:pPr>
            <w:r w:rsidRPr="00B85D62">
              <w:rPr>
                <w:rFonts w:cs="Arial"/>
                <w:lang w:eastAsia="en-GB"/>
              </w:rPr>
              <w:t>3.5</w:t>
            </w:r>
          </w:p>
        </w:tc>
        <w:tc>
          <w:tcPr>
            <w:tcW w:w="0" w:type="auto"/>
            <w:shd w:val="clear" w:color="auto" w:fill="E7E6E6" w:themeFill="background2"/>
            <w:noWrap/>
            <w:vAlign w:val="bottom"/>
            <w:hideMark/>
          </w:tcPr>
          <w:p w14:paraId="6ABAF489" w14:textId="77777777" w:rsidR="003250C1" w:rsidRPr="00B85D62" w:rsidRDefault="003250C1" w:rsidP="0066232B">
            <w:pPr>
              <w:jc w:val="right"/>
              <w:rPr>
                <w:rFonts w:cs="Arial"/>
                <w:lang w:eastAsia="en-GB"/>
              </w:rPr>
            </w:pPr>
            <w:r w:rsidRPr="00B85D62">
              <w:rPr>
                <w:rFonts w:cs="Arial"/>
              </w:rPr>
              <w:t>26</w:t>
            </w:r>
          </w:p>
        </w:tc>
        <w:tc>
          <w:tcPr>
            <w:tcW w:w="0" w:type="auto"/>
            <w:shd w:val="clear" w:color="auto" w:fill="E7E6E6" w:themeFill="background2"/>
            <w:noWrap/>
            <w:vAlign w:val="bottom"/>
            <w:hideMark/>
          </w:tcPr>
          <w:p w14:paraId="21440C34" w14:textId="77777777" w:rsidR="003250C1" w:rsidRPr="00B85D62" w:rsidRDefault="003250C1" w:rsidP="0066232B">
            <w:pPr>
              <w:jc w:val="right"/>
              <w:rPr>
                <w:rFonts w:cs="Arial"/>
                <w:lang w:eastAsia="en-GB"/>
              </w:rPr>
            </w:pPr>
            <w:r w:rsidRPr="00B85D62">
              <w:rPr>
                <w:rFonts w:cs="Arial"/>
              </w:rPr>
              <w:t>27</w:t>
            </w:r>
          </w:p>
        </w:tc>
        <w:tc>
          <w:tcPr>
            <w:tcW w:w="0" w:type="auto"/>
            <w:shd w:val="clear" w:color="auto" w:fill="auto"/>
            <w:noWrap/>
            <w:vAlign w:val="bottom"/>
            <w:hideMark/>
          </w:tcPr>
          <w:p w14:paraId="4A94F7F6"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4FF986BC"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32B2C97E"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FE8AF88"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CA2B631"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39346213"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482DEC08" w14:textId="77777777" w:rsidTr="00B85D62">
        <w:trPr>
          <w:cantSplit/>
        </w:trPr>
        <w:tc>
          <w:tcPr>
            <w:tcW w:w="0" w:type="auto"/>
            <w:shd w:val="clear" w:color="auto" w:fill="auto"/>
            <w:noWrap/>
            <w:vAlign w:val="bottom"/>
            <w:hideMark/>
          </w:tcPr>
          <w:p w14:paraId="75BBC99C" w14:textId="77777777" w:rsidR="003250C1" w:rsidRPr="00B85D62" w:rsidRDefault="003250C1" w:rsidP="0066232B">
            <w:pPr>
              <w:jc w:val="right"/>
              <w:rPr>
                <w:rFonts w:cs="Arial"/>
                <w:lang w:eastAsia="en-GB"/>
              </w:rPr>
            </w:pPr>
            <w:r w:rsidRPr="00B85D62">
              <w:rPr>
                <w:rFonts w:cs="Arial"/>
                <w:lang w:eastAsia="en-GB"/>
              </w:rPr>
              <w:t>4.5</w:t>
            </w:r>
          </w:p>
        </w:tc>
        <w:tc>
          <w:tcPr>
            <w:tcW w:w="0" w:type="auto"/>
            <w:shd w:val="clear" w:color="auto" w:fill="E7E6E6" w:themeFill="background2"/>
            <w:noWrap/>
            <w:vAlign w:val="bottom"/>
            <w:hideMark/>
          </w:tcPr>
          <w:p w14:paraId="40326593" w14:textId="77777777" w:rsidR="003250C1" w:rsidRPr="00B85D62" w:rsidRDefault="003250C1" w:rsidP="0066232B">
            <w:pPr>
              <w:jc w:val="right"/>
              <w:rPr>
                <w:rFonts w:cs="Arial"/>
                <w:lang w:eastAsia="en-GB"/>
              </w:rPr>
            </w:pPr>
            <w:r w:rsidRPr="00B85D62">
              <w:rPr>
                <w:rFonts w:cs="Arial"/>
              </w:rPr>
              <w:t>28</w:t>
            </w:r>
          </w:p>
        </w:tc>
        <w:tc>
          <w:tcPr>
            <w:tcW w:w="0" w:type="auto"/>
            <w:shd w:val="clear" w:color="auto" w:fill="auto"/>
            <w:noWrap/>
            <w:vAlign w:val="bottom"/>
            <w:hideMark/>
          </w:tcPr>
          <w:p w14:paraId="686F94A3"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1BA6220F"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4F75620E"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53F8D4C"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21C911F"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2CF83D69"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4A58B53E"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533F9687" w14:textId="77777777" w:rsidTr="00B85D62">
        <w:trPr>
          <w:cantSplit/>
        </w:trPr>
        <w:tc>
          <w:tcPr>
            <w:tcW w:w="0" w:type="auto"/>
            <w:shd w:val="clear" w:color="auto" w:fill="auto"/>
            <w:noWrap/>
            <w:vAlign w:val="bottom"/>
            <w:hideMark/>
          </w:tcPr>
          <w:p w14:paraId="24C4C6F3" w14:textId="77777777" w:rsidR="003250C1" w:rsidRPr="00B85D62" w:rsidRDefault="003250C1" w:rsidP="0066232B">
            <w:pPr>
              <w:jc w:val="right"/>
              <w:rPr>
                <w:rFonts w:cs="Arial"/>
                <w:lang w:eastAsia="en-GB"/>
              </w:rPr>
            </w:pPr>
            <w:r w:rsidRPr="00B85D62">
              <w:rPr>
                <w:rFonts w:cs="Arial"/>
                <w:lang w:eastAsia="en-GB"/>
              </w:rPr>
              <w:t>5.5</w:t>
            </w:r>
          </w:p>
        </w:tc>
        <w:tc>
          <w:tcPr>
            <w:tcW w:w="0" w:type="auto"/>
            <w:shd w:val="clear" w:color="auto" w:fill="auto"/>
            <w:noWrap/>
            <w:vAlign w:val="bottom"/>
            <w:hideMark/>
          </w:tcPr>
          <w:p w14:paraId="2C111C2A"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27724077"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51FDA76"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120CDAC7"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1231CC14"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1B6ECF32"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50F5FEC"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39DFA166"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53AE32E2" w14:textId="77777777" w:rsidTr="00B85D62">
        <w:trPr>
          <w:cantSplit/>
        </w:trPr>
        <w:tc>
          <w:tcPr>
            <w:tcW w:w="0" w:type="auto"/>
            <w:shd w:val="clear" w:color="auto" w:fill="auto"/>
            <w:noWrap/>
            <w:vAlign w:val="bottom"/>
            <w:hideMark/>
          </w:tcPr>
          <w:p w14:paraId="497E9607" w14:textId="77777777" w:rsidR="003250C1" w:rsidRPr="00B85D62" w:rsidRDefault="003250C1" w:rsidP="0066232B">
            <w:pPr>
              <w:jc w:val="right"/>
              <w:rPr>
                <w:rFonts w:cs="Arial"/>
                <w:lang w:eastAsia="en-GB"/>
              </w:rPr>
            </w:pPr>
            <w:r w:rsidRPr="00B85D62">
              <w:rPr>
                <w:rFonts w:cs="Arial"/>
                <w:lang w:eastAsia="en-GB"/>
              </w:rPr>
              <w:t>6.5</w:t>
            </w:r>
          </w:p>
        </w:tc>
        <w:tc>
          <w:tcPr>
            <w:tcW w:w="0" w:type="auto"/>
            <w:shd w:val="clear" w:color="auto" w:fill="auto"/>
            <w:noWrap/>
            <w:vAlign w:val="bottom"/>
            <w:hideMark/>
          </w:tcPr>
          <w:p w14:paraId="184E7458"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14D219BB"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B31D287"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21667CB5"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73CAE24D"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495886CE"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43856CA"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06667EF"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08C423F6" w14:textId="77777777" w:rsidTr="00B85D62">
        <w:trPr>
          <w:cantSplit/>
        </w:trPr>
        <w:tc>
          <w:tcPr>
            <w:tcW w:w="0" w:type="auto"/>
            <w:shd w:val="clear" w:color="auto" w:fill="auto"/>
            <w:noWrap/>
            <w:vAlign w:val="bottom"/>
            <w:hideMark/>
          </w:tcPr>
          <w:p w14:paraId="5CE2F9FE" w14:textId="77777777" w:rsidR="003250C1" w:rsidRPr="00B85D62" w:rsidRDefault="003250C1" w:rsidP="0066232B">
            <w:pPr>
              <w:jc w:val="right"/>
              <w:rPr>
                <w:rFonts w:cs="Arial"/>
                <w:lang w:eastAsia="en-GB"/>
              </w:rPr>
            </w:pPr>
            <w:r w:rsidRPr="00B85D62">
              <w:rPr>
                <w:rFonts w:cs="Arial"/>
                <w:lang w:eastAsia="en-GB"/>
              </w:rPr>
              <w:t>7.5</w:t>
            </w:r>
          </w:p>
        </w:tc>
        <w:tc>
          <w:tcPr>
            <w:tcW w:w="0" w:type="auto"/>
            <w:shd w:val="clear" w:color="auto" w:fill="auto"/>
            <w:noWrap/>
            <w:vAlign w:val="bottom"/>
            <w:hideMark/>
          </w:tcPr>
          <w:p w14:paraId="0A9D62B6"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2E0A700"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F737E66"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CC4C8E6"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45C0217"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8C8DA5C"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2C6DE97E"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FA35A19"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155C8BA5" w14:textId="77777777" w:rsidTr="00B85D62">
        <w:trPr>
          <w:cantSplit/>
        </w:trPr>
        <w:tc>
          <w:tcPr>
            <w:tcW w:w="0" w:type="auto"/>
            <w:shd w:val="clear" w:color="auto" w:fill="auto"/>
            <w:noWrap/>
            <w:vAlign w:val="bottom"/>
            <w:hideMark/>
          </w:tcPr>
          <w:p w14:paraId="67A454A7" w14:textId="77777777" w:rsidR="003250C1" w:rsidRPr="00B85D62" w:rsidRDefault="003250C1" w:rsidP="0066232B">
            <w:pPr>
              <w:jc w:val="right"/>
              <w:rPr>
                <w:rFonts w:cs="Arial"/>
                <w:lang w:eastAsia="en-GB"/>
              </w:rPr>
            </w:pPr>
            <w:r w:rsidRPr="00B85D62">
              <w:rPr>
                <w:rFonts w:cs="Arial"/>
                <w:lang w:eastAsia="en-GB"/>
              </w:rPr>
              <w:t>8.5</w:t>
            </w:r>
          </w:p>
        </w:tc>
        <w:tc>
          <w:tcPr>
            <w:tcW w:w="0" w:type="auto"/>
            <w:shd w:val="clear" w:color="auto" w:fill="auto"/>
            <w:noWrap/>
            <w:vAlign w:val="bottom"/>
            <w:hideMark/>
          </w:tcPr>
          <w:p w14:paraId="26508507"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7A0C28C5"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3F84F57E"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ACABA36"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7E56A8D8"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D9850CA"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37604BFF"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4503DB9"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3E1F78C6" w14:textId="77777777" w:rsidTr="00B85D62">
        <w:trPr>
          <w:cantSplit/>
        </w:trPr>
        <w:tc>
          <w:tcPr>
            <w:tcW w:w="0" w:type="auto"/>
            <w:shd w:val="clear" w:color="auto" w:fill="E7E6E6" w:themeFill="background2"/>
            <w:vAlign w:val="center"/>
          </w:tcPr>
          <w:p w14:paraId="1A65FD94" w14:textId="77777777" w:rsidR="003250C1" w:rsidRPr="00B85D62" w:rsidRDefault="003250C1" w:rsidP="0066232B">
            <w:pPr>
              <w:rPr>
                <w:rFonts w:cs="Arial"/>
                <w:b/>
                <w:bCs/>
                <w:color w:val="000000"/>
                <w:lang w:eastAsia="en-GB"/>
              </w:rPr>
            </w:pPr>
            <w:r w:rsidRPr="00B85D62">
              <w:rPr>
                <w:rFonts w:cs="Arial"/>
                <w:b/>
                <w:bCs/>
                <w:lang w:eastAsia="en-GB"/>
              </w:rPr>
              <w:t>Females</w:t>
            </w:r>
          </w:p>
        </w:tc>
        <w:tc>
          <w:tcPr>
            <w:tcW w:w="0" w:type="auto"/>
            <w:shd w:val="clear" w:color="auto" w:fill="E7E6E6" w:themeFill="background2"/>
            <w:vAlign w:val="center"/>
          </w:tcPr>
          <w:p w14:paraId="55BDD8ED"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6F37E4D8"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4E53301F"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686A06A0"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468D2182"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2F4B5BF5"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791396C6" w14:textId="77777777" w:rsidR="003250C1" w:rsidRPr="00B85D62" w:rsidRDefault="003250C1" w:rsidP="0066232B">
            <w:pPr>
              <w:rPr>
                <w:rFonts w:cs="Arial"/>
                <w:b/>
                <w:bCs/>
                <w:color w:val="000000"/>
                <w:lang w:eastAsia="en-GB"/>
              </w:rPr>
            </w:pPr>
          </w:p>
        </w:tc>
        <w:tc>
          <w:tcPr>
            <w:tcW w:w="0" w:type="auto"/>
            <w:shd w:val="clear" w:color="auto" w:fill="E7E6E6" w:themeFill="background2"/>
            <w:vAlign w:val="center"/>
          </w:tcPr>
          <w:p w14:paraId="7F8C22C9" w14:textId="77777777" w:rsidR="003250C1" w:rsidRPr="00B85D62" w:rsidRDefault="003250C1" w:rsidP="0066232B">
            <w:pPr>
              <w:rPr>
                <w:rFonts w:cs="Arial"/>
                <w:b/>
                <w:bCs/>
                <w:lang w:eastAsia="en-GB"/>
              </w:rPr>
            </w:pPr>
          </w:p>
        </w:tc>
      </w:tr>
      <w:tr w:rsidR="00B85D62" w:rsidRPr="00B85D62" w14:paraId="2FBDAC06" w14:textId="77777777" w:rsidTr="00B85D62">
        <w:trPr>
          <w:cantSplit/>
        </w:trPr>
        <w:tc>
          <w:tcPr>
            <w:tcW w:w="0" w:type="auto"/>
            <w:shd w:val="clear" w:color="auto" w:fill="auto"/>
            <w:noWrap/>
            <w:vAlign w:val="bottom"/>
            <w:hideMark/>
          </w:tcPr>
          <w:p w14:paraId="5869123B" w14:textId="77777777" w:rsidR="003250C1" w:rsidRPr="00B85D62" w:rsidRDefault="003250C1" w:rsidP="0066232B">
            <w:pPr>
              <w:jc w:val="right"/>
              <w:rPr>
                <w:rFonts w:cs="Arial"/>
                <w:lang w:eastAsia="en-GB"/>
              </w:rPr>
            </w:pPr>
            <w:r w:rsidRPr="00B85D62">
              <w:rPr>
                <w:rFonts w:cs="Arial"/>
                <w:lang w:eastAsia="en-GB"/>
              </w:rPr>
              <w:t>0.5</w:t>
            </w:r>
          </w:p>
        </w:tc>
        <w:tc>
          <w:tcPr>
            <w:tcW w:w="0" w:type="auto"/>
            <w:shd w:val="clear" w:color="auto" w:fill="000000" w:themeFill="text1"/>
            <w:noWrap/>
            <w:vAlign w:val="bottom"/>
            <w:hideMark/>
          </w:tcPr>
          <w:p w14:paraId="51ED3427"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000000" w:themeFill="text1"/>
            <w:noWrap/>
            <w:vAlign w:val="bottom"/>
            <w:hideMark/>
          </w:tcPr>
          <w:p w14:paraId="13F6AA64"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000000" w:themeFill="text1"/>
            <w:noWrap/>
            <w:vAlign w:val="bottom"/>
            <w:hideMark/>
          </w:tcPr>
          <w:p w14:paraId="78F37938"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000000" w:themeFill="text1"/>
            <w:noWrap/>
            <w:vAlign w:val="bottom"/>
            <w:hideMark/>
          </w:tcPr>
          <w:p w14:paraId="2F7E50B5"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000000" w:themeFill="text1"/>
            <w:noWrap/>
            <w:vAlign w:val="bottom"/>
            <w:hideMark/>
          </w:tcPr>
          <w:p w14:paraId="1BEAF0DE"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000000" w:themeFill="text1"/>
            <w:noWrap/>
            <w:vAlign w:val="bottom"/>
            <w:hideMark/>
          </w:tcPr>
          <w:p w14:paraId="1F274892"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595959" w:themeFill="text1" w:themeFillTint="A6"/>
            <w:noWrap/>
            <w:vAlign w:val="bottom"/>
            <w:hideMark/>
          </w:tcPr>
          <w:p w14:paraId="4117CD4D" w14:textId="77777777" w:rsidR="003250C1" w:rsidRPr="00B85D62" w:rsidRDefault="003250C1" w:rsidP="0066232B">
            <w:pPr>
              <w:jc w:val="right"/>
              <w:rPr>
                <w:rFonts w:cs="Arial"/>
                <w:lang w:eastAsia="en-GB"/>
              </w:rPr>
            </w:pPr>
            <w:r w:rsidRPr="00B85D62">
              <w:rPr>
                <w:rFonts w:cs="Arial"/>
                <w:color w:val="FFFFFF"/>
              </w:rPr>
              <w:t>1</w:t>
            </w:r>
          </w:p>
        </w:tc>
        <w:tc>
          <w:tcPr>
            <w:tcW w:w="0" w:type="auto"/>
            <w:shd w:val="clear" w:color="auto" w:fill="595959" w:themeFill="text1" w:themeFillTint="A6"/>
            <w:noWrap/>
            <w:vAlign w:val="bottom"/>
            <w:hideMark/>
          </w:tcPr>
          <w:p w14:paraId="492BC8A8" w14:textId="77777777" w:rsidR="003250C1" w:rsidRPr="00B85D62" w:rsidRDefault="003250C1" w:rsidP="0066232B">
            <w:pPr>
              <w:jc w:val="right"/>
              <w:rPr>
                <w:rFonts w:cs="Arial"/>
                <w:lang w:eastAsia="en-GB"/>
              </w:rPr>
            </w:pPr>
            <w:r w:rsidRPr="00B85D62">
              <w:rPr>
                <w:rFonts w:cs="Arial"/>
                <w:color w:val="FFFFFF"/>
              </w:rPr>
              <w:t>1</w:t>
            </w:r>
          </w:p>
        </w:tc>
      </w:tr>
      <w:tr w:rsidR="00B85D62" w:rsidRPr="00B85D62" w14:paraId="6A367B11" w14:textId="77777777" w:rsidTr="00B85D62">
        <w:trPr>
          <w:cantSplit/>
        </w:trPr>
        <w:tc>
          <w:tcPr>
            <w:tcW w:w="0" w:type="auto"/>
            <w:shd w:val="clear" w:color="auto" w:fill="auto"/>
            <w:noWrap/>
            <w:vAlign w:val="bottom"/>
            <w:hideMark/>
          </w:tcPr>
          <w:p w14:paraId="1A7D379A" w14:textId="77777777" w:rsidR="003250C1" w:rsidRPr="00B85D62" w:rsidRDefault="003250C1" w:rsidP="0066232B">
            <w:pPr>
              <w:jc w:val="right"/>
              <w:rPr>
                <w:rFonts w:cs="Arial"/>
                <w:lang w:eastAsia="en-GB"/>
              </w:rPr>
            </w:pPr>
            <w:r w:rsidRPr="00B85D62">
              <w:rPr>
                <w:rFonts w:cs="Arial"/>
                <w:lang w:eastAsia="en-GB"/>
              </w:rPr>
              <w:t>1.5</w:t>
            </w:r>
          </w:p>
        </w:tc>
        <w:tc>
          <w:tcPr>
            <w:tcW w:w="0" w:type="auto"/>
            <w:shd w:val="clear" w:color="auto" w:fill="000000" w:themeFill="text1"/>
            <w:noWrap/>
            <w:vAlign w:val="bottom"/>
            <w:hideMark/>
          </w:tcPr>
          <w:p w14:paraId="50CAC51E"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000000" w:themeFill="text1"/>
            <w:noWrap/>
            <w:vAlign w:val="bottom"/>
            <w:hideMark/>
          </w:tcPr>
          <w:p w14:paraId="0DF8F641"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000000" w:themeFill="text1"/>
            <w:noWrap/>
            <w:vAlign w:val="bottom"/>
            <w:hideMark/>
          </w:tcPr>
          <w:p w14:paraId="230BD3BD" w14:textId="77777777" w:rsidR="003250C1" w:rsidRPr="00B85D62" w:rsidRDefault="003250C1" w:rsidP="0066232B">
            <w:pPr>
              <w:jc w:val="right"/>
              <w:rPr>
                <w:rFonts w:cs="Arial"/>
                <w:color w:val="FFFFFF"/>
                <w:lang w:eastAsia="en-GB"/>
              </w:rPr>
            </w:pPr>
            <w:r w:rsidRPr="00B85D62">
              <w:rPr>
                <w:rFonts w:cs="Arial"/>
                <w:color w:val="FFFFFF"/>
              </w:rPr>
              <w:t>0</w:t>
            </w:r>
          </w:p>
        </w:tc>
        <w:tc>
          <w:tcPr>
            <w:tcW w:w="0" w:type="auto"/>
            <w:shd w:val="clear" w:color="auto" w:fill="595959" w:themeFill="text1" w:themeFillTint="A6"/>
            <w:noWrap/>
            <w:vAlign w:val="bottom"/>
            <w:hideMark/>
          </w:tcPr>
          <w:p w14:paraId="17C6AF03" w14:textId="77777777" w:rsidR="003250C1" w:rsidRPr="00B85D62" w:rsidRDefault="003250C1" w:rsidP="0066232B">
            <w:pPr>
              <w:jc w:val="right"/>
              <w:rPr>
                <w:rFonts w:cs="Arial"/>
                <w:lang w:eastAsia="en-GB"/>
              </w:rPr>
            </w:pPr>
            <w:r w:rsidRPr="00B85D62">
              <w:rPr>
                <w:rFonts w:cs="Arial"/>
                <w:color w:val="FFFFFF"/>
              </w:rPr>
              <w:t>1</w:t>
            </w:r>
          </w:p>
        </w:tc>
        <w:tc>
          <w:tcPr>
            <w:tcW w:w="0" w:type="auto"/>
            <w:shd w:val="clear" w:color="auto" w:fill="BFBFBF" w:themeFill="background1" w:themeFillShade="BF"/>
            <w:noWrap/>
            <w:vAlign w:val="bottom"/>
            <w:hideMark/>
          </w:tcPr>
          <w:p w14:paraId="3C34C627" w14:textId="77777777" w:rsidR="003250C1" w:rsidRPr="00B85D62" w:rsidRDefault="003250C1" w:rsidP="0066232B">
            <w:pPr>
              <w:jc w:val="right"/>
              <w:rPr>
                <w:rFonts w:cs="Arial"/>
                <w:lang w:eastAsia="en-GB"/>
              </w:rPr>
            </w:pPr>
            <w:r w:rsidRPr="00B85D62">
              <w:rPr>
                <w:rFonts w:cs="Arial"/>
              </w:rPr>
              <w:t>14</w:t>
            </w:r>
          </w:p>
        </w:tc>
        <w:tc>
          <w:tcPr>
            <w:tcW w:w="0" w:type="auto"/>
            <w:shd w:val="clear" w:color="auto" w:fill="767171" w:themeFill="background2" w:themeFillShade="80"/>
            <w:noWrap/>
            <w:vAlign w:val="bottom"/>
            <w:hideMark/>
          </w:tcPr>
          <w:p w14:paraId="4FA2AB9F" w14:textId="77777777" w:rsidR="003250C1" w:rsidRPr="00B85D62" w:rsidRDefault="003250C1" w:rsidP="0066232B">
            <w:pPr>
              <w:jc w:val="right"/>
              <w:rPr>
                <w:rFonts w:cs="Arial"/>
                <w:lang w:eastAsia="en-GB"/>
              </w:rPr>
            </w:pPr>
            <w:r w:rsidRPr="00B85D62">
              <w:rPr>
                <w:rFonts w:cs="Arial"/>
                <w:color w:val="FFFFFF"/>
              </w:rPr>
              <w:t>9</w:t>
            </w:r>
          </w:p>
        </w:tc>
        <w:tc>
          <w:tcPr>
            <w:tcW w:w="0" w:type="auto"/>
            <w:shd w:val="clear" w:color="auto" w:fill="E7E6E6" w:themeFill="background2"/>
            <w:noWrap/>
            <w:vAlign w:val="bottom"/>
            <w:hideMark/>
          </w:tcPr>
          <w:p w14:paraId="2E9ECA5B" w14:textId="77777777" w:rsidR="003250C1" w:rsidRPr="00B85D62" w:rsidRDefault="003250C1" w:rsidP="0066232B">
            <w:pPr>
              <w:jc w:val="right"/>
              <w:rPr>
                <w:rFonts w:cs="Arial"/>
                <w:lang w:eastAsia="en-GB"/>
              </w:rPr>
            </w:pPr>
            <w:r w:rsidRPr="00B85D62">
              <w:rPr>
                <w:rFonts w:cs="Arial"/>
              </w:rPr>
              <w:t>28</w:t>
            </w:r>
          </w:p>
        </w:tc>
        <w:tc>
          <w:tcPr>
            <w:tcW w:w="0" w:type="auto"/>
            <w:shd w:val="clear" w:color="auto" w:fill="E7E6E6" w:themeFill="background2"/>
            <w:noWrap/>
            <w:vAlign w:val="bottom"/>
            <w:hideMark/>
          </w:tcPr>
          <w:p w14:paraId="1CC5C580" w14:textId="77777777" w:rsidR="003250C1" w:rsidRPr="00B85D62" w:rsidRDefault="003250C1" w:rsidP="0066232B">
            <w:pPr>
              <w:jc w:val="right"/>
              <w:rPr>
                <w:rFonts w:cs="Arial"/>
                <w:lang w:eastAsia="en-GB"/>
              </w:rPr>
            </w:pPr>
            <w:r w:rsidRPr="00B85D62">
              <w:rPr>
                <w:rFonts w:cs="Arial"/>
              </w:rPr>
              <w:t>28</w:t>
            </w:r>
          </w:p>
        </w:tc>
      </w:tr>
      <w:tr w:rsidR="00B85D62" w:rsidRPr="00B85D62" w14:paraId="20354E0B" w14:textId="77777777" w:rsidTr="00B85D62">
        <w:trPr>
          <w:cantSplit/>
        </w:trPr>
        <w:tc>
          <w:tcPr>
            <w:tcW w:w="0" w:type="auto"/>
            <w:shd w:val="clear" w:color="auto" w:fill="auto"/>
            <w:noWrap/>
            <w:vAlign w:val="bottom"/>
            <w:hideMark/>
          </w:tcPr>
          <w:p w14:paraId="471C2486" w14:textId="77777777" w:rsidR="003250C1" w:rsidRPr="00B85D62" w:rsidRDefault="003250C1" w:rsidP="0066232B">
            <w:pPr>
              <w:jc w:val="right"/>
              <w:rPr>
                <w:rFonts w:cs="Arial"/>
                <w:lang w:eastAsia="en-GB"/>
              </w:rPr>
            </w:pPr>
            <w:r w:rsidRPr="00B85D62">
              <w:rPr>
                <w:rFonts w:cs="Arial"/>
                <w:lang w:eastAsia="en-GB"/>
              </w:rPr>
              <w:t>2.5</w:t>
            </w:r>
          </w:p>
        </w:tc>
        <w:tc>
          <w:tcPr>
            <w:tcW w:w="0" w:type="auto"/>
            <w:shd w:val="clear" w:color="auto" w:fill="595959" w:themeFill="text1" w:themeFillTint="A6"/>
            <w:noWrap/>
            <w:vAlign w:val="bottom"/>
            <w:hideMark/>
          </w:tcPr>
          <w:p w14:paraId="1DB2115B" w14:textId="77777777" w:rsidR="003250C1" w:rsidRPr="00B85D62" w:rsidRDefault="003250C1" w:rsidP="0066232B">
            <w:pPr>
              <w:jc w:val="right"/>
              <w:rPr>
                <w:rFonts w:cs="Arial"/>
                <w:lang w:eastAsia="en-GB"/>
              </w:rPr>
            </w:pPr>
            <w:r w:rsidRPr="00B85D62">
              <w:rPr>
                <w:rFonts w:cs="Arial"/>
                <w:color w:val="FFFFFF"/>
              </w:rPr>
              <w:t>1</w:t>
            </w:r>
          </w:p>
        </w:tc>
        <w:tc>
          <w:tcPr>
            <w:tcW w:w="0" w:type="auto"/>
            <w:shd w:val="clear" w:color="auto" w:fill="595959" w:themeFill="text1" w:themeFillTint="A6"/>
            <w:noWrap/>
            <w:vAlign w:val="bottom"/>
            <w:hideMark/>
          </w:tcPr>
          <w:p w14:paraId="5350A062" w14:textId="77777777" w:rsidR="003250C1" w:rsidRPr="00B85D62" w:rsidRDefault="003250C1" w:rsidP="0066232B">
            <w:pPr>
              <w:jc w:val="right"/>
              <w:rPr>
                <w:rFonts w:cs="Arial"/>
                <w:lang w:eastAsia="en-GB"/>
              </w:rPr>
            </w:pPr>
            <w:r w:rsidRPr="00B85D62">
              <w:rPr>
                <w:rFonts w:cs="Arial"/>
                <w:color w:val="FFFFFF"/>
              </w:rPr>
              <w:t>1</w:t>
            </w:r>
          </w:p>
        </w:tc>
        <w:tc>
          <w:tcPr>
            <w:tcW w:w="0" w:type="auto"/>
            <w:shd w:val="clear" w:color="auto" w:fill="595959" w:themeFill="text1" w:themeFillTint="A6"/>
            <w:noWrap/>
            <w:vAlign w:val="bottom"/>
            <w:hideMark/>
          </w:tcPr>
          <w:p w14:paraId="57259EA6" w14:textId="77777777" w:rsidR="003250C1" w:rsidRPr="00B85D62" w:rsidRDefault="003250C1" w:rsidP="0066232B">
            <w:pPr>
              <w:jc w:val="right"/>
              <w:rPr>
                <w:rFonts w:cs="Arial"/>
                <w:lang w:eastAsia="en-GB"/>
              </w:rPr>
            </w:pPr>
            <w:r w:rsidRPr="00B85D62">
              <w:rPr>
                <w:rFonts w:cs="Arial"/>
                <w:color w:val="FFFFFF"/>
              </w:rPr>
              <w:t>3</w:t>
            </w:r>
          </w:p>
        </w:tc>
        <w:tc>
          <w:tcPr>
            <w:tcW w:w="0" w:type="auto"/>
            <w:shd w:val="clear" w:color="auto" w:fill="E7E6E6" w:themeFill="background2"/>
            <w:noWrap/>
            <w:vAlign w:val="bottom"/>
            <w:hideMark/>
          </w:tcPr>
          <w:p w14:paraId="59443858" w14:textId="77777777" w:rsidR="003250C1" w:rsidRPr="00B85D62" w:rsidRDefault="003250C1" w:rsidP="0066232B">
            <w:pPr>
              <w:jc w:val="right"/>
              <w:rPr>
                <w:rFonts w:cs="Arial"/>
                <w:lang w:eastAsia="en-GB"/>
              </w:rPr>
            </w:pPr>
            <w:r w:rsidRPr="00B85D62">
              <w:rPr>
                <w:rFonts w:cs="Arial"/>
              </w:rPr>
              <w:t>24</w:t>
            </w:r>
          </w:p>
        </w:tc>
        <w:tc>
          <w:tcPr>
            <w:tcW w:w="0" w:type="auto"/>
            <w:shd w:val="clear" w:color="auto" w:fill="E7E6E6" w:themeFill="background2"/>
            <w:noWrap/>
            <w:vAlign w:val="bottom"/>
            <w:hideMark/>
          </w:tcPr>
          <w:p w14:paraId="29327358" w14:textId="77777777" w:rsidR="003250C1" w:rsidRPr="00B85D62" w:rsidRDefault="003250C1" w:rsidP="0066232B">
            <w:pPr>
              <w:jc w:val="right"/>
              <w:rPr>
                <w:rFonts w:cs="Arial"/>
                <w:lang w:eastAsia="en-GB"/>
              </w:rPr>
            </w:pPr>
            <w:r w:rsidRPr="00B85D62">
              <w:rPr>
                <w:rFonts w:cs="Arial"/>
              </w:rPr>
              <w:t>29</w:t>
            </w:r>
          </w:p>
        </w:tc>
        <w:tc>
          <w:tcPr>
            <w:tcW w:w="0" w:type="auto"/>
            <w:shd w:val="clear" w:color="auto" w:fill="auto"/>
            <w:noWrap/>
            <w:vAlign w:val="bottom"/>
            <w:hideMark/>
          </w:tcPr>
          <w:p w14:paraId="0F7FB59D"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3166F5D1"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5F12C17"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6A07289E" w14:textId="77777777" w:rsidTr="00B85D62">
        <w:trPr>
          <w:cantSplit/>
        </w:trPr>
        <w:tc>
          <w:tcPr>
            <w:tcW w:w="0" w:type="auto"/>
            <w:shd w:val="clear" w:color="auto" w:fill="auto"/>
            <w:noWrap/>
            <w:vAlign w:val="bottom"/>
            <w:hideMark/>
          </w:tcPr>
          <w:p w14:paraId="37FFADC0" w14:textId="77777777" w:rsidR="003250C1" w:rsidRPr="00B85D62" w:rsidRDefault="003250C1" w:rsidP="0066232B">
            <w:pPr>
              <w:jc w:val="right"/>
              <w:rPr>
                <w:rFonts w:cs="Arial"/>
                <w:lang w:eastAsia="en-GB"/>
              </w:rPr>
            </w:pPr>
            <w:r w:rsidRPr="00B85D62">
              <w:rPr>
                <w:rFonts w:cs="Arial"/>
                <w:lang w:eastAsia="en-GB"/>
              </w:rPr>
              <w:t>3.5</w:t>
            </w:r>
          </w:p>
        </w:tc>
        <w:tc>
          <w:tcPr>
            <w:tcW w:w="0" w:type="auto"/>
            <w:shd w:val="clear" w:color="auto" w:fill="E7E6E6" w:themeFill="background2"/>
            <w:noWrap/>
            <w:vAlign w:val="bottom"/>
            <w:hideMark/>
          </w:tcPr>
          <w:p w14:paraId="66B9699A" w14:textId="77777777" w:rsidR="003250C1" w:rsidRPr="00B85D62" w:rsidRDefault="003250C1" w:rsidP="0066232B">
            <w:pPr>
              <w:jc w:val="right"/>
              <w:rPr>
                <w:rFonts w:cs="Arial"/>
                <w:lang w:eastAsia="en-GB"/>
              </w:rPr>
            </w:pPr>
            <w:r w:rsidRPr="00B85D62">
              <w:rPr>
                <w:rFonts w:cs="Arial"/>
              </w:rPr>
              <w:t>22</w:t>
            </w:r>
          </w:p>
        </w:tc>
        <w:tc>
          <w:tcPr>
            <w:tcW w:w="0" w:type="auto"/>
            <w:shd w:val="clear" w:color="auto" w:fill="E7E6E6" w:themeFill="background2"/>
            <w:noWrap/>
            <w:vAlign w:val="bottom"/>
            <w:hideMark/>
          </w:tcPr>
          <w:p w14:paraId="72152464" w14:textId="77777777" w:rsidR="003250C1" w:rsidRPr="00B85D62" w:rsidRDefault="003250C1" w:rsidP="0066232B">
            <w:pPr>
              <w:jc w:val="right"/>
              <w:rPr>
                <w:rFonts w:cs="Arial"/>
                <w:lang w:eastAsia="en-GB"/>
              </w:rPr>
            </w:pPr>
            <w:r w:rsidRPr="00B85D62">
              <w:rPr>
                <w:rFonts w:cs="Arial"/>
              </w:rPr>
              <w:t>26</w:t>
            </w:r>
          </w:p>
        </w:tc>
        <w:tc>
          <w:tcPr>
            <w:tcW w:w="0" w:type="auto"/>
            <w:shd w:val="clear" w:color="auto" w:fill="E7E6E6" w:themeFill="background2"/>
            <w:noWrap/>
            <w:vAlign w:val="bottom"/>
            <w:hideMark/>
          </w:tcPr>
          <w:p w14:paraId="3021FC4D" w14:textId="77777777" w:rsidR="003250C1" w:rsidRPr="00B85D62" w:rsidRDefault="003250C1" w:rsidP="0066232B">
            <w:pPr>
              <w:jc w:val="right"/>
              <w:rPr>
                <w:rFonts w:cs="Arial"/>
                <w:lang w:eastAsia="en-GB"/>
              </w:rPr>
            </w:pPr>
            <w:r w:rsidRPr="00B85D62">
              <w:rPr>
                <w:rFonts w:cs="Arial"/>
              </w:rPr>
              <w:t>24</w:t>
            </w:r>
          </w:p>
        </w:tc>
        <w:tc>
          <w:tcPr>
            <w:tcW w:w="0" w:type="auto"/>
            <w:shd w:val="clear" w:color="auto" w:fill="auto"/>
            <w:noWrap/>
            <w:vAlign w:val="bottom"/>
            <w:hideMark/>
          </w:tcPr>
          <w:p w14:paraId="22D8E613"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75FF210B"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7A3A166"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3B73B061"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0424969"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204EB730" w14:textId="77777777" w:rsidTr="00B85D62">
        <w:trPr>
          <w:cantSplit/>
        </w:trPr>
        <w:tc>
          <w:tcPr>
            <w:tcW w:w="0" w:type="auto"/>
            <w:shd w:val="clear" w:color="auto" w:fill="auto"/>
            <w:noWrap/>
            <w:vAlign w:val="bottom"/>
            <w:hideMark/>
          </w:tcPr>
          <w:p w14:paraId="2FAE2FAF" w14:textId="77777777" w:rsidR="003250C1" w:rsidRPr="00B85D62" w:rsidRDefault="003250C1" w:rsidP="0066232B">
            <w:pPr>
              <w:jc w:val="right"/>
              <w:rPr>
                <w:rFonts w:cs="Arial"/>
                <w:lang w:eastAsia="en-GB"/>
              </w:rPr>
            </w:pPr>
            <w:r w:rsidRPr="00B85D62">
              <w:rPr>
                <w:rFonts w:cs="Arial"/>
                <w:lang w:eastAsia="en-GB"/>
              </w:rPr>
              <w:t>4.5</w:t>
            </w:r>
          </w:p>
        </w:tc>
        <w:tc>
          <w:tcPr>
            <w:tcW w:w="0" w:type="auto"/>
            <w:shd w:val="clear" w:color="auto" w:fill="E7E6E6" w:themeFill="background2"/>
            <w:noWrap/>
            <w:vAlign w:val="bottom"/>
            <w:hideMark/>
          </w:tcPr>
          <w:p w14:paraId="486810D5" w14:textId="77777777" w:rsidR="003250C1" w:rsidRPr="00B85D62" w:rsidRDefault="003250C1" w:rsidP="0066232B">
            <w:pPr>
              <w:jc w:val="right"/>
              <w:rPr>
                <w:rFonts w:cs="Arial"/>
                <w:lang w:eastAsia="en-GB"/>
              </w:rPr>
            </w:pPr>
            <w:r w:rsidRPr="00B85D62">
              <w:rPr>
                <w:rFonts w:cs="Arial"/>
              </w:rPr>
              <w:t>26</w:t>
            </w:r>
          </w:p>
        </w:tc>
        <w:tc>
          <w:tcPr>
            <w:tcW w:w="0" w:type="auto"/>
            <w:shd w:val="clear" w:color="auto" w:fill="E7E6E6" w:themeFill="background2"/>
            <w:noWrap/>
            <w:vAlign w:val="bottom"/>
            <w:hideMark/>
          </w:tcPr>
          <w:p w14:paraId="5B5AA76D" w14:textId="77777777" w:rsidR="003250C1" w:rsidRPr="00B85D62" w:rsidRDefault="003250C1" w:rsidP="0066232B">
            <w:pPr>
              <w:jc w:val="right"/>
              <w:rPr>
                <w:rFonts w:cs="Arial"/>
                <w:lang w:eastAsia="en-GB"/>
              </w:rPr>
            </w:pPr>
            <w:r w:rsidRPr="00B85D62">
              <w:rPr>
                <w:rFonts w:cs="Arial"/>
              </w:rPr>
              <w:t>27</w:t>
            </w:r>
          </w:p>
        </w:tc>
        <w:tc>
          <w:tcPr>
            <w:tcW w:w="0" w:type="auto"/>
            <w:shd w:val="clear" w:color="auto" w:fill="auto"/>
            <w:noWrap/>
            <w:vAlign w:val="bottom"/>
            <w:hideMark/>
          </w:tcPr>
          <w:p w14:paraId="3FD5D797"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9BC9147"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221E06F8"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74FE1814"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2EEBC1D"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2BB38053"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0233122E" w14:textId="77777777" w:rsidTr="00B85D62">
        <w:trPr>
          <w:cantSplit/>
        </w:trPr>
        <w:tc>
          <w:tcPr>
            <w:tcW w:w="0" w:type="auto"/>
            <w:shd w:val="clear" w:color="auto" w:fill="auto"/>
            <w:noWrap/>
            <w:vAlign w:val="bottom"/>
            <w:hideMark/>
          </w:tcPr>
          <w:p w14:paraId="06D66769" w14:textId="77777777" w:rsidR="003250C1" w:rsidRPr="00B85D62" w:rsidRDefault="003250C1" w:rsidP="0066232B">
            <w:pPr>
              <w:jc w:val="right"/>
              <w:rPr>
                <w:rFonts w:cs="Arial"/>
                <w:lang w:eastAsia="en-GB"/>
              </w:rPr>
            </w:pPr>
            <w:r w:rsidRPr="00B85D62">
              <w:rPr>
                <w:rFonts w:cs="Arial"/>
                <w:lang w:eastAsia="en-GB"/>
              </w:rPr>
              <w:t>5.5</w:t>
            </w:r>
          </w:p>
        </w:tc>
        <w:tc>
          <w:tcPr>
            <w:tcW w:w="0" w:type="auto"/>
            <w:shd w:val="clear" w:color="auto" w:fill="E7E6E6" w:themeFill="background2"/>
            <w:noWrap/>
            <w:vAlign w:val="bottom"/>
            <w:hideMark/>
          </w:tcPr>
          <w:p w14:paraId="6A49D8BF" w14:textId="77777777" w:rsidR="003250C1" w:rsidRPr="00B85D62" w:rsidRDefault="003250C1" w:rsidP="0066232B">
            <w:pPr>
              <w:jc w:val="right"/>
              <w:rPr>
                <w:rFonts w:cs="Arial"/>
                <w:lang w:eastAsia="en-GB"/>
              </w:rPr>
            </w:pPr>
            <w:r w:rsidRPr="00B85D62">
              <w:rPr>
                <w:rFonts w:cs="Arial"/>
              </w:rPr>
              <w:t>28</w:t>
            </w:r>
          </w:p>
        </w:tc>
        <w:tc>
          <w:tcPr>
            <w:tcW w:w="0" w:type="auto"/>
            <w:shd w:val="clear" w:color="auto" w:fill="auto"/>
            <w:noWrap/>
            <w:vAlign w:val="bottom"/>
            <w:hideMark/>
          </w:tcPr>
          <w:p w14:paraId="2E0CFAAB"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42F93F72"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F03E3A2"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340BB49"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55D95B1"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2448DA8"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2AFB3528"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1F6D647F" w14:textId="77777777" w:rsidTr="00B85D62">
        <w:trPr>
          <w:cantSplit/>
        </w:trPr>
        <w:tc>
          <w:tcPr>
            <w:tcW w:w="0" w:type="auto"/>
            <w:shd w:val="clear" w:color="auto" w:fill="auto"/>
            <w:noWrap/>
            <w:vAlign w:val="bottom"/>
            <w:hideMark/>
          </w:tcPr>
          <w:p w14:paraId="7C4D2F98" w14:textId="77777777" w:rsidR="003250C1" w:rsidRPr="00B85D62" w:rsidRDefault="003250C1" w:rsidP="0066232B">
            <w:pPr>
              <w:jc w:val="right"/>
              <w:rPr>
                <w:rFonts w:cs="Arial"/>
                <w:lang w:eastAsia="en-GB"/>
              </w:rPr>
            </w:pPr>
            <w:r w:rsidRPr="00B85D62">
              <w:rPr>
                <w:rFonts w:cs="Arial"/>
                <w:lang w:eastAsia="en-GB"/>
              </w:rPr>
              <w:t>6.5</w:t>
            </w:r>
          </w:p>
        </w:tc>
        <w:tc>
          <w:tcPr>
            <w:tcW w:w="0" w:type="auto"/>
            <w:shd w:val="clear" w:color="auto" w:fill="E7E6E6" w:themeFill="background2"/>
            <w:noWrap/>
            <w:vAlign w:val="bottom"/>
            <w:hideMark/>
          </w:tcPr>
          <w:p w14:paraId="3827E5F7" w14:textId="77777777" w:rsidR="003250C1" w:rsidRPr="00B85D62" w:rsidRDefault="003250C1" w:rsidP="0066232B">
            <w:pPr>
              <w:jc w:val="right"/>
              <w:rPr>
                <w:rFonts w:cs="Arial"/>
                <w:lang w:eastAsia="en-GB"/>
              </w:rPr>
            </w:pPr>
            <w:r w:rsidRPr="00B85D62">
              <w:rPr>
                <w:rFonts w:cs="Arial"/>
              </w:rPr>
              <w:t>29</w:t>
            </w:r>
          </w:p>
        </w:tc>
        <w:tc>
          <w:tcPr>
            <w:tcW w:w="0" w:type="auto"/>
            <w:shd w:val="clear" w:color="auto" w:fill="auto"/>
            <w:noWrap/>
            <w:vAlign w:val="bottom"/>
            <w:hideMark/>
          </w:tcPr>
          <w:p w14:paraId="6DADF5FE"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45C2F321"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2F61B84"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168A91B0"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D03D4A4"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77019142"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122E9095"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322C2778" w14:textId="77777777" w:rsidTr="00B85D62">
        <w:trPr>
          <w:cantSplit/>
        </w:trPr>
        <w:tc>
          <w:tcPr>
            <w:tcW w:w="0" w:type="auto"/>
            <w:shd w:val="clear" w:color="auto" w:fill="auto"/>
            <w:noWrap/>
            <w:vAlign w:val="bottom"/>
            <w:hideMark/>
          </w:tcPr>
          <w:p w14:paraId="42B510BD" w14:textId="77777777" w:rsidR="003250C1" w:rsidRPr="00B85D62" w:rsidRDefault="003250C1" w:rsidP="0066232B">
            <w:pPr>
              <w:jc w:val="right"/>
              <w:rPr>
                <w:rFonts w:cs="Arial"/>
                <w:lang w:eastAsia="en-GB"/>
              </w:rPr>
            </w:pPr>
            <w:r w:rsidRPr="00B85D62">
              <w:rPr>
                <w:rFonts w:cs="Arial"/>
                <w:lang w:eastAsia="en-GB"/>
              </w:rPr>
              <w:t>7.5</w:t>
            </w:r>
          </w:p>
        </w:tc>
        <w:tc>
          <w:tcPr>
            <w:tcW w:w="0" w:type="auto"/>
            <w:shd w:val="clear" w:color="auto" w:fill="auto"/>
            <w:noWrap/>
            <w:vAlign w:val="bottom"/>
            <w:hideMark/>
          </w:tcPr>
          <w:p w14:paraId="374FE9C5"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FC7EC82"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3C8E4B6"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4CFAD768"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4E26A0F3"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3AF960E5"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C070A23"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051C8522" w14:textId="77777777" w:rsidR="003250C1" w:rsidRPr="00B85D62" w:rsidRDefault="003250C1" w:rsidP="0066232B">
            <w:pPr>
              <w:jc w:val="right"/>
              <w:rPr>
                <w:rFonts w:cs="Arial"/>
                <w:color w:val="FFFFFF"/>
                <w:lang w:eastAsia="en-GB"/>
              </w:rPr>
            </w:pPr>
            <w:r w:rsidRPr="00B85D62">
              <w:rPr>
                <w:rFonts w:cs="Arial"/>
              </w:rPr>
              <w:t>30</w:t>
            </w:r>
          </w:p>
        </w:tc>
      </w:tr>
      <w:tr w:rsidR="00B85D62" w:rsidRPr="00B85D62" w14:paraId="3873B8AA" w14:textId="77777777" w:rsidTr="00B85D62">
        <w:trPr>
          <w:cantSplit/>
        </w:trPr>
        <w:tc>
          <w:tcPr>
            <w:tcW w:w="0" w:type="auto"/>
            <w:shd w:val="clear" w:color="auto" w:fill="auto"/>
            <w:noWrap/>
            <w:vAlign w:val="bottom"/>
            <w:hideMark/>
          </w:tcPr>
          <w:p w14:paraId="62F2F052" w14:textId="77777777" w:rsidR="003250C1" w:rsidRPr="00B85D62" w:rsidRDefault="003250C1" w:rsidP="0066232B">
            <w:pPr>
              <w:jc w:val="right"/>
              <w:rPr>
                <w:rFonts w:cs="Arial"/>
                <w:lang w:eastAsia="en-GB"/>
              </w:rPr>
            </w:pPr>
            <w:r w:rsidRPr="00B85D62">
              <w:rPr>
                <w:rFonts w:cs="Arial"/>
                <w:lang w:eastAsia="en-GB"/>
              </w:rPr>
              <w:t>8.5</w:t>
            </w:r>
          </w:p>
        </w:tc>
        <w:tc>
          <w:tcPr>
            <w:tcW w:w="0" w:type="auto"/>
            <w:shd w:val="clear" w:color="auto" w:fill="auto"/>
            <w:noWrap/>
            <w:vAlign w:val="bottom"/>
            <w:hideMark/>
          </w:tcPr>
          <w:p w14:paraId="1CFA6FCE"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4E9FE888"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7A89A2C"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4A2F71FC"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1934AEE2"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1525E1E1"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69573D0B" w14:textId="77777777" w:rsidR="003250C1" w:rsidRPr="00B85D62" w:rsidRDefault="003250C1" w:rsidP="0066232B">
            <w:pPr>
              <w:jc w:val="right"/>
              <w:rPr>
                <w:rFonts w:cs="Arial"/>
                <w:color w:val="FFFFFF"/>
                <w:lang w:eastAsia="en-GB"/>
              </w:rPr>
            </w:pPr>
            <w:r w:rsidRPr="00B85D62">
              <w:rPr>
                <w:rFonts w:cs="Arial"/>
              </w:rPr>
              <w:t>30</w:t>
            </w:r>
          </w:p>
        </w:tc>
        <w:tc>
          <w:tcPr>
            <w:tcW w:w="0" w:type="auto"/>
            <w:shd w:val="clear" w:color="auto" w:fill="auto"/>
            <w:noWrap/>
            <w:vAlign w:val="bottom"/>
            <w:hideMark/>
          </w:tcPr>
          <w:p w14:paraId="52CDB3B3" w14:textId="77777777" w:rsidR="003250C1" w:rsidRPr="00B85D62" w:rsidRDefault="003250C1" w:rsidP="0066232B">
            <w:pPr>
              <w:jc w:val="right"/>
              <w:rPr>
                <w:rFonts w:cs="Arial"/>
                <w:color w:val="FFFFFF"/>
                <w:lang w:eastAsia="en-GB"/>
              </w:rPr>
            </w:pPr>
            <w:r w:rsidRPr="00B85D62">
              <w:rPr>
                <w:rFonts w:cs="Arial"/>
              </w:rPr>
              <w:t>30</w:t>
            </w:r>
          </w:p>
        </w:tc>
      </w:tr>
      <w:tr w:rsidR="003250C1" w:rsidRPr="00B85D62" w14:paraId="77661693" w14:textId="77777777" w:rsidTr="00B85D62">
        <w:trPr>
          <w:cantSplit/>
        </w:trPr>
        <w:tc>
          <w:tcPr>
            <w:tcW w:w="0" w:type="auto"/>
            <w:gridSpan w:val="9"/>
            <w:shd w:val="clear" w:color="auto" w:fill="auto"/>
            <w:noWrap/>
            <w:vAlign w:val="bottom"/>
          </w:tcPr>
          <w:p w14:paraId="4A80150B" w14:textId="2D9EB342" w:rsidR="003250C1" w:rsidRPr="00B85D62" w:rsidRDefault="003250C1" w:rsidP="0066232B">
            <w:pPr>
              <w:rPr>
                <w:rFonts w:cs="Arial"/>
                <w:sz w:val="18"/>
                <w:szCs w:val="18"/>
                <w:lang w:eastAsia="en-GB"/>
              </w:rPr>
            </w:pPr>
            <w:r w:rsidRPr="00B85D62">
              <w:rPr>
                <w:rFonts w:cs="Arial"/>
                <w:sz w:val="18"/>
                <w:szCs w:val="18"/>
                <w:lang w:eastAsia="en-GB"/>
              </w:rPr>
              <w:t>The cells show the number of times (base-case</w:t>
            </w:r>
            <w:r w:rsidR="00B85D62" w:rsidRPr="00B85D62">
              <w:rPr>
                <w:rFonts w:cs="Arial"/>
                <w:color w:val="00B0F0"/>
                <w:sz w:val="18"/>
                <w:szCs w:val="18"/>
                <w:lang w:eastAsia="en-GB"/>
              </w:rPr>
              <w:t>+</w:t>
            </w:r>
            <w:r w:rsidRPr="00B85D62">
              <w:rPr>
                <w:rFonts w:cs="Arial"/>
                <w:sz w:val="18"/>
                <w:szCs w:val="18"/>
                <w:lang w:eastAsia="en-GB"/>
              </w:rPr>
              <w:t>scenarios) where diagnosis was a net health gain, for the cost-effectiveness threshold of £15,000/QALY:</w:t>
            </w:r>
          </w:p>
          <w:p w14:paraId="2EB4252F" w14:textId="77777777" w:rsidR="003250C1" w:rsidRPr="00B85D62" w:rsidRDefault="003250C1" w:rsidP="00034506">
            <w:pPr>
              <w:pStyle w:val="ListParagraph"/>
              <w:numPr>
                <w:ilvl w:val="0"/>
                <w:numId w:val="12"/>
              </w:numPr>
              <w:contextualSpacing w:val="0"/>
              <w:rPr>
                <w:rFonts w:cs="Arial"/>
                <w:sz w:val="18"/>
                <w:szCs w:val="18"/>
                <w:lang w:eastAsia="en-GB"/>
              </w:rPr>
            </w:pPr>
            <w:r w:rsidRPr="00B85D62">
              <w:rPr>
                <w:rFonts w:cs="Arial"/>
                <w:sz w:val="18"/>
                <w:szCs w:val="18"/>
                <w:highlight w:val="magenta"/>
                <w:lang w:eastAsia="en-GB"/>
              </w:rPr>
              <w:t>Black</w:t>
            </w:r>
            <w:r w:rsidRPr="00B85D62">
              <w:rPr>
                <w:rFonts w:cs="Arial"/>
                <w:sz w:val="18"/>
                <w:szCs w:val="18"/>
                <w:lang w:eastAsia="en-GB"/>
              </w:rPr>
              <w:t>: if diagnosis was not a net health gain in either the base-case or scenarios.</w:t>
            </w:r>
          </w:p>
          <w:p w14:paraId="50033BEA" w14:textId="5AEEFA0C" w:rsidR="003250C1" w:rsidRPr="00B85D62" w:rsidRDefault="003250C1" w:rsidP="00034506">
            <w:pPr>
              <w:pStyle w:val="ListParagraph"/>
              <w:numPr>
                <w:ilvl w:val="0"/>
                <w:numId w:val="12"/>
              </w:numPr>
              <w:contextualSpacing w:val="0"/>
              <w:rPr>
                <w:rFonts w:cs="Arial"/>
                <w:sz w:val="18"/>
                <w:szCs w:val="18"/>
                <w:lang w:eastAsia="en-GB"/>
              </w:rPr>
            </w:pPr>
            <w:r w:rsidRPr="00B85D62">
              <w:rPr>
                <w:rFonts w:cs="Arial"/>
                <w:sz w:val="18"/>
                <w:szCs w:val="18"/>
                <w:lang w:eastAsia="en-GB"/>
              </w:rPr>
              <w:t>Dark grey: if diagnosis was a net health gain in 1</w:t>
            </w:r>
            <w:r w:rsidR="00B85D62" w:rsidRPr="00B85D62">
              <w:rPr>
                <w:rFonts w:cs="Arial"/>
                <w:color w:val="00B0F0"/>
                <w:sz w:val="18"/>
                <w:szCs w:val="18"/>
                <w:lang w:eastAsia="en-GB"/>
              </w:rPr>
              <w:t>–</w:t>
            </w:r>
            <w:r w:rsidR="00B85D62" w:rsidRPr="00B85D62">
              <w:rPr>
                <w:rFonts w:cs="Arial"/>
                <w:color w:val="00B0F0"/>
                <w:sz w:val="18"/>
                <w:szCs w:val="18"/>
                <w:lang w:eastAsia="en-GB"/>
              </w:rPr>
              <w:t>1</w:t>
            </w:r>
            <w:r w:rsidRPr="00B85D62">
              <w:rPr>
                <w:rFonts w:cs="Arial"/>
                <w:sz w:val="18"/>
                <w:szCs w:val="18"/>
                <w:lang w:eastAsia="en-GB"/>
              </w:rPr>
              <w:t>0 of the base-case and scenarios.</w:t>
            </w:r>
          </w:p>
          <w:p w14:paraId="271E508F" w14:textId="1F1C1AC7" w:rsidR="003250C1" w:rsidRPr="00B85D62" w:rsidRDefault="003250C1" w:rsidP="00034506">
            <w:pPr>
              <w:pStyle w:val="ListParagraph"/>
              <w:numPr>
                <w:ilvl w:val="0"/>
                <w:numId w:val="12"/>
              </w:numPr>
              <w:contextualSpacing w:val="0"/>
              <w:rPr>
                <w:rFonts w:cs="Arial"/>
                <w:sz w:val="18"/>
                <w:szCs w:val="18"/>
                <w:lang w:eastAsia="en-GB"/>
              </w:rPr>
            </w:pPr>
            <w:r w:rsidRPr="00B85D62">
              <w:rPr>
                <w:rFonts w:cs="Arial"/>
                <w:sz w:val="18"/>
                <w:szCs w:val="18"/>
                <w:lang w:eastAsia="en-GB"/>
              </w:rPr>
              <w:t>Medium grey: if diagnosis was a net health gain in 11</w:t>
            </w:r>
            <w:r w:rsidR="00B85D62" w:rsidRPr="00B85D62">
              <w:rPr>
                <w:rFonts w:cs="Arial"/>
                <w:color w:val="00B0F0"/>
                <w:sz w:val="18"/>
                <w:szCs w:val="18"/>
                <w:lang w:eastAsia="en-GB"/>
              </w:rPr>
              <w:t>–</w:t>
            </w:r>
            <w:r w:rsidR="00B85D62" w:rsidRPr="00B85D62">
              <w:rPr>
                <w:rFonts w:cs="Arial"/>
                <w:color w:val="00B0F0"/>
                <w:sz w:val="18"/>
                <w:szCs w:val="18"/>
                <w:lang w:eastAsia="en-GB"/>
              </w:rPr>
              <w:t>2</w:t>
            </w:r>
            <w:r w:rsidRPr="00B85D62">
              <w:rPr>
                <w:rFonts w:cs="Arial"/>
                <w:sz w:val="18"/>
                <w:szCs w:val="18"/>
                <w:lang w:eastAsia="en-GB"/>
              </w:rPr>
              <w:t>0 of the base-case and scenarios.</w:t>
            </w:r>
          </w:p>
          <w:p w14:paraId="51053B8A" w14:textId="55C6F7AC" w:rsidR="003250C1" w:rsidRPr="00B85D62" w:rsidRDefault="003250C1" w:rsidP="00034506">
            <w:pPr>
              <w:pStyle w:val="ListParagraph"/>
              <w:numPr>
                <w:ilvl w:val="0"/>
                <w:numId w:val="12"/>
              </w:numPr>
              <w:contextualSpacing w:val="0"/>
              <w:rPr>
                <w:rFonts w:cs="Arial"/>
                <w:sz w:val="18"/>
                <w:szCs w:val="18"/>
                <w:lang w:eastAsia="en-GB"/>
              </w:rPr>
            </w:pPr>
            <w:r w:rsidRPr="00B85D62">
              <w:rPr>
                <w:rFonts w:cs="Arial"/>
                <w:sz w:val="18"/>
                <w:szCs w:val="18"/>
                <w:lang w:eastAsia="en-GB"/>
              </w:rPr>
              <w:t>Light grey: if diagnosis was a net health gain in 21</w:t>
            </w:r>
            <w:r w:rsidR="00B85D62" w:rsidRPr="00B85D62">
              <w:rPr>
                <w:rFonts w:cs="Arial"/>
                <w:color w:val="00B0F0"/>
                <w:sz w:val="18"/>
                <w:szCs w:val="18"/>
                <w:lang w:eastAsia="en-GB"/>
              </w:rPr>
              <w:t>–</w:t>
            </w:r>
            <w:r w:rsidR="00B85D62" w:rsidRPr="00B85D62">
              <w:rPr>
                <w:rFonts w:cs="Arial"/>
                <w:color w:val="00B0F0"/>
                <w:sz w:val="18"/>
                <w:szCs w:val="18"/>
                <w:lang w:eastAsia="en-GB"/>
              </w:rPr>
              <w:t>2</w:t>
            </w:r>
            <w:r w:rsidRPr="00B85D62">
              <w:rPr>
                <w:rFonts w:cs="Arial"/>
                <w:sz w:val="18"/>
                <w:szCs w:val="18"/>
                <w:lang w:eastAsia="en-GB"/>
              </w:rPr>
              <w:t>9 of the base-case and scenarios.</w:t>
            </w:r>
          </w:p>
          <w:p w14:paraId="52B49A8E" w14:textId="77777777" w:rsidR="00B85D62" w:rsidRPr="00B85D62" w:rsidRDefault="003250C1" w:rsidP="00034506">
            <w:pPr>
              <w:pStyle w:val="ListParagraph"/>
              <w:numPr>
                <w:ilvl w:val="0"/>
                <w:numId w:val="12"/>
              </w:numPr>
              <w:contextualSpacing w:val="0"/>
              <w:rPr>
                <w:rFonts w:cs="Arial"/>
                <w:sz w:val="18"/>
                <w:szCs w:val="18"/>
                <w:lang w:eastAsia="en-GB"/>
              </w:rPr>
            </w:pPr>
            <w:r w:rsidRPr="00B85D62">
              <w:rPr>
                <w:rFonts w:cs="Arial"/>
                <w:sz w:val="18"/>
                <w:szCs w:val="18"/>
                <w:lang w:eastAsia="en-GB"/>
              </w:rPr>
              <w:t>White: if diagnosis was a net health gain in all of the 30 base-case and scenarios.</w:t>
            </w:r>
          </w:p>
          <w:p w14:paraId="0FF9A61B" w14:textId="650D8502" w:rsidR="003250C1" w:rsidRPr="00B85D62" w:rsidRDefault="003250C1" w:rsidP="0066232B">
            <w:pPr>
              <w:rPr>
                <w:rFonts w:cs="Arial"/>
                <w:sz w:val="18"/>
                <w:szCs w:val="18"/>
                <w:lang w:eastAsia="en-GB"/>
              </w:rPr>
            </w:pPr>
            <w:r w:rsidRPr="00B85D62">
              <w:rPr>
                <w:rFonts w:cs="Arial"/>
                <w:sz w:val="18"/>
                <w:szCs w:val="18"/>
                <w:lang w:eastAsia="en-GB"/>
              </w:rPr>
              <w:t xml:space="preserve">CVD: Cardiovascular Disease. PT-LDL-C: Pre-Treatment </w:t>
            </w:r>
            <w:r w:rsidR="00016700" w:rsidRPr="00B85D62">
              <w:rPr>
                <w:rFonts w:cs="Arial"/>
                <w:sz w:val="18"/>
                <w:szCs w:val="18"/>
                <w:lang w:eastAsia="en-GB"/>
              </w:rPr>
              <w:t>Low-</w:t>
            </w:r>
            <w:r w:rsidR="00FC6EAE" w:rsidRPr="00B85D62">
              <w:rPr>
                <w:rFonts w:cs="Arial"/>
                <w:sz w:val="18"/>
                <w:szCs w:val="18"/>
                <w:lang w:eastAsia="en-GB"/>
              </w:rPr>
              <w:t>d</w:t>
            </w:r>
            <w:r w:rsidRPr="00B85D62">
              <w:rPr>
                <w:rFonts w:cs="Arial"/>
                <w:sz w:val="18"/>
                <w:szCs w:val="18"/>
                <w:lang w:eastAsia="en-GB"/>
              </w:rPr>
              <w:t>ensity Lipoprotein Cholesterol.</w:t>
            </w:r>
          </w:p>
        </w:tc>
      </w:tr>
    </w:tbl>
    <w:p w14:paraId="4738B635" w14:textId="77777777" w:rsidR="00200E58" w:rsidRPr="00B85D62" w:rsidRDefault="00200E58" w:rsidP="0066232B">
      <w:pPr>
        <w:rPr>
          <w:rFonts w:cs="Arial"/>
          <w:lang w:eastAsia="en-GB"/>
        </w:rPr>
      </w:pPr>
    </w:p>
    <w:p w14:paraId="4A259AFF" w14:textId="52626329" w:rsidR="00B85D62" w:rsidRPr="00B85D62" w:rsidRDefault="003250C1" w:rsidP="0066232B">
      <w:pPr>
        <w:rPr>
          <w:rFonts w:cs="Arial"/>
          <w:lang w:eastAsia="en-GB"/>
        </w:rPr>
      </w:pPr>
      <w:r w:rsidRPr="00B85D62">
        <w:rPr>
          <w:rFonts w:cs="Arial"/>
          <w:lang w:eastAsia="en-GB"/>
        </w:rPr>
        <w:t xml:space="preserve">The model was most sensitive to scenarios with alternative assumptions about the long-term </w:t>
      </w:r>
      <w:r w:rsidR="005D09AA" w:rsidRPr="00B85D62">
        <w:rPr>
          <w:rFonts w:cs="Arial"/>
          <w:lang w:eastAsia="en-GB"/>
        </w:rPr>
        <w:t>cardiovascular</w:t>
      </w:r>
      <w:r w:rsidR="005D09AA" w:rsidRPr="00B85D62" w:rsidDel="005D09AA">
        <w:rPr>
          <w:rFonts w:cs="Arial"/>
          <w:lang w:eastAsia="en-GB"/>
        </w:rPr>
        <w:t xml:space="preserve"> </w:t>
      </w:r>
      <w:r w:rsidRPr="00B85D62">
        <w:rPr>
          <w:rFonts w:cs="Arial"/>
          <w:lang w:eastAsia="en-GB"/>
        </w:rPr>
        <w:t xml:space="preserve">risk and the effect of LDL-C burden over time, and to alternative assumptions about the benefits and costs of diagnosis. For example, not considering the effect of LDL-C burden on CVD risk (instead assuming that 1 mmol/L reduction in LDL-C reduces CVD risk by 21% as per the effect observed in trials of statins </w:t>
      </w:r>
      <w:r w:rsidR="00F80015" w:rsidRPr="00B85D62">
        <w:rPr>
          <w:rFonts w:cs="Arial"/>
          <w:noProof/>
          <w:vertAlign w:val="superscript"/>
          <w:lang w:eastAsia="en-GB"/>
        </w:rPr>
        <w:t>18</w:t>
      </w:r>
      <w:r w:rsidRPr="00B85D62">
        <w:rPr>
          <w:rFonts w:cs="Arial"/>
          <w:lang w:eastAsia="en-GB"/>
        </w:rPr>
        <w:t xml:space="preserve">) results in diagnosis not being a net health gain in 14 additional subgroups, as the (counterfactual) </w:t>
      </w:r>
      <w:r w:rsidR="005D09AA" w:rsidRPr="00B85D62">
        <w:rPr>
          <w:rFonts w:cs="Arial"/>
          <w:lang w:eastAsia="en-GB"/>
        </w:rPr>
        <w:t>cardiovascular</w:t>
      </w:r>
      <w:r w:rsidR="005D09AA" w:rsidRPr="00B85D62" w:rsidDel="005D09AA">
        <w:rPr>
          <w:rFonts w:cs="Arial"/>
          <w:lang w:eastAsia="en-GB"/>
        </w:rPr>
        <w:t xml:space="preserve"> </w:t>
      </w:r>
      <w:r w:rsidRPr="00B85D62">
        <w:rPr>
          <w:rFonts w:cs="Arial"/>
          <w:lang w:eastAsia="en-GB"/>
        </w:rPr>
        <w:t xml:space="preserve">risk in undiagnosed/untreated people is lower than in the base-case. If the risk of the </w:t>
      </w:r>
      <w:r w:rsidR="00B85D62" w:rsidRPr="00B85D62">
        <w:rPr>
          <w:rFonts w:cs="Arial"/>
          <w:color w:val="00B0F0"/>
          <w:lang w:eastAsia="en-GB"/>
        </w:rPr>
        <w:t>1st</w:t>
      </w:r>
      <w:r w:rsidRPr="00B85D62">
        <w:rPr>
          <w:rFonts w:cs="Arial"/>
          <w:lang w:eastAsia="en-GB"/>
        </w:rPr>
        <w:t xml:space="preserve"> CVD event does not increase over time as suggested by our analysis of the Perak</w:t>
      </w:r>
      <w:r w:rsidRPr="00B85D62">
        <w:rPr>
          <w:rFonts w:cs="Arial"/>
          <w:i/>
          <w:color w:val="00B0F0"/>
          <w:lang w:eastAsia="en-GB"/>
        </w:rPr>
        <w:t xml:space="preserve"> et al</w:t>
      </w:r>
      <w:r w:rsidRPr="00B85D62">
        <w:rPr>
          <w:rFonts w:cs="Arial"/>
          <w:lang w:eastAsia="en-GB"/>
        </w:rPr>
        <w:t xml:space="preserve"> </w:t>
      </w:r>
      <w:r w:rsidRPr="00B85D62">
        <w:rPr>
          <w:rFonts w:cs="Arial"/>
          <w:highlight w:val="magenta"/>
          <w:lang w:eastAsia="en-GB"/>
        </w:rPr>
        <w:t>data</w:t>
      </w:r>
      <w:r w:rsidRPr="00B85D62">
        <w:rPr>
          <w:rFonts w:cs="Arial"/>
          <w:lang w:eastAsia="en-GB"/>
        </w:rPr>
        <w:t xml:space="preserve">, diagnosis is not a net health gain in an additional 12 subgroups. Relating to the effect of diagnosis on health outcomes, the scenario with the greatest impact was if diagnosis reduces LDL-C to the EAS targets of 3.5 mmol/L in children and adolescents, 1.8 mmol/L in adults in primary prevention and 1.4 mmol/L in adults in secondary prevention </w:t>
      </w:r>
      <w:r w:rsidR="00C35B5E" w:rsidRPr="00B85D62">
        <w:rPr>
          <w:rFonts w:cs="Arial"/>
          <w:noProof/>
          <w:color w:val="2B579A"/>
          <w:shd w:val="clear" w:color="auto" w:fill="E6E6E6"/>
          <w:vertAlign w:val="superscript"/>
          <w:lang w:eastAsia="en-GB"/>
        </w:rPr>
        <w:t>131</w:t>
      </w:r>
      <w:r w:rsidRPr="00B85D62">
        <w:rPr>
          <w:rFonts w:cs="Arial"/>
          <w:lang w:eastAsia="en-GB"/>
        </w:rPr>
        <w:t>. Under this assumption, diagnosis is not a net health gain in an additional eight subgroups, namely subgroups with PT-LDL-C lower than the target, as they are assumed to experience no further reductions but incur the costs of monitoring. The scenario on the cost implications of diagnosis with the greatest impact was the assumption that 50% of adults are monitored in primary car</w:t>
      </w:r>
      <w:r w:rsidR="005D09AA" w:rsidRPr="00B85D62">
        <w:rPr>
          <w:rFonts w:cs="Arial"/>
          <w:lang w:eastAsia="en-GB"/>
        </w:rPr>
        <w:t>e</w:t>
      </w:r>
      <w:r w:rsidRPr="00B85D62">
        <w:rPr>
          <w:rFonts w:cs="Arial"/>
          <w:lang w:eastAsia="en-GB"/>
        </w:rPr>
        <w:t xml:space="preserve"> (vs 75% in the base-case).</w:t>
      </w:r>
    </w:p>
    <w:p w14:paraId="2D562AC9" w14:textId="2E041495" w:rsidR="003250C1" w:rsidRPr="00B85D62" w:rsidRDefault="29556E7B" w:rsidP="0066232B">
      <w:pPr>
        <w:rPr>
          <w:rFonts w:cs="Arial"/>
          <w:lang w:eastAsia="en-GB"/>
        </w:rPr>
      </w:pPr>
      <w:r w:rsidRPr="00B85D62">
        <w:rPr>
          <w:rFonts w:cs="Arial"/>
          <w:lang w:eastAsia="en-GB"/>
        </w:rPr>
        <w:t>The expected value of perfect information is small, at a maximum of 23.51</w:t>
      </w:r>
      <w:r w:rsidR="00B85D62" w:rsidRPr="00B85D62">
        <w:rPr>
          <w:rFonts w:cs="Arial"/>
          <w:color w:val="00B0F0"/>
          <w:lang w:eastAsia="en-GB"/>
        </w:rPr>
        <w:t>–</w:t>
      </w:r>
      <w:r w:rsidR="00B85D62" w:rsidRPr="00B85D62">
        <w:rPr>
          <w:rFonts w:cs="Arial"/>
          <w:color w:val="00B0F0"/>
          <w:lang w:eastAsia="en-GB"/>
        </w:rPr>
        <w:t>2</w:t>
      </w:r>
      <w:r w:rsidRPr="00B85D62">
        <w:rPr>
          <w:rFonts w:cs="Arial"/>
          <w:lang w:eastAsia="en-GB"/>
        </w:rPr>
        <w:t>5.12 QALYs per 1000 people at the £15,000/QALY and £20,000/QALY thresholds respectively (see</w:t>
      </w:r>
      <w:r w:rsidR="00895586" w:rsidRPr="00B85D62">
        <w:rPr>
          <w:rFonts w:cs="Arial"/>
          <w:lang w:eastAsia="en-GB"/>
        </w:rPr>
        <w:t xml:space="preserve"> </w:t>
      </w:r>
      <w:r w:rsidR="001D7F07" w:rsidRPr="00B85D62">
        <w:rPr>
          <w:rFonts w:eastAsia="Arial" w:cs="Arial"/>
          <w:i/>
          <w:color w:val="000000" w:themeColor="text1"/>
        </w:rPr>
        <w:t xml:space="preserve">Online Supplementary file </w:t>
      </w:r>
      <w:r w:rsidR="00E84D8B" w:rsidRPr="00B85D62">
        <w:rPr>
          <w:rFonts w:eastAsia="Arial" w:cs="Arial"/>
          <w:i/>
          <w:color w:val="000000" w:themeColor="text1"/>
        </w:rPr>
        <w:t>4</w:t>
      </w:r>
      <w:r w:rsidR="001D7F07" w:rsidRPr="00B85D62">
        <w:rPr>
          <w:rFonts w:eastAsia="Arial" w:cs="Arial"/>
          <w:i/>
          <w:color w:val="000000" w:themeColor="text1"/>
        </w:rPr>
        <w:t>,</w:t>
      </w:r>
      <w:r w:rsidR="005B23A1" w:rsidRPr="00B85D62">
        <w:rPr>
          <w:rFonts w:cs="Arial"/>
          <w:i/>
        </w:rPr>
        <w:t xml:space="preserve"> </w:t>
      </w:r>
      <w:r w:rsidR="00B85D62" w:rsidRPr="00B85D62">
        <w:rPr>
          <w:rFonts w:cs="Arial"/>
          <w:i/>
          <w:color w:val="FF0000"/>
          <w:lang w:eastAsia="en-GB"/>
        </w:rPr>
        <w:t>F</w:t>
      </w:r>
      <w:r w:rsidR="00B85D62" w:rsidRPr="00B85D62">
        <w:rPr>
          <w:rFonts w:cs="Arial"/>
          <w:i/>
          <w:color w:val="FF0000"/>
          <w:lang w:eastAsia="en-GB"/>
        </w:rPr>
        <w:t>igure</w:t>
      </w:r>
      <w:r w:rsidR="00B85D62" w:rsidRPr="00B85D62">
        <w:rPr>
          <w:rFonts w:cs="Arial"/>
          <w:i/>
          <w:color w:val="FF0000"/>
          <w:lang w:eastAsia="en-GB"/>
        </w:rPr>
        <w:t xml:space="preserve"> </w:t>
      </w:r>
      <w:r w:rsidR="00B85D62" w:rsidRPr="00B85D62">
        <w:rPr>
          <w:rFonts w:cs="Arial"/>
          <w:i/>
          <w:color w:val="FF0000"/>
          <w:lang w:eastAsia="en-GB"/>
        </w:rPr>
        <w:t>10</w:t>
      </w:r>
      <w:r w:rsidRPr="00B85D62">
        <w:rPr>
          <w:rFonts w:cs="Arial"/>
          <w:lang w:eastAsia="en-GB"/>
        </w:rPr>
        <w:t>). The small expected value of perfect information suggests that the impact of parameter uncertainty on decision uncertainty is small.</w:t>
      </w:r>
    </w:p>
    <w:p w14:paraId="5DB41EE9" w14:textId="5A6E795B" w:rsidR="003250C1" w:rsidRPr="00B85D62" w:rsidRDefault="000731D6" w:rsidP="006C7E71">
      <w:pPr>
        <w:pStyle w:val="Heading3"/>
        <w:rPr>
          <w:lang w:eastAsia="en-GB"/>
        </w:rPr>
      </w:pPr>
      <w:bookmarkStart w:id="225" w:name="_Toc107157492"/>
      <w:r w:rsidRPr="00B85D62">
        <w:rPr>
          <w:lang w:eastAsia="en-GB"/>
        </w:rPr>
        <w:t>Summary of Results and Study limitations</w:t>
      </w:r>
      <w:bookmarkEnd w:id="225"/>
    </w:p>
    <w:p w14:paraId="7021810D" w14:textId="48FF15C5" w:rsidR="00B85D62" w:rsidRPr="00B85D62" w:rsidRDefault="009E34A2" w:rsidP="003250C1">
      <w:pPr>
        <w:rPr>
          <w:lang w:eastAsia="en-GB"/>
        </w:rPr>
      </w:pPr>
      <w:bookmarkStart w:id="226" w:name="_Hlk73724125"/>
      <w:r w:rsidRPr="00B85D62">
        <w:rPr>
          <w:lang w:eastAsia="en-GB"/>
        </w:rPr>
        <w:t>Our model predicts that diagnosis leads to large gains in health outcomes, particularly in younger people and people with high PT-LDL-C.</w:t>
      </w:r>
      <w:bookmarkEnd w:id="226"/>
      <w:r w:rsidRPr="00B85D62">
        <w:rPr>
          <w:lang w:eastAsia="en-GB"/>
        </w:rPr>
        <w:t xml:space="preserve"> Diagnosis is predicted to substantially improve </w:t>
      </w:r>
      <w:bookmarkStart w:id="227" w:name="_Hlk70522546"/>
      <w:r w:rsidRPr="00B85D62">
        <w:rPr>
          <w:lang w:eastAsia="en-GB"/>
        </w:rPr>
        <w:t>event-free survival by up to 30 years and life expectancy by up to 11 years</w:t>
      </w:r>
      <w:bookmarkEnd w:id="227"/>
      <w:r w:rsidRPr="00B85D62">
        <w:rPr>
          <w:lang w:eastAsia="en-GB"/>
        </w:rPr>
        <w:t>, depending on people</w:t>
      </w:r>
      <w:r w:rsidR="00B85D62" w:rsidRPr="00B85D62">
        <w:rPr>
          <w:lang w:eastAsia="en-GB"/>
        </w:rPr>
        <w:t>’</w:t>
      </w:r>
      <w:r w:rsidRPr="00B85D62">
        <w:rPr>
          <w:lang w:eastAsia="en-GB"/>
        </w:rPr>
        <w:t xml:space="preserve"> age, sex, PT-LDL-C and prior CVD history. </w:t>
      </w:r>
      <w:bookmarkStart w:id="228" w:name="_Hlk73724183"/>
      <w:bookmarkStart w:id="229" w:name="_Hlk70522562"/>
      <w:r w:rsidRPr="00B85D62">
        <w:rPr>
          <w:lang w:eastAsia="en-GB"/>
        </w:rPr>
        <w:t>In people with higher PT-LDL-C (&gt;= 2.5</w:t>
      </w:r>
      <w:r w:rsidR="00B85D62" w:rsidRPr="00B85D62">
        <w:rPr>
          <w:color w:val="00B0F0"/>
          <w:lang w:eastAsia="en-GB"/>
        </w:rPr>
        <w:t>–</w:t>
      </w:r>
      <w:r w:rsidR="00B85D62" w:rsidRPr="00B85D62">
        <w:rPr>
          <w:color w:val="00B0F0"/>
          <w:lang w:eastAsia="en-GB"/>
        </w:rPr>
        <w:t>5</w:t>
      </w:r>
      <w:r w:rsidRPr="00B85D62">
        <w:rPr>
          <w:lang w:eastAsia="en-GB"/>
        </w:rPr>
        <w:t xml:space="preserve">.5 mmol/L depending on age and sex), FH diagnosis results in savings to the NHS, given the costs saved </w:t>
      </w:r>
      <w:r w:rsidRPr="00B85D62">
        <w:rPr>
          <w:highlight w:val="magenta"/>
          <w:lang w:eastAsia="en-GB"/>
        </w:rPr>
        <w:t>due to</w:t>
      </w:r>
      <w:r w:rsidRPr="00B85D62">
        <w:rPr>
          <w:lang w:eastAsia="en-GB"/>
        </w:rPr>
        <w:t xml:space="preserve"> avoided CVD events. </w:t>
      </w:r>
      <w:bookmarkEnd w:id="228"/>
      <w:bookmarkEnd w:id="229"/>
      <w:r w:rsidRPr="00B85D62">
        <w:rPr>
          <w:lang w:eastAsia="en-GB"/>
        </w:rPr>
        <w:t xml:space="preserve">In general, the net health gain of diagnosis is greater in males, people with higher PT-LDL-C and people with prior CVD history at diagnosis. The pattern is less clear with age </w:t>
      </w:r>
      <w:r w:rsidRPr="00B85D62">
        <w:rPr>
          <w:highlight w:val="magenta"/>
          <w:lang w:eastAsia="en-GB"/>
        </w:rPr>
        <w:t>due to</w:t>
      </w:r>
      <w:r w:rsidRPr="00B85D62">
        <w:rPr>
          <w:lang w:eastAsia="en-GB"/>
        </w:rPr>
        <w:t xml:space="preserve"> the effect of discounting health outcomes and costs to their present value, and the interaction between age at diagnosis, which determines the age from which treatment and monitoring costs start to be incurred, and age from which people are at </w:t>
      </w:r>
      <w:r w:rsidR="00D93C36" w:rsidRPr="00B85D62">
        <w:rPr>
          <w:lang w:eastAsia="en-GB"/>
        </w:rPr>
        <w:t>cardiovascular</w:t>
      </w:r>
      <w:r w:rsidR="00D93C36" w:rsidRPr="00B85D62" w:rsidDel="00D93C36">
        <w:rPr>
          <w:lang w:eastAsia="en-GB"/>
        </w:rPr>
        <w:t xml:space="preserve"> </w:t>
      </w:r>
      <w:r w:rsidRPr="00B85D62">
        <w:rPr>
          <w:lang w:eastAsia="en-GB"/>
        </w:rPr>
        <w:t>risk and therefore derive benefit from diagnosis.</w:t>
      </w:r>
    </w:p>
    <w:p w14:paraId="2C26F381" w14:textId="1C4A25FE" w:rsidR="00B85D62" w:rsidRPr="00B85D62" w:rsidRDefault="29556E7B" w:rsidP="0066232B">
      <w:pPr>
        <w:rPr>
          <w:rFonts w:cs="Arial"/>
          <w:lang w:eastAsia="en-GB"/>
        </w:rPr>
      </w:pPr>
      <w:r w:rsidRPr="00B85D62">
        <w:rPr>
          <w:rFonts w:cs="Arial"/>
          <w:lang w:eastAsia="en-GB"/>
        </w:rPr>
        <w:t xml:space="preserve">In general, and across all scenarios, diagnosis was a net health gain in most subgroups (particular in subgroups with PT-LDL-C &gt;= 2.5 mmol/L and/or with prior CVD history). The assumptions with the largest impact were those about the risk of </w:t>
      </w:r>
      <w:r w:rsidR="00B85D62" w:rsidRPr="00B85D62">
        <w:rPr>
          <w:rFonts w:cs="Arial"/>
          <w:color w:val="00B0F0"/>
          <w:lang w:eastAsia="en-GB"/>
        </w:rPr>
        <w:t>1st</w:t>
      </w:r>
      <w:r w:rsidRPr="00B85D62">
        <w:rPr>
          <w:rFonts w:cs="Arial"/>
          <w:lang w:eastAsia="en-GB"/>
        </w:rPr>
        <w:t xml:space="preserve"> major CVD event, particular the effect of LDL-C burden on </w:t>
      </w:r>
      <w:r w:rsidR="00D93C36" w:rsidRPr="00B85D62">
        <w:rPr>
          <w:rFonts w:cs="Arial"/>
          <w:lang w:eastAsia="en-GB"/>
        </w:rPr>
        <w:t>cardiovascular</w:t>
      </w:r>
      <w:r w:rsidR="00D93C36" w:rsidRPr="00B85D62" w:rsidDel="00D93C36">
        <w:rPr>
          <w:rFonts w:cs="Arial"/>
          <w:lang w:eastAsia="en-GB"/>
        </w:rPr>
        <w:t xml:space="preserve"> </w:t>
      </w:r>
      <w:r w:rsidRPr="00B85D62">
        <w:rPr>
          <w:rFonts w:cs="Arial"/>
          <w:lang w:eastAsia="en-GB"/>
        </w:rPr>
        <w:t xml:space="preserve">risk and the increase in </w:t>
      </w:r>
      <w:r w:rsidR="00D93C36" w:rsidRPr="00B85D62">
        <w:rPr>
          <w:rFonts w:cs="Arial"/>
          <w:lang w:eastAsia="en-GB"/>
        </w:rPr>
        <w:t>cardiovascular</w:t>
      </w:r>
      <w:r w:rsidR="00D93C36" w:rsidRPr="00B85D62" w:rsidDel="00D93C36">
        <w:rPr>
          <w:rFonts w:cs="Arial"/>
          <w:lang w:eastAsia="en-GB"/>
        </w:rPr>
        <w:t xml:space="preserve"> </w:t>
      </w:r>
      <w:r w:rsidRPr="00B85D62">
        <w:rPr>
          <w:rFonts w:cs="Arial"/>
          <w:lang w:eastAsia="en-GB"/>
        </w:rPr>
        <w:t xml:space="preserve">risk over time. The effect of LDL-C burden is supported by epidemiological studies </w:t>
      </w:r>
      <w:r w:rsidR="00F80015" w:rsidRPr="00B85D62">
        <w:rPr>
          <w:rFonts w:cs="Arial"/>
          <w:noProof/>
          <w:vertAlign w:val="superscript"/>
          <w:lang w:eastAsia="en-GB"/>
        </w:rPr>
        <w:t>17</w:t>
      </w:r>
      <w:r w:rsidRPr="00B85D62">
        <w:rPr>
          <w:rFonts w:cs="Arial"/>
          <w:lang w:eastAsia="en-GB"/>
        </w:rPr>
        <w:t xml:space="preserve">, although there is uncertainty about the size of the effect and its generalisability to people with FH. Similarly, while the assumption that </w:t>
      </w:r>
      <w:r w:rsidR="00D93C36" w:rsidRPr="00B85D62">
        <w:rPr>
          <w:rFonts w:cs="Arial"/>
          <w:lang w:eastAsia="en-GB"/>
        </w:rPr>
        <w:t>cardiovascular</w:t>
      </w:r>
      <w:r w:rsidR="00D93C36" w:rsidRPr="00B85D62" w:rsidDel="00D93C36">
        <w:rPr>
          <w:rFonts w:cs="Arial"/>
          <w:lang w:eastAsia="en-GB"/>
        </w:rPr>
        <w:t xml:space="preserve"> </w:t>
      </w:r>
      <w:r w:rsidRPr="00B85D62">
        <w:rPr>
          <w:rFonts w:cs="Arial"/>
          <w:lang w:eastAsia="en-GB"/>
        </w:rPr>
        <w:t>risk increases with age is uncontroversial, the magnitude of this increase is uncertain.</w:t>
      </w:r>
    </w:p>
    <w:p w14:paraId="751B7266" w14:textId="7ADBD32A" w:rsidR="00B85D62" w:rsidRPr="00B85D62" w:rsidRDefault="009561E4" w:rsidP="0066232B">
      <w:pPr>
        <w:rPr>
          <w:rFonts w:cs="Arial"/>
          <w:lang w:eastAsia="en-GB"/>
        </w:rPr>
      </w:pPr>
      <w:r w:rsidRPr="00B85D62">
        <w:rPr>
          <w:rFonts w:cs="Arial"/>
          <w:lang w:eastAsia="en-GB"/>
        </w:rPr>
        <w:t>Uncertainty about the magnitude of net health gain from diagnosis is mainly driven by the structural uncertainty in key assumptions related to the cardiovascular risk over people</w:t>
      </w:r>
      <w:r w:rsidR="00B85D62" w:rsidRPr="00B85D62">
        <w:rPr>
          <w:rFonts w:cs="Arial"/>
          <w:lang w:eastAsia="en-GB"/>
        </w:rPr>
        <w:t>’</w:t>
      </w:r>
      <w:r w:rsidRPr="00B85D62">
        <w:rPr>
          <w:rFonts w:cs="Arial"/>
          <w:lang w:eastAsia="en-GB"/>
        </w:rPr>
        <w:t xml:space="preserve"> lifetime and effect of diagnosis (and management) on LDL-C. Uncertainty in the parameters had a small impact, as evidenced by the small expected value of perfect information.</w:t>
      </w:r>
    </w:p>
    <w:p w14:paraId="4A67A44C" w14:textId="6D587207" w:rsidR="003250C1" w:rsidRPr="00B85D62" w:rsidRDefault="009561E4" w:rsidP="0066232B">
      <w:pPr>
        <w:rPr>
          <w:rFonts w:cs="Arial"/>
          <w:lang w:eastAsia="en-GB"/>
        </w:rPr>
      </w:pPr>
      <w:r w:rsidRPr="00B85D62">
        <w:rPr>
          <w:rFonts w:cs="Arial"/>
          <w:lang w:eastAsia="en-GB"/>
        </w:rPr>
        <w:t xml:space="preserve">By capturing the impact of prognostic factors on health outcomes and costs, our model allows us to understand the impact of policies that target people with different characteristics. </w:t>
      </w:r>
      <w:r w:rsidR="29556E7B" w:rsidRPr="00B85D62">
        <w:rPr>
          <w:rFonts w:cs="Arial"/>
          <w:lang w:eastAsia="en-GB"/>
        </w:rPr>
        <w:t xml:space="preserve">An uncertainty that we were unable to explore in the scenario analysis is whether the </w:t>
      </w:r>
      <w:r w:rsidR="00D93C36" w:rsidRPr="00B85D62">
        <w:rPr>
          <w:rFonts w:cs="Arial"/>
          <w:lang w:eastAsia="en-GB"/>
        </w:rPr>
        <w:t>cardiovascular</w:t>
      </w:r>
      <w:r w:rsidR="00D93C36" w:rsidRPr="00B85D62" w:rsidDel="00D93C36">
        <w:rPr>
          <w:rFonts w:cs="Arial"/>
          <w:lang w:eastAsia="en-GB"/>
        </w:rPr>
        <w:t xml:space="preserve"> </w:t>
      </w:r>
      <w:r w:rsidR="29556E7B" w:rsidRPr="00B85D62">
        <w:rPr>
          <w:rFonts w:cs="Arial"/>
          <w:lang w:eastAsia="en-GB"/>
        </w:rPr>
        <w:t xml:space="preserve">risk observed in the CPRD cohort is representative of the </w:t>
      </w:r>
      <w:r w:rsidR="00D93C36" w:rsidRPr="00B85D62">
        <w:rPr>
          <w:rFonts w:cs="Arial"/>
          <w:lang w:eastAsia="en-GB"/>
        </w:rPr>
        <w:t>cardiovascular</w:t>
      </w:r>
      <w:r w:rsidR="00D93C36" w:rsidRPr="00B85D62" w:rsidDel="00D93C36">
        <w:rPr>
          <w:rFonts w:cs="Arial"/>
          <w:lang w:eastAsia="en-GB"/>
        </w:rPr>
        <w:t xml:space="preserve"> </w:t>
      </w:r>
      <w:r w:rsidR="29556E7B" w:rsidRPr="00B85D62">
        <w:rPr>
          <w:rFonts w:cs="Arial"/>
          <w:lang w:eastAsia="en-GB"/>
        </w:rPr>
        <w:t xml:space="preserve">risk experienced by people with FH, given the uncertainty regarding the extent to which the CPRD cohort includes people who do not have FH (due, for example, to miscoding or misdiagnosis in primary care), as discussed in </w:t>
      </w:r>
      <w:r w:rsidR="335C9ECD" w:rsidRPr="00B85D62">
        <w:rPr>
          <w:rFonts w:cs="Arial"/>
          <w:lang w:eastAsia="en-GB"/>
        </w:rPr>
        <w:t xml:space="preserve">section </w:t>
      </w:r>
      <w:r w:rsidR="00C90FE7" w:rsidRPr="00B85D62">
        <w:rPr>
          <w:rFonts w:cs="Arial"/>
          <w:lang w:eastAsia="en-GB"/>
        </w:rPr>
        <w:t>8</w:t>
      </w:r>
      <w:r w:rsidR="335C9ECD" w:rsidRPr="00B85D62">
        <w:rPr>
          <w:rFonts w:cs="Arial"/>
          <w:lang w:eastAsia="en-GB"/>
        </w:rPr>
        <w:t>.2.</w:t>
      </w:r>
    </w:p>
    <w:p w14:paraId="1F01DC67" w14:textId="7E2E9ED5" w:rsidR="009561E4" w:rsidRPr="00B85D62" w:rsidRDefault="29556E7B">
      <w:pPr>
        <w:rPr>
          <w:rFonts w:cs="Arial"/>
          <w:lang w:eastAsia="en-GB"/>
        </w:rPr>
      </w:pPr>
      <w:r w:rsidRPr="00B85D62">
        <w:rPr>
          <w:rFonts w:cs="Arial"/>
          <w:lang w:eastAsia="en-GB"/>
        </w:rPr>
        <w:t xml:space="preserve">Another area of uncertainty is the generalisability of the LDL-C reductions observed in the CPRD cohort post-diagnosis and treatment to people diagnosed with FH. This relates to the generalisability of the CPRD to </w:t>
      </w:r>
      <w:r w:rsidR="00D93C36" w:rsidRPr="00B85D62">
        <w:rPr>
          <w:rFonts w:cs="Arial"/>
          <w:lang w:eastAsia="en-GB"/>
        </w:rPr>
        <w:t>people</w:t>
      </w:r>
      <w:r w:rsidR="00D93C36" w:rsidRPr="00B85D62" w:rsidDel="00D93C36">
        <w:rPr>
          <w:rFonts w:cs="Arial"/>
          <w:lang w:eastAsia="en-GB"/>
        </w:rPr>
        <w:t xml:space="preserve"> </w:t>
      </w:r>
      <w:r w:rsidRPr="00B85D62">
        <w:rPr>
          <w:rFonts w:cs="Arial"/>
          <w:lang w:eastAsia="en-GB"/>
        </w:rPr>
        <w:t>with FH and the variability in their management. While greater LDL-C reductions may be achieved with more intense management, the costs may increase as this may require closer clinical management and the use of more effective (and more costly) drugs such as PCSK9 inhibitors. For comparison, the 2010 UK FH survey of lipid clinics found an average reduction in LDL-C after diagnosis of 37%,</w:t>
      </w:r>
      <w:r w:rsidR="00F80015" w:rsidRPr="00B85D62">
        <w:rPr>
          <w:rFonts w:cs="Arial"/>
          <w:noProof/>
          <w:vertAlign w:val="superscript"/>
          <w:lang w:eastAsia="en-GB"/>
        </w:rPr>
        <w:t>8</w:t>
      </w:r>
      <w:r w:rsidRPr="00B85D62">
        <w:rPr>
          <w:rFonts w:cs="Arial"/>
          <w:lang w:eastAsia="en-GB"/>
        </w:rPr>
        <w:t xml:space="preserve"> slightly higher than the 33% we observed in the CPRD cohort and assumed in this model. Similarly, if monitoring is less intensive than we assumed for the base-case, LDL-C reductions may be smaller. </w:t>
      </w:r>
      <w:r w:rsidR="6E9F4697" w:rsidRPr="00B85D62">
        <w:rPr>
          <w:rFonts w:cs="Arial"/>
          <w:lang w:eastAsia="en-GB"/>
        </w:rPr>
        <w:t>However, a</w:t>
      </w:r>
      <w:r w:rsidRPr="00B85D62">
        <w:rPr>
          <w:rFonts w:cs="Arial"/>
          <w:lang w:eastAsia="en-GB"/>
        </w:rPr>
        <w:t>ssessing the value of alternative treatment protocols was not</w:t>
      </w:r>
      <w:r w:rsidR="5AB49DFD" w:rsidRPr="00B85D62">
        <w:rPr>
          <w:rFonts w:cs="Arial"/>
          <w:lang w:eastAsia="en-GB"/>
        </w:rPr>
        <w:t xml:space="preserve"> </w:t>
      </w:r>
      <w:r w:rsidRPr="00B85D62">
        <w:rPr>
          <w:rFonts w:cs="Arial"/>
          <w:lang w:eastAsia="en-GB"/>
        </w:rPr>
        <w:t>the focus</w:t>
      </w:r>
      <w:r w:rsidR="003250C1" w:rsidRPr="00B85D62">
        <w:rPr>
          <w:rFonts w:cs="Arial"/>
          <w:lang w:eastAsia="en-GB"/>
        </w:rPr>
        <w:t>.</w:t>
      </w:r>
    </w:p>
    <w:p w14:paraId="366EA5A9" w14:textId="77777777" w:rsidR="00B85D62" w:rsidRPr="00B85D62" w:rsidRDefault="009561E4" w:rsidP="0066232B">
      <w:pPr>
        <w:rPr>
          <w:rFonts w:cs="Arial"/>
          <w:lang w:eastAsia="en-GB"/>
        </w:rPr>
      </w:pPr>
      <w:r w:rsidRPr="00B85D62">
        <w:rPr>
          <w:rFonts w:cs="Arial"/>
          <w:lang w:eastAsia="en-GB"/>
        </w:rPr>
        <w:t xml:space="preserve">Other </w:t>
      </w:r>
      <w:r w:rsidR="003250C1" w:rsidRPr="00B85D62">
        <w:rPr>
          <w:rFonts w:cs="Arial"/>
          <w:lang w:eastAsia="en-GB"/>
        </w:rPr>
        <w:t xml:space="preserve">weaknesses of the cost-effectiveness analysis mostly relate to the assumptions required to design and inform the model, which in turn relate to the available </w:t>
      </w:r>
      <w:r w:rsidR="003250C1" w:rsidRPr="00B85D62">
        <w:rPr>
          <w:rFonts w:cs="Arial"/>
          <w:highlight w:val="magenta"/>
          <w:lang w:eastAsia="en-GB"/>
        </w:rPr>
        <w:t>data</w:t>
      </w:r>
      <w:r w:rsidR="003250C1" w:rsidRPr="00B85D62">
        <w:rPr>
          <w:rFonts w:cs="Arial"/>
          <w:lang w:eastAsia="en-GB"/>
        </w:rPr>
        <w:t xml:space="preserve"> on lifetime </w:t>
      </w:r>
      <w:r w:rsidR="00D93C36" w:rsidRPr="00B85D62">
        <w:rPr>
          <w:rFonts w:cs="Arial"/>
          <w:lang w:eastAsia="en-GB"/>
        </w:rPr>
        <w:t>cardiovascular</w:t>
      </w:r>
      <w:r w:rsidR="00D93C36" w:rsidRPr="00B85D62" w:rsidDel="00D93C36">
        <w:rPr>
          <w:rFonts w:cs="Arial"/>
          <w:lang w:eastAsia="en-GB"/>
        </w:rPr>
        <w:t xml:space="preserve"> </w:t>
      </w:r>
      <w:r w:rsidR="003250C1" w:rsidRPr="00B85D62">
        <w:rPr>
          <w:rFonts w:cs="Arial"/>
          <w:lang w:eastAsia="en-GB"/>
        </w:rPr>
        <w:t xml:space="preserve">risk, effect of treatment on LDL-C, and the generalisability of the CPRD cohort to FH patients, </w:t>
      </w:r>
      <w:r w:rsidR="00D93C36" w:rsidRPr="00B85D62">
        <w:rPr>
          <w:rFonts w:cs="Arial"/>
          <w:lang w:eastAsia="en-GB"/>
        </w:rPr>
        <w:t xml:space="preserve">as </w:t>
      </w:r>
      <w:r w:rsidR="003250C1" w:rsidRPr="00B85D62">
        <w:rPr>
          <w:rFonts w:cs="Arial"/>
          <w:lang w:eastAsia="en-GB"/>
        </w:rPr>
        <w:t xml:space="preserve">discussed above. Additionally, the costs of monitoring people were based on the national guidelines and stakeholder input, rather than informed by a systematic process (e.g. expert elicitation or review of local guidelines) or empirical </w:t>
      </w:r>
      <w:r w:rsidR="003250C1" w:rsidRPr="00B85D62">
        <w:rPr>
          <w:rFonts w:cs="Arial"/>
          <w:highlight w:val="magenta"/>
          <w:lang w:eastAsia="en-GB"/>
        </w:rPr>
        <w:t>data</w:t>
      </w:r>
      <w:r w:rsidR="003250C1" w:rsidRPr="00B85D62">
        <w:rPr>
          <w:rFonts w:cs="Arial"/>
          <w:lang w:eastAsia="en-GB"/>
        </w:rPr>
        <w:t>.</w:t>
      </w:r>
    </w:p>
    <w:p w14:paraId="232B45BC" w14:textId="759A2AF3" w:rsidR="4924D102" w:rsidRPr="00B85D62" w:rsidRDefault="4924D102" w:rsidP="006C7E71">
      <w:pPr>
        <w:pStyle w:val="Heading2"/>
      </w:pPr>
      <w:bookmarkStart w:id="230" w:name="_Toc107157494"/>
      <w:r w:rsidRPr="00B85D62">
        <w:t>Cost-effectiveness of alternative cascade protocols for familial hypercholesterolaemia</w:t>
      </w:r>
      <w:bookmarkEnd w:id="230"/>
    </w:p>
    <w:p w14:paraId="70F87EE4" w14:textId="280B35EC" w:rsidR="4924D102" w:rsidRPr="00B85D62" w:rsidRDefault="4924D102" w:rsidP="006C7E71">
      <w:pPr>
        <w:pStyle w:val="Heading3"/>
      </w:pPr>
      <w:bookmarkStart w:id="231" w:name="_Toc107157495"/>
      <w:r w:rsidRPr="00B85D62">
        <w:t>Introduction</w:t>
      </w:r>
      <w:bookmarkEnd w:id="231"/>
    </w:p>
    <w:p w14:paraId="1596A534" w14:textId="10545558" w:rsidR="4924D102" w:rsidRPr="00B85D62" w:rsidRDefault="0261FC2A" w:rsidP="00DB5E12">
      <w:pPr>
        <w:rPr>
          <w:rFonts w:eastAsia="Calibri" w:cs="Arial"/>
          <w:color w:val="000000" w:themeColor="text1"/>
        </w:rPr>
      </w:pPr>
      <w:r w:rsidRPr="00B85D62">
        <w:rPr>
          <w:rFonts w:eastAsia="Calibri" w:cs="Arial"/>
          <w:color w:val="000000" w:themeColor="text1"/>
        </w:rPr>
        <w:t>Cascade screening</w:t>
      </w:r>
      <w:r w:rsidR="00336A98" w:rsidRPr="00B85D62">
        <w:rPr>
          <w:rFonts w:eastAsia="Calibri" w:cs="Arial"/>
          <w:color w:val="000000" w:themeColor="text1"/>
        </w:rPr>
        <w:t>/testing</w:t>
      </w:r>
      <w:r w:rsidR="006A155D" w:rsidRPr="00B85D62">
        <w:rPr>
          <w:rFonts w:eastAsia="Calibri" w:cs="Arial"/>
          <w:color w:val="000000" w:themeColor="text1"/>
        </w:rPr>
        <w:t xml:space="preserve"> </w:t>
      </w:r>
      <w:r w:rsidRPr="00B85D62">
        <w:rPr>
          <w:rFonts w:eastAsia="Calibri" w:cs="Arial"/>
          <w:color w:val="000000" w:themeColor="text1"/>
        </w:rPr>
        <w:t>is recommended by NICE</w:t>
      </w:r>
      <w:r w:rsidR="00F80015" w:rsidRPr="00B85D62">
        <w:rPr>
          <w:rFonts w:eastAsia="Calibri" w:cs="Arial"/>
          <w:noProof/>
          <w:color w:val="000000" w:themeColor="text1"/>
          <w:vertAlign w:val="superscript"/>
        </w:rPr>
        <w:t>9</w:t>
      </w:r>
      <w:r w:rsidRPr="00B85D62">
        <w:rPr>
          <w:rFonts w:eastAsia="Calibri" w:cs="Arial"/>
          <w:color w:val="000000" w:themeColor="text1"/>
        </w:rPr>
        <w:t>, by international guidelines</w:t>
      </w:r>
      <w:r w:rsidR="6AC9B393" w:rsidRPr="00B85D62">
        <w:rPr>
          <w:rFonts w:eastAsia="Calibri" w:cs="Arial"/>
          <w:color w:val="000000" w:themeColor="text1"/>
        </w:rPr>
        <w:t xml:space="preserve"> </w:t>
      </w:r>
      <w:r w:rsidR="00C35B5E" w:rsidRPr="00B85D62">
        <w:rPr>
          <w:rFonts w:eastAsia="Calibri" w:cs="Arial"/>
          <w:noProof/>
          <w:color w:val="000000" w:themeColor="text1"/>
          <w:shd w:val="clear" w:color="auto" w:fill="E6E6E6"/>
          <w:vertAlign w:val="superscript"/>
        </w:rPr>
        <w:t>131, 171</w:t>
      </w:r>
      <w:r w:rsidRPr="00B85D62">
        <w:rPr>
          <w:rFonts w:eastAsia="Calibri" w:cs="Arial"/>
          <w:color w:val="000000" w:themeColor="text1"/>
        </w:rPr>
        <w:t xml:space="preserve"> and has been shown to be cost-effective</w:t>
      </w:r>
      <w:r w:rsidR="00C35B5E" w:rsidRPr="00B85D62">
        <w:rPr>
          <w:rFonts w:eastAsia="Calibri" w:cs="Arial"/>
          <w:noProof/>
          <w:color w:val="000000" w:themeColor="text1"/>
          <w:shd w:val="clear" w:color="auto" w:fill="E6E6E6"/>
          <w:vertAlign w:val="superscript"/>
        </w:rPr>
        <w:t>11</w:t>
      </w:r>
      <w:r w:rsidR="00B85D62" w:rsidRPr="00B85D62">
        <w:rPr>
          <w:rFonts w:eastAsia="Calibri" w:cs="Arial"/>
          <w:noProof/>
          <w:color w:val="00B0F0"/>
          <w:shd w:val="clear" w:color="auto" w:fill="E6E6E6"/>
          <w:vertAlign w:val="superscript"/>
        </w:rPr>
        <w:t>–</w:t>
      </w:r>
      <w:r w:rsidR="00B85D62" w:rsidRPr="00B85D62">
        <w:rPr>
          <w:rFonts w:eastAsia="Calibri" w:cs="Arial"/>
          <w:noProof/>
          <w:color w:val="00B0F0"/>
          <w:shd w:val="clear" w:color="auto" w:fill="E6E6E6"/>
          <w:vertAlign w:val="superscript"/>
        </w:rPr>
        <w:t>1</w:t>
      </w:r>
      <w:r w:rsidR="00C35B5E" w:rsidRPr="00B85D62">
        <w:rPr>
          <w:rFonts w:eastAsia="Calibri" w:cs="Arial"/>
          <w:noProof/>
          <w:color w:val="000000" w:themeColor="text1"/>
          <w:shd w:val="clear" w:color="auto" w:fill="E6E6E6"/>
          <w:vertAlign w:val="superscript"/>
        </w:rPr>
        <w:t>3, 26, 118, 140</w:t>
      </w:r>
      <w:r w:rsidR="00B85D62" w:rsidRPr="00B85D62">
        <w:rPr>
          <w:rFonts w:eastAsia="Calibri" w:cs="Arial"/>
          <w:noProof/>
          <w:color w:val="00B0F0"/>
          <w:shd w:val="clear" w:color="auto" w:fill="E6E6E6"/>
          <w:vertAlign w:val="superscript"/>
        </w:rPr>
        <w:t>–</w:t>
      </w:r>
      <w:r w:rsidR="00B85D62" w:rsidRPr="00B85D62">
        <w:rPr>
          <w:rFonts w:eastAsia="Calibri" w:cs="Arial"/>
          <w:noProof/>
          <w:color w:val="00B0F0"/>
          <w:shd w:val="clear" w:color="auto" w:fill="E6E6E6"/>
          <w:vertAlign w:val="superscript"/>
        </w:rPr>
        <w:t>1</w:t>
      </w:r>
      <w:r w:rsidR="00C35B5E" w:rsidRPr="00B85D62">
        <w:rPr>
          <w:rFonts w:eastAsia="Calibri" w:cs="Arial"/>
          <w:noProof/>
          <w:color w:val="000000" w:themeColor="text1"/>
          <w:shd w:val="clear" w:color="auto" w:fill="E6E6E6"/>
          <w:vertAlign w:val="superscript"/>
        </w:rPr>
        <w:t>44</w:t>
      </w:r>
      <w:r w:rsidRPr="00B85D62">
        <w:rPr>
          <w:rFonts w:eastAsia="Calibri" w:cs="Arial"/>
          <w:color w:val="000000" w:themeColor="text1"/>
        </w:rPr>
        <w:t xml:space="preserve">. The cascade </w:t>
      </w:r>
      <w:r w:rsidR="00336A98" w:rsidRPr="00B85D62">
        <w:rPr>
          <w:rFonts w:eastAsia="Calibri" w:cs="Arial"/>
          <w:color w:val="000000" w:themeColor="text1"/>
        </w:rPr>
        <w:t>test</w:t>
      </w:r>
      <w:r w:rsidRPr="00B85D62">
        <w:rPr>
          <w:rFonts w:eastAsia="Calibri" w:cs="Arial"/>
          <w:color w:val="000000" w:themeColor="text1"/>
        </w:rPr>
        <w:t>ing process can</w:t>
      </w:r>
      <w:r w:rsidR="006A155D" w:rsidRPr="00B85D62">
        <w:rPr>
          <w:rFonts w:eastAsia="Calibri" w:cs="Arial"/>
          <w:color w:val="000000" w:themeColor="text1"/>
        </w:rPr>
        <w:t xml:space="preserve"> </w:t>
      </w:r>
      <w:r w:rsidRPr="00B85D62">
        <w:rPr>
          <w:rFonts w:eastAsia="Calibri" w:cs="Arial"/>
          <w:color w:val="000000" w:themeColor="text1"/>
        </w:rPr>
        <w:t xml:space="preserve">differ in various dimensions, such as method of contacting relatives (directly by the FH service or indirectly via the index), type of cascade contact pattern (contacting </w:t>
      </w:r>
      <w:r w:rsidR="00B85D62" w:rsidRPr="00B85D62">
        <w:rPr>
          <w:rFonts w:eastAsia="Calibri" w:cs="Arial"/>
          <w:color w:val="00B0F0"/>
        </w:rPr>
        <w:t>2nd</w:t>
      </w:r>
      <w:r w:rsidRPr="00B85D62">
        <w:rPr>
          <w:rFonts w:eastAsia="Calibri" w:cs="Arial"/>
          <w:color w:val="000000" w:themeColor="text1"/>
        </w:rPr>
        <w:t xml:space="preserve"> relatives sequentially only when their </w:t>
      </w:r>
      <w:r w:rsidR="00B85D62" w:rsidRPr="00B85D62">
        <w:rPr>
          <w:rFonts w:eastAsia="Calibri" w:cs="Arial"/>
          <w:color w:val="00B0F0"/>
        </w:rPr>
        <w:t>1st</w:t>
      </w:r>
      <w:r w:rsidRPr="00B85D62">
        <w:rPr>
          <w:rFonts w:eastAsia="Calibri" w:cs="Arial"/>
          <w:color w:val="000000" w:themeColor="text1"/>
        </w:rPr>
        <w:t xml:space="preserve"> degree was confirmed to have </w:t>
      </w:r>
      <w:r w:rsidR="11364873" w:rsidRPr="00B85D62">
        <w:rPr>
          <w:rFonts w:eastAsia="Calibri" w:cs="Arial"/>
          <w:color w:val="000000" w:themeColor="text1"/>
        </w:rPr>
        <w:t>FH</w:t>
      </w:r>
      <w:r w:rsidRPr="00B85D62">
        <w:rPr>
          <w:rFonts w:eastAsia="Calibri" w:cs="Arial"/>
          <w:color w:val="000000" w:themeColor="text1"/>
        </w:rPr>
        <w:t xml:space="preserve"> or contacting </w:t>
      </w:r>
      <w:r w:rsidR="00B85D62" w:rsidRPr="00B85D62">
        <w:rPr>
          <w:rFonts w:eastAsia="Calibri" w:cs="Arial"/>
          <w:color w:val="00B0F0"/>
        </w:rPr>
        <w:t>1st</w:t>
      </w:r>
      <w:r w:rsidRPr="00B85D62">
        <w:rPr>
          <w:rFonts w:eastAsia="Calibri" w:cs="Arial"/>
          <w:color w:val="000000" w:themeColor="text1"/>
        </w:rPr>
        <w:t xml:space="preserve"> and </w:t>
      </w:r>
      <w:r w:rsidR="00B85D62" w:rsidRPr="00B85D62">
        <w:rPr>
          <w:rFonts w:eastAsia="Calibri" w:cs="Arial"/>
          <w:color w:val="00B0F0"/>
        </w:rPr>
        <w:t>2nd</w:t>
      </w:r>
      <w:r w:rsidRPr="00B85D62">
        <w:rPr>
          <w:rFonts w:eastAsia="Calibri" w:cs="Arial"/>
          <w:color w:val="000000" w:themeColor="text1"/>
        </w:rPr>
        <w:t xml:space="preserve"> degree relatives simultaneously); and in their testing strategies (e.g. using LDL-C as a screening test prior to the genetic test) – we term the various ways how cascade </w:t>
      </w:r>
      <w:r w:rsidR="00336A98" w:rsidRPr="00B85D62">
        <w:rPr>
          <w:rFonts w:eastAsia="Calibri" w:cs="Arial"/>
          <w:color w:val="000000" w:themeColor="text1"/>
        </w:rPr>
        <w:t>test</w:t>
      </w:r>
      <w:r w:rsidRPr="00B85D62">
        <w:rPr>
          <w:rFonts w:eastAsia="Calibri" w:cs="Arial"/>
          <w:color w:val="000000" w:themeColor="text1"/>
        </w:rPr>
        <w:t xml:space="preserve">ing can be implemented as </w:t>
      </w:r>
      <w:r w:rsidR="00B85D62" w:rsidRPr="00B85D62">
        <w:rPr>
          <w:rFonts w:eastAsia="Calibri" w:cs="Arial"/>
          <w:color w:val="000000" w:themeColor="text1"/>
        </w:rPr>
        <w:t>‘</w:t>
      </w:r>
      <w:r w:rsidRPr="00B85D62">
        <w:rPr>
          <w:rFonts w:eastAsia="Calibri" w:cs="Arial"/>
          <w:color w:val="000000" w:themeColor="text1"/>
        </w:rPr>
        <w:t>cascade protocols</w:t>
      </w:r>
      <w:r w:rsidR="00B85D62" w:rsidRPr="00B85D62">
        <w:rPr>
          <w:rFonts w:eastAsia="Calibri" w:cs="Arial"/>
          <w:color w:val="000000" w:themeColor="text1"/>
        </w:rPr>
        <w:t>’</w:t>
      </w:r>
      <w:r w:rsidRPr="00B85D62">
        <w:rPr>
          <w:rFonts w:eastAsia="Calibri" w:cs="Arial"/>
          <w:color w:val="000000" w:themeColor="text1"/>
        </w:rPr>
        <w:t xml:space="preserve">. Most cost-effectiveness studies compared cascade screening with genetic testing to no cascade </w:t>
      </w:r>
      <w:r w:rsidR="00C35B5E" w:rsidRPr="00B85D62">
        <w:rPr>
          <w:rFonts w:eastAsia="Calibri" w:cs="Arial"/>
          <w:noProof/>
          <w:color w:val="000000" w:themeColor="text1"/>
          <w:shd w:val="clear" w:color="auto" w:fill="E6E6E6"/>
          <w:vertAlign w:val="superscript"/>
        </w:rPr>
        <w:t>12, 118, 140, 141, 143</w:t>
      </w:r>
      <w:r w:rsidRPr="00B85D62">
        <w:rPr>
          <w:rFonts w:eastAsia="Calibri" w:cs="Arial"/>
          <w:color w:val="000000" w:themeColor="text1"/>
        </w:rPr>
        <w:t>, with three studies including testing strategies relying on lipid levels</w:t>
      </w:r>
      <w:r w:rsidR="00C35B5E" w:rsidRPr="00B85D62">
        <w:rPr>
          <w:rFonts w:eastAsia="Calibri" w:cs="Arial"/>
          <w:noProof/>
          <w:color w:val="000000" w:themeColor="text1"/>
          <w:shd w:val="clear" w:color="auto" w:fill="E6E6E6"/>
          <w:vertAlign w:val="superscript"/>
        </w:rPr>
        <w:t>13, 26, 144</w:t>
      </w:r>
      <w:r w:rsidRPr="00B85D62">
        <w:rPr>
          <w:rFonts w:eastAsia="Calibri" w:cs="Arial"/>
          <w:color w:val="000000" w:themeColor="text1"/>
        </w:rPr>
        <w:t>, with no studies, as far as we are aware, comparing protocols with different methods of contact, contact pattern and testing strategies.</w:t>
      </w:r>
    </w:p>
    <w:p w14:paraId="22E2786B" w14:textId="0061CFCE" w:rsidR="4924D102" w:rsidRPr="00B85D62" w:rsidRDefault="4924D102" w:rsidP="0066232B">
      <w:pPr>
        <w:rPr>
          <w:rFonts w:eastAsia="Calibri" w:cs="Arial"/>
          <w:color w:val="000000" w:themeColor="text1"/>
        </w:rPr>
      </w:pPr>
      <w:r w:rsidRPr="00B85D62">
        <w:rPr>
          <w:rFonts w:eastAsia="Calibri" w:cs="Arial"/>
          <w:color w:val="000000" w:themeColor="text1"/>
        </w:rPr>
        <w:t>This cost-effectiveness analysis compares a wide range of alternative cascade protocols, comprising alternative cut-offs to select index</w:t>
      </w:r>
      <w:r w:rsidR="00271CA3" w:rsidRPr="00B85D62">
        <w:rPr>
          <w:rFonts w:eastAsia="Calibri" w:cs="Arial"/>
          <w:color w:val="000000" w:themeColor="text1"/>
        </w:rPr>
        <w:t xml:space="preserve"> cas</w:t>
      </w:r>
      <w:r w:rsidRPr="00B85D62">
        <w:rPr>
          <w:rFonts w:eastAsia="Calibri" w:cs="Arial"/>
          <w:color w:val="000000" w:themeColor="text1"/>
        </w:rPr>
        <w:t>es to genetic testing and/or the cascade, contacting relatives directly or indirectly, contacting relatives sequentially or simultaneously, and using lipid and genetic tests in combination. The aim was to estimate the short-term and long-term health outcomes, costs, diagnosis yields, and to identify the cost-effective cascade protocols.</w:t>
      </w:r>
    </w:p>
    <w:p w14:paraId="1F1DF716" w14:textId="14BC13D0" w:rsidR="00B85D62" w:rsidRPr="00B85D62" w:rsidRDefault="11295BA2" w:rsidP="0066232B">
      <w:pPr>
        <w:rPr>
          <w:rFonts w:eastAsia="Calibri" w:cs="Arial"/>
          <w:color w:val="000000" w:themeColor="text1"/>
        </w:rPr>
      </w:pPr>
      <w:r w:rsidRPr="00B85D62">
        <w:rPr>
          <w:rFonts w:eastAsia="Calibri" w:cs="Arial"/>
          <w:color w:val="000000" w:themeColor="text1"/>
        </w:rPr>
        <w:t xml:space="preserve">We developed a new decision model to simulate cascade protocols, so that we could compare them without requiring their implementation in </w:t>
      </w:r>
      <w:r w:rsidRPr="00B85D62">
        <w:rPr>
          <w:rFonts w:eastAsia="Calibri" w:cs="Arial"/>
          <w:color w:val="000000" w:themeColor="text1"/>
          <w:highlight w:val="magenta"/>
        </w:rPr>
        <w:t>practice</w:t>
      </w:r>
      <w:r w:rsidRPr="00B85D62">
        <w:rPr>
          <w:rFonts w:eastAsia="Calibri" w:cs="Arial"/>
          <w:color w:val="000000" w:themeColor="text1"/>
        </w:rPr>
        <w:t>, and to predict long-term health outcomes and costs, which are only observable in a study with very long follow-up. We informed the model with the characteristics of index</w:t>
      </w:r>
      <w:r w:rsidR="00271CA3" w:rsidRPr="00B85D62">
        <w:rPr>
          <w:rFonts w:eastAsia="Calibri" w:cs="Arial"/>
          <w:color w:val="000000" w:themeColor="text1"/>
        </w:rPr>
        <w:t xml:space="preserve"> cas</w:t>
      </w:r>
      <w:r w:rsidRPr="00B85D62">
        <w:rPr>
          <w:rFonts w:eastAsia="Calibri" w:cs="Arial"/>
          <w:color w:val="000000" w:themeColor="text1"/>
        </w:rPr>
        <w:t xml:space="preserve">es and relatives estimated in the analysis of PASS </w:t>
      </w:r>
      <w:r w:rsidRPr="00B85D62">
        <w:rPr>
          <w:rFonts w:eastAsia="Calibri" w:cs="Arial"/>
          <w:color w:val="000000" w:themeColor="text1"/>
          <w:highlight w:val="magenta"/>
        </w:rPr>
        <w:t>data</w:t>
      </w:r>
      <w:r w:rsidRPr="00B85D62">
        <w:rPr>
          <w:rFonts w:eastAsia="Calibri" w:cs="Arial"/>
          <w:color w:val="000000" w:themeColor="text1"/>
        </w:rPr>
        <w:t xml:space="preserve"> from the Welsh and Wessex FH services (the </w:t>
      </w:r>
      <w:r w:rsidR="00B85D62" w:rsidRPr="00B85D62">
        <w:rPr>
          <w:rFonts w:eastAsia="Calibri" w:cs="Arial"/>
          <w:color w:val="00B0F0"/>
          <w:highlight w:val="magenta"/>
        </w:rPr>
        <w:t>data</w:t>
      </w:r>
      <w:r w:rsidR="00B85D62" w:rsidRPr="00B85D62">
        <w:rPr>
          <w:rFonts w:eastAsia="Calibri" w:cs="Arial"/>
          <w:color w:val="00B0F0"/>
        </w:rPr>
        <w:t xml:space="preserve"> were</w:t>
      </w:r>
      <w:r w:rsidRPr="00B85D62">
        <w:rPr>
          <w:rFonts w:eastAsia="Calibri" w:cs="Arial"/>
          <w:color w:val="000000" w:themeColor="text1"/>
        </w:rPr>
        <w:t xml:space="preserve"> described in </w:t>
      </w:r>
      <w:r w:rsidR="319E1453" w:rsidRPr="00B85D62">
        <w:rPr>
          <w:rFonts w:eastAsia="Calibri" w:cs="Arial"/>
          <w:color w:val="000000" w:themeColor="text1"/>
        </w:rPr>
        <w:t xml:space="preserve">section </w:t>
      </w:r>
      <w:r w:rsidR="00C90FE7" w:rsidRPr="00B85D62">
        <w:rPr>
          <w:rFonts w:eastAsia="Calibri" w:cs="Arial"/>
          <w:color w:val="000000" w:themeColor="text1"/>
        </w:rPr>
        <w:t>6</w:t>
      </w:r>
      <w:r w:rsidR="2989E44B" w:rsidRPr="00B85D62">
        <w:rPr>
          <w:rFonts w:eastAsia="Calibri" w:cs="Arial"/>
          <w:color w:val="000000" w:themeColor="text1"/>
        </w:rPr>
        <w:t>.4</w:t>
      </w:r>
      <w:r w:rsidRPr="00B85D62">
        <w:rPr>
          <w:rFonts w:eastAsia="Calibri" w:cs="Arial"/>
          <w:color w:val="000000" w:themeColor="text1"/>
        </w:rPr>
        <w:t xml:space="preserve"> and the analysis was described in </w:t>
      </w:r>
      <w:r w:rsidR="120DE702" w:rsidRPr="00B85D62">
        <w:rPr>
          <w:rFonts w:eastAsia="Calibri" w:cs="Arial"/>
          <w:color w:val="000000" w:themeColor="text1"/>
        </w:rPr>
        <w:t xml:space="preserve">section </w:t>
      </w:r>
      <w:r w:rsidR="00C90FE7" w:rsidRPr="00B85D62">
        <w:rPr>
          <w:rFonts w:eastAsia="Calibri" w:cs="Arial"/>
          <w:color w:val="000000" w:themeColor="text1"/>
        </w:rPr>
        <w:t>8</w:t>
      </w:r>
      <w:r w:rsidR="120DE702" w:rsidRPr="00B85D62">
        <w:rPr>
          <w:rFonts w:eastAsia="Calibri" w:cs="Arial"/>
          <w:color w:val="000000" w:themeColor="text1"/>
        </w:rPr>
        <w:t>.</w:t>
      </w:r>
      <w:r w:rsidR="00271CA3" w:rsidRPr="00B85D62">
        <w:rPr>
          <w:rFonts w:eastAsia="Calibri" w:cs="Arial"/>
          <w:color w:val="000000" w:themeColor="text1"/>
        </w:rPr>
        <w:t>3</w:t>
      </w:r>
      <w:r w:rsidR="120DE702" w:rsidRPr="00B85D62">
        <w:rPr>
          <w:rFonts w:eastAsia="Calibri" w:cs="Arial"/>
          <w:color w:val="000000" w:themeColor="text1"/>
        </w:rPr>
        <w:t xml:space="preserve">) </w:t>
      </w:r>
      <w:r w:rsidRPr="00B85D62">
        <w:rPr>
          <w:rFonts w:eastAsia="Calibri" w:cs="Arial"/>
          <w:color w:val="000000" w:themeColor="text1"/>
        </w:rPr>
        <w:t xml:space="preserve">the long-term health outcomes and costs of diagnosed and undiagnosed FH patients estimated by our cost-effectiveness model described in </w:t>
      </w:r>
      <w:r w:rsidR="2989E44B" w:rsidRPr="00B85D62">
        <w:rPr>
          <w:rFonts w:eastAsia="Calibri" w:cs="Arial"/>
          <w:color w:val="000000" w:themeColor="text1"/>
        </w:rPr>
        <w:t>section</w:t>
      </w:r>
      <w:r w:rsidR="1340F350" w:rsidRPr="00B85D62">
        <w:rPr>
          <w:rFonts w:eastAsia="Calibri" w:cs="Arial"/>
          <w:color w:val="000000" w:themeColor="text1"/>
        </w:rPr>
        <w:t>s</w:t>
      </w:r>
      <w:r w:rsidR="2989E44B" w:rsidRPr="00B85D62">
        <w:rPr>
          <w:rFonts w:eastAsia="Calibri" w:cs="Arial"/>
          <w:color w:val="000000" w:themeColor="text1"/>
        </w:rPr>
        <w:t xml:space="preserve"> </w:t>
      </w:r>
      <w:r w:rsidR="00C90FE7" w:rsidRPr="00B85D62">
        <w:rPr>
          <w:rFonts w:eastAsia="Calibri" w:cs="Arial"/>
          <w:color w:val="000000" w:themeColor="text1"/>
        </w:rPr>
        <w:t>8</w:t>
      </w:r>
      <w:r w:rsidR="2989E44B" w:rsidRPr="00B85D62">
        <w:rPr>
          <w:rFonts w:eastAsia="Calibri" w:cs="Arial"/>
          <w:color w:val="000000" w:themeColor="text1"/>
        </w:rPr>
        <w:t>.</w:t>
      </w:r>
      <w:r w:rsidR="39515D70" w:rsidRPr="00B85D62">
        <w:rPr>
          <w:rFonts w:eastAsia="Calibri" w:cs="Arial"/>
          <w:color w:val="000000" w:themeColor="text1"/>
        </w:rPr>
        <w:t>4</w:t>
      </w:r>
      <w:r w:rsidR="2989E44B" w:rsidRPr="00B85D62">
        <w:rPr>
          <w:rFonts w:eastAsia="Calibri" w:cs="Arial"/>
          <w:color w:val="000000" w:themeColor="text1"/>
        </w:rPr>
        <w:t>,</w:t>
      </w:r>
      <w:r w:rsidRPr="00B85D62">
        <w:rPr>
          <w:rFonts w:eastAsia="Calibri" w:cs="Arial"/>
          <w:color w:val="000000" w:themeColor="text1"/>
        </w:rPr>
        <w:t xml:space="preserve"> together with other sources of </w:t>
      </w:r>
      <w:r w:rsidRPr="00B85D62">
        <w:rPr>
          <w:rFonts w:eastAsia="Calibri" w:cs="Arial"/>
          <w:color w:val="000000" w:themeColor="text1"/>
          <w:highlight w:val="magenta"/>
        </w:rPr>
        <w:t>data</w:t>
      </w:r>
      <w:r w:rsidRPr="00B85D62">
        <w:rPr>
          <w:rFonts w:eastAsia="Calibri" w:cs="Arial"/>
          <w:color w:val="000000" w:themeColor="text1"/>
        </w:rPr>
        <w:t xml:space="preserve"> and input from our Stakeholder Group.</w:t>
      </w:r>
    </w:p>
    <w:p w14:paraId="15D1A307" w14:textId="6B00F759" w:rsidR="4924D102" w:rsidRPr="00B85D62" w:rsidRDefault="4924D102" w:rsidP="006C7E71">
      <w:pPr>
        <w:pStyle w:val="Heading3"/>
      </w:pPr>
      <w:bookmarkStart w:id="232" w:name="_Toc107157496"/>
      <w:r w:rsidRPr="00B85D62">
        <w:t>Methods</w:t>
      </w:r>
      <w:bookmarkEnd w:id="232"/>
    </w:p>
    <w:p w14:paraId="0C66DECD" w14:textId="77777777" w:rsidR="00B85D62" w:rsidRPr="00B85D62" w:rsidRDefault="4924D102" w:rsidP="0066232B">
      <w:pPr>
        <w:rPr>
          <w:rFonts w:eastAsia="Calibri" w:cs="Arial"/>
          <w:color w:val="000000" w:themeColor="text1"/>
        </w:rPr>
      </w:pPr>
      <w:r w:rsidRPr="00B85D62">
        <w:rPr>
          <w:rFonts w:eastAsia="Calibri" w:cs="Arial"/>
          <w:color w:val="000000" w:themeColor="text1"/>
        </w:rPr>
        <w:t xml:space="preserve">The cost-effectiveness analysis took the perspective of the UK NHS at a 2019 price base. We discounted future costs and health benefits to their present value at 3.5% per annum </w:t>
      </w:r>
      <w:r w:rsidR="00C35B5E" w:rsidRPr="00B85D62">
        <w:rPr>
          <w:rFonts w:eastAsia="Calibri" w:cs="Arial"/>
          <w:noProof/>
          <w:color w:val="000000" w:themeColor="text1"/>
          <w:shd w:val="clear" w:color="auto" w:fill="E6E6E6"/>
          <w:vertAlign w:val="superscript"/>
        </w:rPr>
        <w:t>145</w:t>
      </w:r>
      <w:r w:rsidRPr="00B85D62">
        <w:rPr>
          <w:rFonts w:eastAsia="Calibri" w:cs="Arial"/>
          <w:color w:val="000000" w:themeColor="text1"/>
        </w:rPr>
        <w:t>.</w:t>
      </w:r>
    </w:p>
    <w:p w14:paraId="5CFC8471" w14:textId="59DCF319" w:rsidR="4924D102" w:rsidRPr="00B85D62" w:rsidRDefault="4924D102" w:rsidP="006C7E71">
      <w:pPr>
        <w:pStyle w:val="Heading4"/>
        <w:numPr>
          <w:ilvl w:val="0"/>
          <w:numId w:val="0"/>
        </w:numPr>
      </w:pPr>
      <w:r w:rsidRPr="00B85D62">
        <w:t>Population</w:t>
      </w:r>
    </w:p>
    <w:p w14:paraId="3CDF64D0" w14:textId="77777777" w:rsidR="00B85D62" w:rsidRPr="00B85D62" w:rsidRDefault="4924D102" w:rsidP="0066232B">
      <w:pPr>
        <w:rPr>
          <w:rFonts w:eastAsia="Calibri" w:cs="Arial"/>
          <w:color w:val="000000" w:themeColor="text1"/>
        </w:rPr>
      </w:pPr>
      <w:r w:rsidRPr="00B85D62">
        <w:rPr>
          <w:rFonts w:eastAsia="Calibri" w:cs="Arial"/>
          <w:color w:val="000000" w:themeColor="text1"/>
        </w:rPr>
        <w:t>The population comprised patients who were diagnosed with FH based on their clinical characteristics, referred to as index</w:t>
      </w:r>
      <w:r w:rsidR="00271CA3" w:rsidRPr="00B85D62">
        <w:rPr>
          <w:rFonts w:eastAsia="Calibri" w:cs="Arial"/>
          <w:color w:val="000000" w:themeColor="text1"/>
        </w:rPr>
        <w:t xml:space="preserve"> cas</w:t>
      </w:r>
      <w:r w:rsidRPr="00B85D62">
        <w:rPr>
          <w:rFonts w:eastAsia="Calibri" w:cs="Arial"/>
          <w:color w:val="000000" w:themeColor="text1"/>
        </w:rPr>
        <w:t>es, and their relatives.</w:t>
      </w:r>
    </w:p>
    <w:p w14:paraId="5D5380EF" w14:textId="46A36EC4" w:rsidR="4924D102" w:rsidRPr="00B85D62" w:rsidRDefault="0261FC2A" w:rsidP="0066232B">
      <w:pPr>
        <w:rPr>
          <w:rFonts w:eastAsia="Calibri" w:cs="Arial"/>
          <w:color w:val="000000" w:themeColor="text1"/>
        </w:rPr>
      </w:pPr>
      <w:r w:rsidRPr="00B85D62">
        <w:rPr>
          <w:rFonts w:eastAsia="Calibri" w:cs="Arial"/>
          <w:color w:val="000000" w:themeColor="text1"/>
        </w:rPr>
        <w:t>We considered only the index</w:t>
      </w:r>
      <w:r w:rsidR="00271CA3" w:rsidRPr="00B85D62">
        <w:rPr>
          <w:rFonts w:eastAsia="Calibri" w:cs="Arial"/>
          <w:color w:val="000000" w:themeColor="text1"/>
        </w:rPr>
        <w:t xml:space="preserve"> cas</w:t>
      </w:r>
      <w:r w:rsidRPr="00B85D62">
        <w:rPr>
          <w:rFonts w:eastAsia="Calibri" w:cs="Arial"/>
          <w:color w:val="000000" w:themeColor="text1"/>
        </w:rPr>
        <w:t xml:space="preserve">es who were scored above the threshold for genetic testing used in each FH service. This was the Welsh-modified Dutch Lipid Clinic Network (WDLCN) score </w:t>
      </w:r>
      <w:r w:rsidR="00B85D62" w:rsidRPr="00B85D62">
        <w:rPr>
          <w:rFonts w:eastAsia="Calibri" w:cs="Arial"/>
          <w:color w:val="00B0F0"/>
        </w:rPr>
        <w:t>≥</w:t>
      </w:r>
      <w:r w:rsidR="00B85D62" w:rsidRPr="00B85D62">
        <w:rPr>
          <w:rFonts w:eastAsia="Calibri" w:cs="Arial"/>
          <w:color w:val="00B0F0"/>
        </w:rPr>
        <w:t> </w:t>
      </w:r>
      <w:r w:rsidRPr="00B85D62">
        <w:rPr>
          <w:rFonts w:eastAsia="Calibri" w:cs="Arial"/>
          <w:color w:val="000000" w:themeColor="text1"/>
        </w:rPr>
        <w:t xml:space="preserve">6 in the Welsh PASS </w:t>
      </w:r>
      <w:r w:rsidRPr="00B85D62">
        <w:rPr>
          <w:rFonts w:eastAsia="Calibri" w:cs="Arial"/>
          <w:color w:val="000000" w:themeColor="text1"/>
          <w:highlight w:val="magenta"/>
        </w:rPr>
        <w:t>data</w:t>
      </w:r>
      <w:r w:rsidRPr="00B85D62">
        <w:rPr>
          <w:rFonts w:eastAsia="Calibri" w:cs="Arial"/>
          <w:color w:val="000000" w:themeColor="text1"/>
        </w:rPr>
        <w:t xml:space="preserve"> and possible or definite FH according to the Wessex-modified Simon Broome criteria in the Wessex FH PASS. The index</w:t>
      </w:r>
      <w:r w:rsidR="00271CA3" w:rsidRPr="00B85D62">
        <w:rPr>
          <w:rFonts w:eastAsia="Calibri" w:cs="Arial"/>
          <w:color w:val="000000" w:themeColor="text1"/>
        </w:rPr>
        <w:t xml:space="preserve"> cas</w:t>
      </w:r>
      <w:r w:rsidRPr="00B85D62">
        <w:rPr>
          <w:rFonts w:eastAsia="Calibri" w:cs="Arial"/>
          <w:color w:val="000000" w:themeColor="text1"/>
        </w:rPr>
        <w:t xml:space="preserve">es may or may not have </w:t>
      </w:r>
      <w:r w:rsidR="11364873" w:rsidRPr="00B85D62">
        <w:rPr>
          <w:rFonts w:eastAsia="Calibri" w:cs="Arial"/>
          <w:color w:val="000000" w:themeColor="text1"/>
        </w:rPr>
        <w:t>FH</w:t>
      </w:r>
      <w:r w:rsidRPr="00B85D62">
        <w:rPr>
          <w:rFonts w:eastAsia="Calibri" w:cs="Arial"/>
          <w:color w:val="000000" w:themeColor="text1"/>
        </w:rPr>
        <w:t>. Index</w:t>
      </w:r>
      <w:r w:rsidR="00271CA3" w:rsidRPr="00B85D62">
        <w:rPr>
          <w:rFonts w:eastAsia="Calibri" w:cs="Arial"/>
          <w:color w:val="000000" w:themeColor="text1"/>
        </w:rPr>
        <w:t xml:space="preserve"> cas</w:t>
      </w:r>
      <w:r w:rsidRPr="00B85D62">
        <w:rPr>
          <w:rFonts w:eastAsia="Calibri" w:cs="Arial"/>
          <w:color w:val="000000" w:themeColor="text1"/>
        </w:rPr>
        <w:t xml:space="preserve">es in whom the genetic test identified </w:t>
      </w:r>
      <w:r w:rsidRPr="00B85D62">
        <w:rPr>
          <w:rFonts w:eastAsia="Calibri" w:cs="Arial"/>
          <w:color w:val="000000" w:themeColor="text1"/>
          <w:highlight w:val="magenta"/>
        </w:rPr>
        <w:t>an F</w:t>
      </w:r>
      <w:r w:rsidRPr="00B85D62">
        <w:rPr>
          <w:rFonts w:eastAsia="Calibri" w:cs="Arial"/>
          <w:color w:val="000000" w:themeColor="text1"/>
        </w:rPr>
        <w:t>H mutation have monogenic FH (</w:t>
      </w:r>
      <w:r w:rsidR="11364873" w:rsidRPr="00B85D62">
        <w:rPr>
          <w:rFonts w:eastAsia="Calibri" w:cs="Arial"/>
          <w:color w:val="000000" w:themeColor="text1"/>
        </w:rPr>
        <w:t>FH</w:t>
      </w:r>
      <w:r w:rsidRPr="00B85D62">
        <w:rPr>
          <w:rFonts w:eastAsia="Calibri" w:cs="Arial"/>
          <w:color w:val="000000" w:themeColor="text1"/>
        </w:rPr>
        <w:t>; the genetic test is perfectly specific), and index</w:t>
      </w:r>
      <w:r w:rsidR="00271CA3" w:rsidRPr="00B85D62">
        <w:rPr>
          <w:rFonts w:eastAsia="Calibri" w:cs="Arial"/>
          <w:color w:val="000000" w:themeColor="text1"/>
        </w:rPr>
        <w:t xml:space="preserve"> cas</w:t>
      </w:r>
      <w:r w:rsidRPr="00B85D62">
        <w:rPr>
          <w:rFonts w:eastAsia="Calibri" w:cs="Arial"/>
          <w:color w:val="000000" w:themeColor="text1"/>
        </w:rPr>
        <w:t xml:space="preserve">es in whom the genetic test did not identify </w:t>
      </w:r>
      <w:r w:rsidRPr="00B85D62">
        <w:rPr>
          <w:rFonts w:eastAsia="Calibri" w:cs="Arial"/>
          <w:color w:val="000000" w:themeColor="text1"/>
          <w:highlight w:val="magenta"/>
        </w:rPr>
        <w:t>an F</w:t>
      </w:r>
      <w:r w:rsidRPr="00B85D62">
        <w:rPr>
          <w:rFonts w:eastAsia="Calibri" w:cs="Arial"/>
          <w:color w:val="000000" w:themeColor="text1"/>
        </w:rPr>
        <w:t xml:space="preserve">H mutation do not have </w:t>
      </w:r>
      <w:r w:rsidR="11364873" w:rsidRPr="00B85D62">
        <w:rPr>
          <w:rFonts w:eastAsia="Calibri" w:cs="Arial"/>
          <w:color w:val="000000" w:themeColor="text1"/>
        </w:rPr>
        <w:t>FH</w:t>
      </w:r>
      <w:r w:rsidRPr="00B85D62">
        <w:rPr>
          <w:rFonts w:eastAsia="Calibri" w:cs="Arial"/>
          <w:color w:val="000000" w:themeColor="text1"/>
        </w:rPr>
        <w:t xml:space="preserve"> (the genetic test is perfectly sensitive). In those index</w:t>
      </w:r>
      <w:r w:rsidR="00271CA3" w:rsidRPr="00B85D62">
        <w:rPr>
          <w:rFonts w:eastAsia="Calibri" w:cs="Arial"/>
          <w:color w:val="000000" w:themeColor="text1"/>
        </w:rPr>
        <w:t xml:space="preserve"> cas</w:t>
      </w:r>
      <w:r w:rsidRPr="00B85D62">
        <w:rPr>
          <w:rFonts w:eastAsia="Calibri" w:cs="Arial"/>
          <w:color w:val="000000" w:themeColor="text1"/>
        </w:rPr>
        <w:t xml:space="preserve">es in whom the genetic test identified a VUS, we assumed that a proportion have </w:t>
      </w:r>
      <w:r w:rsidR="11364873" w:rsidRPr="00B85D62">
        <w:rPr>
          <w:rFonts w:eastAsia="Calibri" w:cs="Arial"/>
          <w:color w:val="000000" w:themeColor="text1"/>
        </w:rPr>
        <w:t>FH</w:t>
      </w:r>
      <w:r w:rsidRPr="00B85D62">
        <w:rPr>
          <w:rFonts w:eastAsia="Calibri" w:cs="Arial"/>
          <w:color w:val="000000" w:themeColor="text1"/>
        </w:rPr>
        <w:t xml:space="preserve">, reflecting that some VUS are reclassified over time as pathogenic or non-pathogenic as more evidence emerges. Given that </w:t>
      </w:r>
      <w:r w:rsidR="0DD40179" w:rsidRPr="00B85D62">
        <w:rPr>
          <w:rFonts w:eastAsia="Calibri" w:cs="Arial"/>
          <w:color w:val="000000" w:themeColor="text1"/>
        </w:rPr>
        <w:t>FH</w:t>
      </w:r>
      <w:r w:rsidRPr="00B85D62">
        <w:rPr>
          <w:rFonts w:eastAsia="Calibri" w:cs="Arial"/>
          <w:color w:val="000000" w:themeColor="text1"/>
        </w:rPr>
        <w:t xml:space="preserve"> follows an autosomal dominant inheritance pattern, the prevalence of </w:t>
      </w:r>
      <w:r w:rsidR="747A3017" w:rsidRPr="00B85D62">
        <w:rPr>
          <w:rFonts w:eastAsia="Calibri" w:cs="Arial"/>
          <w:color w:val="000000" w:themeColor="text1"/>
        </w:rPr>
        <w:t>FH</w:t>
      </w:r>
      <w:r w:rsidRPr="00B85D62">
        <w:rPr>
          <w:rFonts w:eastAsia="Calibri" w:cs="Arial"/>
          <w:color w:val="000000" w:themeColor="text1"/>
        </w:rPr>
        <w:t xml:space="preserve"> in relatives depends on their kinship: 50% in </w:t>
      </w:r>
      <w:r w:rsidR="00B85D62" w:rsidRPr="00B85D62">
        <w:rPr>
          <w:rFonts w:eastAsia="Calibri" w:cs="Arial"/>
          <w:color w:val="00B0F0"/>
        </w:rPr>
        <w:t>1st</w:t>
      </w:r>
      <w:r w:rsidRPr="00B85D62">
        <w:rPr>
          <w:rFonts w:eastAsia="Calibri" w:cs="Arial"/>
          <w:color w:val="000000" w:themeColor="text1"/>
        </w:rPr>
        <w:t xml:space="preserve"> degree relatives to </w:t>
      </w:r>
      <w:r w:rsidRPr="00B85D62">
        <w:rPr>
          <w:rFonts w:eastAsia="Calibri" w:cs="Arial"/>
          <w:color w:val="000000" w:themeColor="text1"/>
          <w:highlight w:val="magenta"/>
        </w:rPr>
        <w:t xml:space="preserve">an </w:t>
      </w:r>
      <w:r w:rsidR="747A3017" w:rsidRPr="00B85D62">
        <w:rPr>
          <w:rFonts w:eastAsia="Calibri" w:cs="Arial"/>
          <w:color w:val="000000" w:themeColor="text1"/>
          <w:highlight w:val="magenta"/>
        </w:rPr>
        <w:t>F</w:t>
      </w:r>
      <w:r w:rsidR="747A3017" w:rsidRPr="00B85D62">
        <w:rPr>
          <w:rFonts w:eastAsia="Calibri" w:cs="Arial"/>
          <w:color w:val="000000" w:themeColor="text1"/>
        </w:rPr>
        <w:t>H</w:t>
      </w:r>
      <w:r w:rsidRPr="00B85D62">
        <w:rPr>
          <w:rFonts w:eastAsia="Calibri" w:cs="Arial"/>
          <w:color w:val="000000" w:themeColor="text1"/>
        </w:rPr>
        <w:t xml:space="preserve"> index (and in </w:t>
      </w:r>
      <w:r w:rsidR="00B85D62" w:rsidRPr="00B85D62">
        <w:rPr>
          <w:rFonts w:eastAsia="Calibri" w:cs="Arial"/>
          <w:color w:val="00B0F0"/>
        </w:rPr>
        <w:t>2nd</w:t>
      </w:r>
      <w:r w:rsidRPr="00B85D62">
        <w:rPr>
          <w:rFonts w:eastAsia="Calibri" w:cs="Arial"/>
          <w:color w:val="000000" w:themeColor="text1"/>
        </w:rPr>
        <w:t xml:space="preserve"> degree relatives to an affected </w:t>
      </w:r>
      <w:r w:rsidR="00B85D62" w:rsidRPr="00B85D62">
        <w:rPr>
          <w:rFonts w:eastAsia="Calibri" w:cs="Arial"/>
          <w:color w:val="00B0F0"/>
        </w:rPr>
        <w:t>1st</w:t>
      </w:r>
      <w:r w:rsidRPr="00B85D62">
        <w:rPr>
          <w:rFonts w:eastAsia="Calibri" w:cs="Arial"/>
          <w:color w:val="000000" w:themeColor="text1"/>
        </w:rPr>
        <w:t xml:space="preserve"> degree relative), and 25% in </w:t>
      </w:r>
      <w:r w:rsidR="00B85D62" w:rsidRPr="00B85D62">
        <w:rPr>
          <w:rFonts w:eastAsia="Calibri" w:cs="Arial"/>
          <w:color w:val="00B0F0"/>
        </w:rPr>
        <w:t>2nd</w:t>
      </w:r>
      <w:r w:rsidRPr="00B85D62">
        <w:rPr>
          <w:rFonts w:eastAsia="Calibri" w:cs="Arial"/>
          <w:color w:val="000000" w:themeColor="text1"/>
        </w:rPr>
        <w:t xml:space="preserve"> degree relatives to </w:t>
      </w:r>
      <w:r w:rsidRPr="00B85D62">
        <w:rPr>
          <w:rFonts w:eastAsia="Calibri" w:cs="Arial"/>
          <w:color w:val="000000" w:themeColor="text1"/>
          <w:highlight w:val="magenta"/>
        </w:rPr>
        <w:t xml:space="preserve">an </w:t>
      </w:r>
      <w:r w:rsidR="06D6846C" w:rsidRPr="00B85D62">
        <w:rPr>
          <w:rFonts w:eastAsia="Calibri" w:cs="Arial"/>
          <w:color w:val="000000" w:themeColor="text1"/>
          <w:highlight w:val="magenta"/>
        </w:rPr>
        <w:t>F</w:t>
      </w:r>
      <w:r w:rsidR="06D6846C" w:rsidRPr="00B85D62">
        <w:rPr>
          <w:rFonts w:eastAsia="Calibri" w:cs="Arial"/>
          <w:color w:val="000000" w:themeColor="text1"/>
        </w:rPr>
        <w:t>H</w:t>
      </w:r>
      <w:r w:rsidRPr="00B85D62">
        <w:rPr>
          <w:rFonts w:eastAsia="Calibri" w:cs="Arial"/>
          <w:color w:val="000000" w:themeColor="text1"/>
        </w:rPr>
        <w:t xml:space="preserve"> index </w:t>
      </w:r>
      <w:r w:rsidR="00F80015" w:rsidRPr="00B85D62">
        <w:rPr>
          <w:rFonts w:eastAsia="Calibri" w:cs="Arial"/>
          <w:noProof/>
          <w:color w:val="000000" w:themeColor="text1"/>
          <w:vertAlign w:val="superscript"/>
        </w:rPr>
        <w:t>9</w:t>
      </w:r>
      <w:r w:rsidRPr="00B85D62">
        <w:rPr>
          <w:rFonts w:eastAsia="Calibri" w:cs="Arial"/>
          <w:color w:val="000000" w:themeColor="text1"/>
        </w:rPr>
        <w:t>. We did not consider the long-term outcomes of index</w:t>
      </w:r>
      <w:r w:rsidR="00271CA3" w:rsidRPr="00B85D62">
        <w:rPr>
          <w:rFonts w:eastAsia="Calibri" w:cs="Arial"/>
          <w:color w:val="000000" w:themeColor="text1"/>
        </w:rPr>
        <w:t xml:space="preserve"> cas</w:t>
      </w:r>
      <w:r w:rsidRPr="00B85D62">
        <w:rPr>
          <w:rFonts w:eastAsia="Calibri" w:cs="Arial"/>
          <w:color w:val="000000" w:themeColor="text1"/>
        </w:rPr>
        <w:t>es because their selection to the cascade does not affect their management.</w:t>
      </w:r>
    </w:p>
    <w:p w14:paraId="547C73D5" w14:textId="3C6563D4" w:rsidR="00B85D62" w:rsidRPr="00B85D62" w:rsidRDefault="0261FC2A" w:rsidP="0066232B">
      <w:pPr>
        <w:rPr>
          <w:rFonts w:eastAsia="Calibri" w:cs="Arial"/>
          <w:color w:val="000000" w:themeColor="text1"/>
        </w:rPr>
      </w:pPr>
      <w:r w:rsidRPr="00B85D62">
        <w:rPr>
          <w:rFonts w:eastAsia="Calibri" w:cs="Arial"/>
          <w:color w:val="000000" w:themeColor="text1"/>
        </w:rPr>
        <w:t xml:space="preserve">The relatives are considered in terms of their true </w:t>
      </w:r>
      <w:r w:rsidR="003E512B" w:rsidRPr="00B85D62">
        <w:rPr>
          <w:rFonts w:eastAsia="Calibri" w:cs="Arial"/>
          <w:color w:val="000000" w:themeColor="text1"/>
        </w:rPr>
        <w:t>FH</w:t>
      </w:r>
      <w:r w:rsidRPr="00B85D62">
        <w:rPr>
          <w:rFonts w:eastAsia="Calibri" w:cs="Arial"/>
          <w:color w:val="000000" w:themeColor="text1"/>
        </w:rPr>
        <w:t xml:space="preserve"> status (affected with </w:t>
      </w:r>
      <w:r w:rsidR="003E512B" w:rsidRPr="00B85D62">
        <w:rPr>
          <w:rFonts w:eastAsia="Calibri" w:cs="Arial"/>
          <w:color w:val="000000" w:themeColor="text1"/>
        </w:rPr>
        <w:t>FH</w:t>
      </w:r>
      <w:r w:rsidRPr="00B85D62">
        <w:rPr>
          <w:rFonts w:eastAsia="Calibri" w:cs="Arial"/>
          <w:color w:val="000000" w:themeColor="text1"/>
        </w:rPr>
        <w:t xml:space="preserve"> or not affected with </w:t>
      </w:r>
      <w:r w:rsidR="7FD4BC5C" w:rsidRPr="00B85D62">
        <w:rPr>
          <w:rFonts w:eastAsia="Calibri" w:cs="Arial"/>
          <w:color w:val="000000" w:themeColor="text1"/>
        </w:rPr>
        <w:t>FH</w:t>
      </w:r>
      <w:r w:rsidRPr="00B85D62">
        <w:rPr>
          <w:rFonts w:eastAsia="Calibri" w:cs="Arial"/>
          <w:color w:val="000000" w:themeColor="text1"/>
        </w:rPr>
        <w:t>), age, sex, LDL-C, prior CV</w:t>
      </w:r>
      <w:r w:rsidR="00271CA3" w:rsidRPr="00B85D62">
        <w:rPr>
          <w:rFonts w:eastAsia="Calibri" w:cs="Arial"/>
          <w:color w:val="000000" w:themeColor="text1"/>
        </w:rPr>
        <w:t>D</w:t>
      </w:r>
      <w:r w:rsidRPr="00B85D62">
        <w:rPr>
          <w:rFonts w:eastAsia="Calibri" w:cs="Arial"/>
          <w:color w:val="000000" w:themeColor="text1"/>
        </w:rPr>
        <w:t xml:space="preserve"> history, and LLT at the time of the cascade. We selected these characteristics because they determine disease status, can be used to inform diagnosis, and are prognostic factors for the long-term outcomes. We considered age in terms of five age bands: 0</w:t>
      </w:r>
      <w:r w:rsidR="00B85D62" w:rsidRPr="00B85D62">
        <w:rPr>
          <w:rFonts w:eastAsia="Calibri" w:cs="Arial"/>
          <w:color w:val="00B0F0"/>
        </w:rPr>
        <w:t>–</w:t>
      </w:r>
      <w:r w:rsidR="00B85D62" w:rsidRPr="00B85D62">
        <w:rPr>
          <w:rFonts w:eastAsia="Calibri" w:cs="Arial"/>
          <w:color w:val="00B0F0"/>
        </w:rPr>
        <w:t>9</w:t>
      </w:r>
      <w:r w:rsidRPr="00B85D62">
        <w:rPr>
          <w:rFonts w:eastAsia="Calibri" w:cs="Arial"/>
          <w:color w:val="000000" w:themeColor="text1"/>
        </w:rPr>
        <w:t xml:space="preserve"> years, 10</w:t>
      </w:r>
      <w:r w:rsidR="00B85D62" w:rsidRPr="00B85D62">
        <w:rPr>
          <w:rFonts w:eastAsia="Calibri" w:cs="Arial"/>
          <w:color w:val="00B0F0"/>
        </w:rPr>
        <w:t>–</w:t>
      </w:r>
      <w:r w:rsidR="00B85D62" w:rsidRPr="00B85D62">
        <w:rPr>
          <w:rFonts w:eastAsia="Calibri" w:cs="Arial"/>
          <w:color w:val="00B0F0"/>
        </w:rPr>
        <w:t>1</w:t>
      </w:r>
      <w:r w:rsidRPr="00B85D62">
        <w:rPr>
          <w:rFonts w:eastAsia="Calibri" w:cs="Arial"/>
          <w:color w:val="000000" w:themeColor="text1"/>
        </w:rPr>
        <w:t>7 years, 18</w:t>
      </w:r>
      <w:r w:rsidR="00B85D62" w:rsidRPr="00B85D62">
        <w:rPr>
          <w:rFonts w:eastAsia="Calibri" w:cs="Arial"/>
          <w:color w:val="00B0F0"/>
        </w:rPr>
        <w:t>–</w:t>
      </w:r>
      <w:r w:rsidR="00B85D62" w:rsidRPr="00B85D62">
        <w:rPr>
          <w:rFonts w:eastAsia="Calibri" w:cs="Arial"/>
          <w:color w:val="00B0F0"/>
        </w:rPr>
        <w:t>3</w:t>
      </w:r>
      <w:r w:rsidRPr="00B85D62">
        <w:rPr>
          <w:rFonts w:eastAsia="Calibri" w:cs="Arial"/>
          <w:color w:val="000000" w:themeColor="text1"/>
        </w:rPr>
        <w:t>9 years, 40</w:t>
      </w:r>
      <w:r w:rsidR="00B85D62" w:rsidRPr="00B85D62">
        <w:rPr>
          <w:rFonts w:eastAsia="Calibri" w:cs="Arial"/>
          <w:color w:val="00B0F0"/>
        </w:rPr>
        <w:t>–</w:t>
      </w:r>
      <w:r w:rsidR="00B85D62" w:rsidRPr="00B85D62">
        <w:rPr>
          <w:rFonts w:eastAsia="Calibri" w:cs="Arial"/>
          <w:color w:val="00B0F0"/>
        </w:rPr>
        <w:t>5</w:t>
      </w:r>
      <w:r w:rsidRPr="00B85D62">
        <w:rPr>
          <w:rFonts w:eastAsia="Calibri" w:cs="Arial"/>
          <w:color w:val="000000" w:themeColor="text1"/>
        </w:rPr>
        <w:t>9 years and 6</w:t>
      </w:r>
      <w:r w:rsidR="00B85D62" w:rsidRPr="00B85D62">
        <w:rPr>
          <w:rFonts w:eastAsia="Calibri" w:cs="Arial"/>
          <w:color w:val="00B0F0"/>
        </w:rPr>
        <w:t>0</w:t>
      </w:r>
      <w:r w:rsidR="00B85D62" w:rsidRPr="00B85D62">
        <w:rPr>
          <w:rFonts w:eastAsia="Calibri" w:cs="Arial"/>
          <w:color w:val="00B0F0"/>
        </w:rPr>
        <w:t> </w:t>
      </w:r>
      <w:r w:rsidR="00B85D62" w:rsidRPr="00B85D62">
        <w:rPr>
          <w:rFonts w:eastAsia="Calibri" w:cs="Arial"/>
          <w:color w:val="00B0F0"/>
        </w:rPr>
        <w:t>+</w:t>
      </w:r>
      <w:r w:rsidRPr="00B85D62">
        <w:rPr>
          <w:rFonts w:eastAsia="Calibri" w:cs="Arial"/>
          <w:color w:val="000000" w:themeColor="text1"/>
        </w:rPr>
        <w:t xml:space="preserve"> years of age, given the NICE and Heart UK consensus of offering LLT to children aged 10 and older </w:t>
      </w:r>
      <w:r w:rsidR="00C35B5E" w:rsidRPr="00B85D62">
        <w:rPr>
          <w:rFonts w:eastAsia="Calibri" w:cs="Arial"/>
          <w:noProof/>
          <w:color w:val="000000" w:themeColor="text1"/>
          <w:shd w:val="clear" w:color="auto" w:fill="E6E6E6"/>
          <w:vertAlign w:val="superscript"/>
        </w:rPr>
        <w:t>9, 154</w:t>
      </w:r>
      <w:r w:rsidRPr="00B85D62">
        <w:rPr>
          <w:rFonts w:eastAsia="Calibri" w:cs="Arial"/>
          <w:color w:val="000000" w:themeColor="text1"/>
        </w:rPr>
        <w:t xml:space="preserve">, the transition to adulthood at age 18, the eligibility for routine cardiovascular risk assessments in the general population from age 40 and the age cut-off of 60 years for considering </w:t>
      </w:r>
      <w:r w:rsidR="004F3E0C" w:rsidRPr="00B85D62">
        <w:rPr>
          <w:rFonts w:eastAsia="Calibri" w:cs="Arial"/>
          <w:color w:val="000000" w:themeColor="text1"/>
        </w:rPr>
        <w:t>CVD</w:t>
      </w:r>
      <w:r w:rsidRPr="00B85D62">
        <w:rPr>
          <w:rFonts w:eastAsia="Calibri" w:cs="Arial"/>
          <w:color w:val="000000" w:themeColor="text1"/>
        </w:rPr>
        <w:t xml:space="preserve"> to be premature </w:t>
      </w:r>
      <w:r w:rsidR="00C35B5E" w:rsidRPr="00B85D62">
        <w:rPr>
          <w:rFonts w:eastAsia="Calibri" w:cs="Arial"/>
          <w:noProof/>
          <w:color w:val="000000" w:themeColor="text1"/>
          <w:shd w:val="clear" w:color="auto" w:fill="E6E6E6"/>
          <w:vertAlign w:val="superscript"/>
        </w:rPr>
        <w:t>116</w:t>
      </w:r>
      <w:r w:rsidRPr="00B85D62">
        <w:rPr>
          <w:rFonts w:eastAsia="Calibri" w:cs="Arial"/>
          <w:color w:val="000000" w:themeColor="text1"/>
        </w:rPr>
        <w:t>.</w:t>
      </w:r>
    </w:p>
    <w:p w14:paraId="7D891ECE" w14:textId="612B482B" w:rsidR="4924D102" w:rsidRPr="00B85D62" w:rsidRDefault="4924D102" w:rsidP="006C7E71">
      <w:pPr>
        <w:pStyle w:val="Heading4"/>
        <w:numPr>
          <w:ilvl w:val="0"/>
          <w:numId w:val="0"/>
        </w:numPr>
      </w:pPr>
      <w:r w:rsidRPr="00B85D62">
        <w:t>Conceptual model</w:t>
      </w:r>
    </w:p>
    <w:p w14:paraId="3DEA562E" w14:textId="04BFFAC5" w:rsidR="00B85D62" w:rsidRPr="00B85D62" w:rsidRDefault="00B85D62" w:rsidP="0066232B">
      <w:pPr>
        <w:rPr>
          <w:rFonts w:eastAsia="Calibri" w:cs="Arial"/>
          <w:color w:val="000000" w:themeColor="text1"/>
        </w:rPr>
      </w:pPr>
      <w:r w:rsidRPr="00B85D62">
        <w:rPr>
          <w:rFonts w:eastAsia="Calibri" w:cs="Arial"/>
          <w:i/>
          <w:color w:val="FF0000"/>
        </w:rPr>
        <w:t>F</w:t>
      </w:r>
      <w:r w:rsidRPr="00B85D62">
        <w:rPr>
          <w:rFonts w:eastAsia="Calibri" w:cs="Arial"/>
          <w:i/>
          <w:color w:val="FF0000"/>
        </w:rPr>
        <w:t>igure</w:t>
      </w:r>
      <w:r w:rsidRPr="00B85D62">
        <w:rPr>
          <w:rFonts w:eastAsia="Calibri" w:cs="Arial"/>
          <w:i/>
          <w:color w:val="FF0000"/>
        </w:rPr>
        <w:t xml:space="preserve"> </w:t>
      </w:r>
      <w:r w:rsidRPr="00B85D62">
        <w:rPr>
          <w:rFonts w:eastAsia="Calibri" w:cs="Arial"/>
          <w:i/>
          <w:color w:val="FF0000"/>
        </w:rPr>
        <w:t>17</w:t>
      </w:r>
      <w:r w:rsidR="0261FC2A" w:rsidRPr="00B85D62">
        <w:rPr>
          <w:rFonts w:eastAsia="Calibri" w:cs="Arial"/>
          <w:color w:val="000000" w:themeColor="text1"/>
        </w:rPr>
        <w:t xml:space="preserve"> shows our conceptual model. We interpreted the cascade as a 3-stage process: (1) selecting index</w:t>
      </w:r>
      <w:r w:rsidR="000F112D" w:rsidRPr="00B85D62">
        <w:rPr>
          <w:rFonts w:eastAsia="Calibri" w:cs="Arial"/>
          <w:color w:val="000000" w:themeColor="text1"/>
        </w:rPr>
        <w:t xml:space="preserve"> cas</w:t>
      </w:r>
      <w:r w:rsidR="0261FC2A" w:rsidRPr="00B85D62">
        <w:rPr>
          <w:rFonts w:eastAsia="Calibri" w:cs="Arial"/>
          <w:color w:val="000000" w:themeColor="text1"/>
        </w:rPr>
        <w:t>es to be cascaded, (2) contacting relatives, and (3) testing relatives.</w:t>
      </w:r>
    </w:p>
    <w:p w14:paraId="45F05BA8" w14:textId="1B2D931B" w:rsidR="00B85D62" w:rsidRPr="00B85D62" w:rsidRDefault="00B85D62" w:rsidP="0011266D">
      <w:pPr>
        <w:pStyle w:val="Caption"/>
        <w:keepNext/>
        <w:rPr>
          <w:b w:val="0"/>
          <w:bCs/>
        </w:rPr>
      </w:pPr>
      <w:bookmarkStart w:id="233" w:name="_Toc79740236"/>
      <w:bookmarkStart w:id="234" w:name="_Toc107157399"/>
      <w:r w:rsidRPr="00B85D62">
        <w:rPr>
          <w:b w:val="0"/>
          <w:bCs/>
          <w:i/>
          <w:color w:val="FF0000"/>
        </w:rPr>
        <w:t>F</w:t>
      </w:r>
      <w:r w:rsidRPr="00B85D62">
        <w:rPr>
          <w:b w:val="0"/>
          <w:bCs/>
          <w:i/>
          <w:color w:val="FF0000"/>
        </w:rPr>
        <w:t>igure</w:t>
      </w:r>
      <w:r w:rsidRPr="00B85D62">
        <w:rPr>
          <w:b w:val="0"/>
          <w:bCs/>
          <w:i/>
          <w:color w:val="FF0000"/>
        </w:rPr>
        <w:t xml:space="preserve"> </w:t>
      </w:r>
      <w:r w:rsidRPr="00B85D62">
        <w:rPr>
          <w:b w:val="0"/>
          <w:bCs/>
          <w:i/>
          <w:noProof/>
          <w:color w:val="FF0000"/>
        </w:rPr>
        <w:t>17</w:t>
      </w:r>
      <w:r w:rsidR="0011266D" w:rsidRPr="00B85D62">
        <w:rPr>
          <w:b w:val="0"/>
          <w:bCs/>
        </w:rPr>
        <w:t xml:space="preserve"> Conceptual model</w:t>
      </w:r>
      <w:bookmarkEnd w:id="233"/>
      <w:bookmarkEnd w:id="234"/>
    </w:p>
    <w:p w14:paraId="273363FA" w14:textId="06A01272" w:rsidR="00B85D62" w:rsidRPr="00B85D62" w:rsidRDefault="00FD1321" w:rsidP="003A0CB4">
      <w:pPr>
        <w:rPr>
          <w:rFonts w:asciiTheme="minorHAnsi" w:hAnsiTheme="minorHAnsi"/>
          <w:sz w:val="18"/>
          <w:szCs w:val="18"/>
        </w:rPr>
      </w:pPr>
      <w:r w:rsidRPr="00B85D62">
        <w:rPr>
          <w:rFonts w:asciiTheme="minorHAnsi" w:hAnsiTheme="minorHAnsi"/>
          <w:sz w:val="18"/>
          <w:szCs w:val="18"/>
        </w:rPr>
        <w:t>Relatives are correctly diagnosed if their index is selected to the cascade, the relatives are tested, and the test is correct (full arrows in green). Relatives are not diagnosed if their index is not selected to the cascade, or if relatives are not tested.</w:t>
      </w:r>
    </w:p>
    <w:p w14:paraId="074740E2" w14:textId="77777777" w:rsidR="00B85D62" w:rsidRPr="00B85D62" w:rsidRDefault="00FD1321" w:rsidP="00FD1321">
      <w:pPr>
        <w:spacing w:line="259" w:lineRule="auto"/>
        <w:rPr>
          <w:rFonts w:asciiTheme="minorHAnsi" w:hAnsiTheme="minorHAnsi"/>
          <w:sz w:val="18"/>
          <w:szCs w:val="18"/>
        </w:rPr>
      </w:pPr>
      <w:r w:rsidRPr="00B85D62">
        <w:rPr>
          <w:rFonts w:asciiTheme="minorHAnsi" w:hAnsiTheme="minorHAnsi"/>
          <w:sz w:val="18"/>
          <w:szCs w:val="18"/>
        </w:rPr>
        <w:t>FH relatives who are correctly diagnosed are treated with LLT, hence have lower cardiovascular risk than FH relatives who are not diagnosed. Our base-case conservatively assumes that FH relatives who are on LLT at the time of the cascade do not have additional health benefits or costs from FH diagnosis, hence do not benefit from diagnosis. This is tested in the scenario analysis, where we assume that diagnosis reduces LDL-C by 50% irrespective of prior treatment..</w:t>
      </w:r>
    </w:p>
    <w:p w14:paraId="757FEF8A" w14:textId="77777777" w:rsidR="00B85D62" w:rsidRPr="00B85D62" w:rsidRDefault="00FD1321" w:rsidP="00FD1321">
      <w:pPr>
        <w:spacing w:line="259" w:lineRule="auto"/>
        <w:rPr>
          <w:rFonts w:asciiTheme="minorHAnsi" w:hAnsiTheme="minorHAnsi"/>
          <w:sz w:val="18"/>
          <w:szCs w:val="18"/>
        </w:rPr>
      </w:pPr>
      <w:r w:rsidRPr="00B85D62">
        <w:rPr>
          <w:rFonts w:asciiTheme="minorHAnsi" w:hAnsiTheme="minorHAnsi"/>
          <w:sz w:val="18"/>
          <w:szCs w:val="18"/>
        </w:rPr>
        <w:t>Non-FH relatives who are correctly diagnosed have no change in management. We assumed that non-FH relatives who are incorrectly diagnosed incur greater costs (</w:t>
      </w:r>
      <w:r w:rsidRPr="00B85D62">
        <w:rPr>
          <w:rFonts w:asciiTheme="minorHAnsi" w:hAnsiTheme="minorHAnsi"/>
          <w:sz w:val="18"/>
          <w:szCs w:val="18"/>
          <w:highlight w:val="magenta"/>
        </w:rPr>
        <w:t>due to</w:t>
      </w:r>
      <w:r w:rsidRPr="00B85D62">
        <w:rPr>
          <w:rFonts w:asciiTheme="minorHAnsi" w:hAnsiTheme="minorHAnsi"/>
          <w:sz w:val="18"/>
          <w:szCs w:val="18"/>
        </w:rPr>
        <w:t xml:space="preserve"> the monitoring) but experience no health effects. Even though some non-FH relatives are at high </w:t>
      </w:r>
      <w:r w:rsidR="003A0CB4" w:rsidRPr="00B85D62">
        <w:rPr>
          <w:rFonts w:asciiTheme="minorHAnsi" w:hAnsiTheme="minorHAnsi"/>
          <w:sz w:val="18"/>
          <w:szCs w:val="18"/>
        </w:rPr>
        <w:t xml:space="preserve">cardiovascular </w:t>
      </w:r>
      <w:r w:rsidRPr="00B85D62">
        <w:rPr>
          <w:rFonts w:asciiTheme="minorHAnsi" w:hAnsiTheme="minorHAnsi"/>
          <w:sz w:val="18"/>
          <w:szCs w:val="18"/>
        </w:rPr>
        <w:t>risk (</w:t>
      </w:r>
      <w:r w:rsidRPr="00B85D62">
        <w:rPr>
          <w:rFonts w:asciiTheme="minorHAnsi" w:hAnsiTheme="minorHAnsi"/>
          <w:sz w:val="18"/>
          <w:szCs w:val="18"/>
          <w:highlight w:val="magenta"/>
        </w:rPr>
        <w:t>due to</w:t>
      </w:r>
      <w:r w:rsidRPr="00B85D62">
        <w:rPr>
          <w:rFonts w:asciiTheme="minorHAnsi" w:hAnsiTheme="minorHAnsi"/>
          <w:sz w:val="18"/>
          <w:szCs w:val="18"/>
        </w:rPr>
        <w:t xml:space="preserve"> other risk factors, e.g. age) and may benefit from LLT, we excluded this effect in the base-case because the management of these patients should be conducted independently from cascade testing</w:t>
      </w:r>
      <w:r w:rsidR="003A0CB4" w:rsidRPr="00B85D62">
        <w:rPr>
          <w:rFonts w:asciiTheme="minorHAnsi" w:hAnsiTheme="minorHAnsi"/>
          <w:sz w:val="18"/>
          <w:szCs w:val="18"/>
        </w:rPr>
        <w:t>.</w:t>
      </w:r>
    </w:p>
    <w:p w14:paraId="63EC28F3" w14:textId="5390CFC7" w:rsidR="4924D102" w:rsidRPr="00B85D62" w:rsidRDefault="4924D102" w:rsidP="006C7E71">
      <w:pPr>
        <w:pStyle w:val="Heading4"/>
        <w:numPr>
          <w:ilvl w:val="0"/>
          <w:numId w:val="0"/>
        </w:numPr>
      </w:pPr>
      <w:r w:rsidRPr="00B85D62">
        <w:t>Cascade protocols</w:t>
      </w:r>
    </w:p>
    <w:p w14:paraId="79916EB2" w14:textId="77777777" w:rsidR="00B85D62" w:rsidRPr="00B85D62" w:rsidRDefault="4924D102" w:rsidP="0066232B">
      <w:pPr>
        <w:rPr>
          <w:rFonts w:eastAsia="Calibri" w:cs="Arial"/>
          <w:color w:val="000000" w:themeColor="text1"/>
        </w:rPr>
      </w:pPr>
      <w:r w:rsidRPr="00B85D62">
        <w:rPr>
          <w:rFonts w:eastAsia="Calibri" w:cs="Arial"/>
          <w:color w:val="000000" w:themeColor="text1"/>
        </w:rPr>
        <w:t>For each stage, we considered the alternative strategies and selected those which were likely to be feasible for services to implement, hence should be compared in the cost-effectiveness analysis. The different approaches to each stage are combined within the model to produce overall cascade protocols for evaluation.</w:t>
      </w:r>
    </w:p>
    <w:p w14:paraId="35D6174C" w14:textId="481570B3" w:rsidR="4924D102" w:rsidRPr="00B85D62" w:rsidRDefault="4924D102" w:rsidP="0066232B">
      <w:pPr>
        <w:rPr>
          <w:rFonts w:cs="Arial"/>
          <w:i/>
          <w:iCs/>
        </w:rPr>
      </w:pPr>
      <w:r w:rsidRPr="00B85D62">
        <w:rPr>
          <w:rFonts w:cs="Arial"/>
          <w:i/>
          <w:iCs/>
        </w:rPr>
        <w:t>Stage 1: Index selection strategies</w:t>
      </w:r>
    </w:p>
    <w:p w14:paraId="3F9ECF28" w14:textId="77777777" w:rsidR="00B85D62" w:rsidRPr="00B85D62" w:rsidRDefault="0261FC2A" w:rsidP="0066232B">
      <w:pPr>
        <w:rPr>
          <w:rFonts w:eastAsia="Calibri" w:cs="Arial"/>
          <w:color w:val="000000" w:themeColor="text1"/>
        </w:rPr>
      </w:pPr>
      <w:r w:rsidRPr="00B85D62">
        <w:rPr>
          <w:rFonts w:eastAsia="Calibri" w:cs="Arial"/>
          <w:color w:val="000000" w:themeColor="text1"/>
        </w:rPr>
        <w:t>We considered two types of strategies: strategies using clinical scores as a screening tool to select index</w:t>
      </w:r>
      <w:r w:rsidR="000F112D" w:rsidRPr="00B85D62">
        <w:rPr>
          <w:rFonts w:eastAsia="Calibri" w:cs="Arial"/>
          <w:color w:val="000000" w:themeColor="text1"/>
        </w:rPr>
        <w:t xml:space="preserve"> cas</w:t>
      </w:r>
      <w:r w:rsidRPr="00B85D62">
        <w:rPr>
          <w:rFonts w:eastAsia="Calibri" w:cs="Arial"/>
          <w:color w:val="000000" w:themeColor="text1"/>
        </w:rPr>
        <w:t>es for genetic testing (as per the Welsh and Wessex FH services), and strategies relying on the clinical score without the genetic test. The clinical scores included: WDLCN (base-case), age-adjusted WDLCN and the Simon Broome criteria (both in scenarios), at various cut-offs. We were unable to consider the standard DLCN because it is not used by the Welsh and Wessex FH services. We excluded strategies where indexes with a VUS were cascaded to their relatives because testing of relatives for a VUS is part of the research pathway to establish pathogenicity.</w:t>
      </w:r>
    </w:p>
    <w:p w14:paraId="086C1F5F" w14:textId="5B50A38A" w:rsidR="4924D102" w:rsidRPr="00B85D62" w:rsidRDefault="4924D102" w:rsidP="0066232B">
      <w:pPr>
        <w:rPr>
          <w:rFonts w:cs="Arial"/>
          <w:i/>
          <w:iCs/>
        </w:rPr>
      </w:pPr>
      <w:r w:rsidRPr="00B85D62">
        <w:rPr>
          <w:rFonts w:cs="Arial"/>
          <w:i/>
          <w:iCs/>
        </w:rPr>
        <w:t>Stage 2: Contact strategies</w:t>
      </w:r>
    </w:p>
    <w:p w14:paraId="60A6ABC2" w14:textId="3CF6B13C" w:rsidR="00B85D62" w:rsidRPr="00B85D62" w:rsidRDefault="0261FC2A" w:rsidP="0066232B">
      <w:pPr>
        <w:rPr>
          <w:rFonts w:eastAsia="Calibri" w:cs="Arial"/>
          <w:color w:val="000000" w:themeColor="text1"/>
        </w:rPr>
      </w:pPr>
      <w:r w:rsidRPr="00B85D62">
        <w:rPr>
          <w:rFonts w:eastAsia="Calibri" w:cs="Arial"/>
          <w:color w:val="000000" w:themeColor="text1"/>
        </w:rPr>
        <w:t xml:space="preserve">We considered two types of cascade contact pattern, sequential cascade where </w:t>
      </w:r>
      <w:r w:rsidR="00B85D62" w:rsidRPr="00B85D62">
        <w:rPr>
          <w:rFonts w:eastAsia="Calibri" w:cs="Arial"/>
          <w:color w:val="00B0F0"/>
        </w:rPr>
        <w:t>2nd</w:t>
      </w:r>
      <w:r w:rsidRPr="00B85D62">
        <w:rPr>
          <w:rFonts w:eastAsia="Calibri" w:cs="Arial"/>
          <w:color w:val="000000" w:themeColor="text1"/>
        </w:rPr>
        <w:t xml:space="preserve"> degree relatives are only contacted if the </w:t>
      </w:r>
      <w:r w:rsidR="00B85D62" w:rsidRPr="00B85D62">
        <w:rPr>
          <w:rFonts w:eastAsia="Calibri" w:cs="Arial"/>
          <w:color w:val="00B0F0"/>
        </w:rPr>
        <w:t>1st</w:t>
      </w:r>
      <w:r w:rsidRPr="00B85D62">
        <w:rPr>
          <w:rFonts w:eastAsia="Calibri" w:cs="Arial"/>
          <w:color w:val="000000" w:themeColor="text1"/>
        </w:rPr>
        <w:t xml:space="preserve"> degree relative is diagnosed; and simultaneous cascade where </w:t>
      </w:r>
      <w:r w:rsidR="00B85D62" w:rsidRPr="00B85D62">
        <w:rPr>
          <w:rFonts w:eastAsia="Calibri" w:cs="Arial"/>
          <w:color w:val="00B0F0"/>
        </w:rPr>
        <w:t>1st</w:t>
      </w:r>
      <w:r w:rsidRPr="00B85D62">
        <w:rPr>
          <w:rFonts w:eastAsia="Calibri" w:cs="Arial"/>
          <w:color w:val="000000" w:themeColor="text1"/>
        </w:rPr>
        <w:t xml:space="preserve"> and </w:t>
      </w:r>
      <w:r w:rsidR="00B85D62" w:rsidRPr="00B85D62">
        <w:rPr>
          <w:rFonts w:eastAsia="Calibri" w:cs="Arial"/>
          <w:color w:val="00B0F0"/>
        </w:rPr>
        <w:t>2nd</w:t>
      </w:r>
      <w:r w:rsidRPr="00B85D62">
        <w:rPr>
          <w:rFonts w:eastAsia="Calibri" w:cs="Arial"/>
          <w:color w:val="000000" w:themeColor="text1"/>
        </w:rPr>
        <w:t xml:space="preserve"> degree relatives are contacted simultaneously. Simultaneous cascade increases the yield. However, it involves testing a greater proportion of non-</w:t>
      </w:r>
      <w:r w:rsidR="6BB993D8" w:rsidRPr="00B85D62">
        <w:rPr>
          <w:rFonts w:eastAsia="Calibri" w:cs="Arial"/>
          <w:color w:val="000000" w:themeColor="text1"/>
        </w:rPr>
        <w:t>FH</w:t>
      </w:r>
      <w:r w:rsidRPr="00B85D62">
        <w:rPr>
          <w:rFonts w:eastAsia="Calibri" w:cs="Arial"/>
          <w:color w:val="000000" w:themeColor="text1"/>
        </w:rPr>
        <w:t xml:space="preserve"> relatives and has ethical implications in that, by diagnosing the </w:t>
      </w:r>
      <w:r w:rsidR="00B85D62" w:rsidRPr="00B85D62">
        <w:rPr>
          <w:rFonts w:eastAsia="Calibri" w:cs="Arial"/>
          <w:color w:val="00B0F0"/>
        </w:rPr>
        <w:t>2nd</w:t>
      </w:r>
      <w:r w:rsidRPr="00B85D62">
        <w:rPr>
          <w:rFonts w:eastAsia="Calibri" w:cs="Arial"/>
          <w:color w:val="000000" w:themeColor="text1"/>
        </w:rPr>
        <w:t xml:space="preserve"> degree relative, the </w:t>
      </w:r>
      <w:r w:rsidR="00B85D62" w:rsidRPr="00B85D62">
        <w:rPr>
          <w:rFonts w:eastAsia="Calibri" w:cs="Arial"/>
          <w:color w:val="00B0F0"/>
        </w:rPr>
        <w:t>1st</w:t>
      </w:r>
      <w:r w:rsidRPr="00B85D62">
        <w:rPr>
          <w:rFonts w:eastAsia="Calibri" w:cs="Arial"/>
          <w:color w:val="000000" w:themeColor="text1"/>
        </w:rPr>
        <w:t xml:space="preserve"> degree relative who links to the index may have their </w:t>
      </w:r>
      <w:r w:rsidR="6BB993D8" w:rsidRPr="00B85D62">
        <w:rPr>
          <w:rFonts w:eastAsia="Calibri" w:cs="Arial"/>
          <w:color w:val="000000" w:themeColor="text1"/>
        </w:rPr>
        <w:t>FH</w:t>
      </w:r>
      <w:r w:rsidRPr="00B85D62">
        <w:rPr>
          <w:rFonts w:eastAsia="Calibri" w:cs="Arial"/>
          <w:color w:val="000000" w:themeColor="text1"/>
        </w:rPr>
        <w:t xml:space="preserve"> status revealed without consent.</w:t>
      </w:r>
    </w:p>
    <w:p w14:paraId="3B1A1EB0" w14:textId="77777777" w:rsidR="00B85D62" w:rsidRPr="00B85D62" w:rsidRDefault="2EC4D4C9" w:rsidP="0066232B">
      <w:pPr>
        <w:rPr>
          <w:rFonts w:eastAsia="Calibri" w:cs="Arial"/>
          <w:color w:val="000000" w:themeColor="text1"/>
        </w:rPr>
      </w:pPr>
      <w:r w:rsidRPr="00B85D62">
        <w:rPr>
          <w:rFonts w:eastAsia="Calibri" w:cs="Arial"/>
          <w:color w:val="000000" w:themeColor="text1"/>
        </w:rPr>
        <w:t xml:space="preserve">We considered two methods of contact for adult relatives: direct, where the FH service contacts the relative directly; and indirect, where the index (or the relative, as relevant) contacts the relatives, in line with our systematic review (see </w:t>
      </w:r>
      <w:r w:rsidR="00734B6E" w:rsidRPr="00B85D62">
        <w:rPr>
          <w:rFonts w:eastAsia="Calibri" w:cs="Arial"/>
          <w:color w:val="000000" w:themeColor="text1"/>
        </w:rPr>
        <w:t xml:space="preserve">section </w:t>
      </w:r>
      <w:r w:rsidR="007A764A" w:rsidRPr="00B85D62">
        <w:rPr>
          <w:rFonts w:eastAsia="Calibri" w:cs="Arial"/>
          <w:color w:val="000000" w:themeColor="text1"/>
        </w:rPr>
        <w:t>5</w:t>
      </w:r>
      <w:r w:rsidR="00734B6E" w:rsidRPr="00B85D62">
        <w:rPr>
          <w:rFonts w:eastAsia="Calibri" w:cs="Arial"/>
          <w:color w:val="000000" w:themeColor="text1"/>
        </w:rPr>
        <w:t>.1</w:t>
      </w:r>
      <w:r w:rsidRPr="00B85D62">
        <w:rPr>
          <w:rFonts w:eastAsia="Calibri" w:cs="Arial"/>
          <w:color w:val="000000" w:themeColor="text1"/>
        </w:rPr>
        <w:t>).</w:t>
      </w:r>
    </w:p>
    <w:p w14:paraId="16E5D2FB" w14:textId="75182A42" w:rsidR="4924D102" w:rsidRPr="00B85D62" w:rsidRDefault="4924D102" w:rsidP="0066232B">
      <w:pPr>
        <w:rPr>
          <w:rFonts w:cs="Arial"/>
          <w:i/>
          <w:iCs/>
        </w:rPr>
      </w:pPr>
      <w:r w:rsidRPr="00B85D62">
        <w:rPr>
          <w:rFonts w:cs="Arial"/>
          <w:i/>
          <w:iCs/>
        </w:rPr>
        <w:t>Stage 3: Testing strategies</w:t>
      </w:r>
    </w:p>
    <w:p w14:paraId="5A5FFFCB" w14:textId="73A7590B" w:rsidR="00B85D62" w:rsidRPr="00B85D62" w:rsidRDefault="4924D102" w:rsidP="0066232B">
      <w:pPr>
        <w:rPr>
          <w:rFonts w:eastAsia="Calibri" w:cs="Arial"/>
          <w:color w:val="000000" w:themeColor="text1"/>
        </w:rPr>
      </w:pPr>
      <w:r w:rsidRPr="00B85D62">
        <w:rPr>
          <w:rFonts w:eastAsia="Calibri" w:cs="Arial"/>
          <w:color w:val="000000" w:themeColor="text1"/>
        </w:rPr>
        <w:t>We compared five types of strategies to diagnose relatives, from testing all relatives with the genetic test to offering the genetic test depending on relatives</w:t>
      </w:r>
      <w:r w:rsidR="00B85D62" w:rsidRPr="00B85D62">
        <w:rPr>
          <w:rFonts w:eastAsia="Calibri" w:cs="Arial"/>
          <w:color w:val="000000" w:themeColor="text1"/>
        </w:rPr>
        <w:t>’</w:t>
      </w:r>
      <w:r w:rsidRPr="00B85D62">
        <w:rPr>
          <w:rFonts w:eastAsia="Calibri" w:cs="Arial"/>
          <w:color w:val="000000" w:themeColor="text1"/>
        </w:rPr>
        <w:t xml:space="preserve"> PT-LDL-C and whether they are on LLT at the time of the cascade, to diagnosing relatives solely on their LLT status and PT-LDL-C.</w:t>
      </w:r>
    </w:p>
    <w:p w14:paraId="40D72733" w14:textId="74181163" w:rsidR="4924D102" w:rsidRPr="00B85D62" w:rsidRDefault="0261FC2A" w:rsidP="0066232B">
      <w:pPr>
        <w:rPr>
          <w:rFonts w:eastAsia="Calibri" w:cs="Arial"/>
          <w:color w:val="000000" w:themeColor="text1"/>
        </w:rPr>
      </w:pPr>
      <w:r w:rsidRPr="00B85D62">
        <w:rPr>
          <w:rFonts w:eastAsia="Calibri" w:cs="Arial"/>
          <w:color w:val="000000" w:themeColor="text1"/>
        </w:rPr>
        <w:t xml:space="preserve">We used LLT status as a component of the diagnostic strategies because a large proportion of FH relatives were on LLT at the time of the cascade in the PASS service (see </w:t>
      </w:r>
      <w:r w:rsidR="3439D8C9" w:rsidRPr="00B85D62">
        <w:rPr>
          <w:rFonts w:eastAsia="Calibri" w:cs="Arial"/>
          <w:color w:val="000000" w:themeColor="text1"/>
        </w:rPr>
        <w:t xml:space="preserve">section </w:t>
      </w:r>
      <w:r w:rsidR="007A764A" w:rsidRPr="00B85D62">
        <w:rPr>
          <w:rFonts w:eastAsia="Calibri" w:cs="Arial"/>
          <w:color w:val="000000" w:themeColor="text1"/>
        </w:rPr>
        <w:t>8</w:t>
      </w:r>
      <w:r w:rsidR="3439D8C9" w:rsidRPr="00B85D62">
        <w:rPr>
          <w:rFonts w:eastAsia="Calibri" w:cs="Arial"/>
          <w:color w:val="000000" w:themeColor="text1"/>
        </w:rPr>
        <w:t>.3</w:t>
      </w:r>
      <w:r w:rsidRPr="00B85D62">
        <w:rPr>
          <w:rFonts w:eastAsia="Calibri" w:cs="Arial"/>
          <w:color w:val="000000" w:themeColor="text1"/>
        </w:rPr>
        <w:t xml:space="preserve">). We used LDL-C given the differences in its distribution in relatives with and without </w:t>
      </w:r>
      <w:r w:rsidR="0B991D2E" w:rsidRPr="00B85D62">
        <w:rPr>
          <w:rFonts w:eastAsia="Calibri" w:cs="Arial"/>
          <w:color w:val="000000" w:themeColor="text1"/>
        </w:rPr>
        <w:t>FH</w:t>
      </w:r>
      <w:r w:rsidR="3A52AA77" w:rsidRPr="00B85D62">
        <w:rPr>
          <w:rFonts w:eastAsia="Calibri" w:cs="Arial"/>
          <w:color w:val="000000" w:themeColor="text1"/>
        </w:rPr>
        <w:t xml:space="preserve"> </w:t>
      </w:r>
      <w:r w:rsidR="00C35B5E" w:rsidRPr="00B85D62">
        <w:rPr>
          <w:rFonts w:eastAsia="Calibri" w:cs="Arial"/>
          <w:noProof/>
          <w:color w:val="000000" w:themeColor="text1"/>
          <w:shd w:val="clear" w:color="auto" w:fill="E6E6E6"/>
          <w:vertAlign w:val="superscript"/>
        </w:rPr>
        <w:t>82, 88, 172</w:t>
      </w:r>
      <w:r w:rsidRPr="00B85D62">
        <w:rPr>
          <w:rFonts w:eastAsia="Calibri" w:cs="Arial"/>
          <w:color w:val="000000" w:themeColor="text1"/>
        </w:rPr>
        <w:t xml:space="preserve">. We did not include other clinical or biochemical characteristics given that a systematic review conducted in parallel with this project found no evidence that could be used in addition to LDL-C </w:t>
      </w:r>
      <w:r w:rsidR="4241A87A" w:rsidRPr="00B85D62">
        <w:rPr>
          <w:rFonts w:eastAsia="Calibri" w:cs="Arial"/>
          <w:color w:val="000000" w:themeColor="text1"/>
        </w:rPr>
        <w:t xml:space="preserve">(section </w:t>
      </w:r>
      <w:r w:rsidR="00502AA3" w:rsidRPr="00B85D62">
        <w:rPr>
          <w:rFonts w:eastAsia="Calibri" w:cs="Arial"/>
          <w:color w:val="000000" w:themeColor="text1"/>
        </w:rPr>
        <w:t>5</w:t>
      </w:r>
      <w:r w:rsidR="4241A87A" w:rsidRPr="00B85D62">
        <w:rPr>
          <w:rFonts w:eastAsia="Calibri" w:cs="Arial"/>
          <w:color w:val="000000" w:themeColor="text1"/>
        </w:rPr>
        <w:t>.4).</w:t>
      </w:r>
      <w:r w:rsidRPr="00B85D62">
        <w:rPr>
          <w:rFonts w:eastAsia="Calibri" w:cs="Arial"/>
          <w:color w:val="000000" w:themeColor="text1"/>
        </w:rPr>
        <w:t xml:space="preserve"> We did not use the LDL-C thresholds proposed by Starr</w:t>
      </w:r>
      <w:r w:rsidRPr="00B85D62">
        <w:rPr>
          <w:rFonts w:eastAsia="Calibri" w:cs="Arial"/>
          <w:i/>
          <w:color w:val="00B0F0"/>
        </w:rPr>
        <w:t xml:space="preserve"> et al</w:t>
      </w:r>
      <w:r w:rsidR="004372AB" w:rsidRPr="00B85D62">
        <w:rPr>
          <w:rFonts w:eastAsia="Calibri" w:cs="Arial"/>
          <w:noProof/>
          <w:color w:val="000000" w:themeColor="text1"/>
          <w:shd w:val="clear" w:color="auto" w:fill="E6E6E6"/>
          <w:vertAlign w:val="superscript"/>
        </w:rPr>
        <w:t>82</w:t>
      </w:r>
      <w:r w:rsidRPr="00B85D62">
        <w:rPr>
          <w:rFonts w:eastAsia="Calibri" w:cs="Arial"/>
          <w:color w:val="000000" w:themeColor="text1"/>
        </w:rPr>
        <w:t xml:space="preserve"> (and recommended in the 2008 version of NICE CG71 </w:t>
      </w:r>
      <w:r w:rsidR="004372AB" w:rsidRPr="00B85D62">
        <w:rPr>
          <w:rFonts w:eastAsia="Calibri" w:cs="Arial"/>
          <w:noProof/>
          <w:color w:val="000000" w:themeColor="text1"/>
          <w:shd w:val="clear" w:color="auto" w:fill="E6E6E6"/>
          <w:vertAlign w:val="superscript"/>
        </w:rPr>
        <w:t>83</w:t>
      </w:r>
      <w:r w:rsidRPr="00B85D62">
        <w:rPr>
          <w:rFonts w:eastAsia="Calibri" w:cs="Arial"/>
          <w:color w:val="000000" w:themeColor="text1"/>
        </w:rPr>
        <w:t>) because their age groups did not match the age groups in our evaluation. Our approach allows us to compare testing strategies using a wide range of LDL-C thresholds and identify those which result in the highest net health gain.</w:t>
      </w:r>
    </w:p>
    <w:p w14:paraId="6BBDF39F" w14:textId="5E07E691" w:rsidR="4924D102" w:rsidRPr="00B85D62" w:rsidRDefault="0261FC2A" w:rsidP="0066232B">
      <w:pPr>
        <w:rPr>
          <w:rFonts w:eastAsia="Calibri" w:cs="Arial"/>
          <w:color w:val="000000" w:themeColor="text1"/>
        </w:rPr>
      </w:pPr>
      <w:r w:rsidRPr="00B85D62">
        <w:rPr>
          <w:rFonts w:eastAsia="Calibri" w:cs="Arial"/>
          <w:color w:val="000000" w:themeColor="text1"/>
        </w:rPr>
        <w:t>We excluded strategies involving screening or diagnosis based on LDL-C in relatives on LLT at the time of the cascade because we could not reliably estimate individuals</w:t>
      </w:r>
      <w:r w:rsidR="00B85D62" w:rsidRPr="00B85D62">
        <w:rPr>
          <w:rFonts w:eastAsia="Calibri" w:cs="Arial"/>
          <w:color w:val="000000" w:themeColor="text1"/>
        </w:rPr>
        <w:t>’</w:t>
      </w:r>
      <w:r w:rsidRPr="00B85D62">
        <w:rPr>
          <w:rFonts w:eastAsia="Calibri" w:cs="Arial"/>
          <w:color w:val="000000" w:themeColor="text1"/>
        </w:rPr>
        <w:t xml:space="preserve"> pre-treatment LDL-C. Therefore, we compared two types of testing strategies, one set which assumes that relatives on LLT at the time of the cascade are diagnosed with the genetic test, while the other set assumes that relatives on LLT are assumed to have FH without further testing (and account for misdiagnosis as some relatives on LLT may not have </w:t>
      </w:r>
      <w:r w:rsidR="6F5D4EEF" w:rsidRPr="00B85D62">
        <w:rPr>
          <w:rFonts w:eastAsia="Calibri" w:cs="Arial"/>
          <w:color w:val="000000" w:themeColor="text1"/>
        </w:rPr>
        <w:t>FH</w:t>
      </w:r>
      <w:r w:rsidRPr="00B85D62">
        <w:rPr>
          <w:rFonts w:eastAsia="Calibri" w:cs="Arial"/>
          <w:color w:val="000000" w:themeColor="text1"/>
        </w:rPr>
        <w:t>).</w:t>
      </w:r>
    </w:p>
    <w:p w14:paraId="1CE71DAC" w14:textId="7A163BCE" w:rsidR="4924D102" w:rsidRPr="00B85D62" w:rsidRDefault="00B85D62" w:rsidP="0066232B">
      <w:pPr>
        <w:rPr>
          <w:rFonts w:eastAsia="Calibri" w:cs="Arial"/>
          <w:color w:val="000000" w:themeColor="text1"/>
        </w:rPr>
      </w:pPr>
      <w:r w:rsidRPr="00B85D62">
        <w:rPr>
          <w:rFonts w:eastAsia="Calibri" w:cs="Arial"/>
          <w:i/>
          <w:color w:val="FF0000"/>
        </w:rPr>
        <w:t>T</w:t>
      </w:r>
      <w:r w:rsidRPr="00B85D62">
        <w:rPr>
          <w:rFonts w:eastAsia="Calibri" w:cs="Arial"/>
          <w:i/>
          <w:color w:val="FF0000"/>
        </w:rPr>
        <w:t>able</w:t>
      </w:r>
      <w:r w:rsidRPr="00B85D62">
        <w:rPr>
          <w:rFonts w:eastAsia="Calibri" w:cs="Arial"/>
          <w:i/>
          <w:color w:val="FF0000"/>
        </w:rPr>
        <w:t xml:space="preserve"> </w:t>
      </w:r>
      <w:r w:rsidRPr="00B85D62">
        <w:rPr>
          <w:rFonts w:eastAsia="Calibri" w:cs="Arial"/>
          <w:i/>
          <w:color w:val="FF0000"/>
        </w:rPr>
        <w:t>16</w:t>
      </w:r>
      <w:r w:rsidR="0261FC2A" w:rsidRPr="00B85D62">
        <w:rPr>
          <w:rFonts w:eastAsia="Calibri" w:cs="Arial"/>
          <w:color w:val="000000" w:themeColor="text1"/>
        </w:rPr>
        <w:t xml:space="preserve"> shows our approach to strategy naming. For example, strategy N3_H6_L3_T1 refers to a strategy where relatives who are not on LLT have a cholesterol test and assumed to have FH if their PT-LDL-C is above the higher cut-off of 6 mmol/L, have the genetic test if their PT-LDL-C is between 3</w:t>
      </w:r>
      <w:r w:rsidRPr="00B85D62">
        <w:rPr>
          <w:rFonts w:eastAsia="Calibri" w:cs="Arial"/>
          <w:color w:val="00B0F0"/>
        </w:rPr>
        <w:t>–</w:t>
      </w:r>
      <w:r w:rsidRPr="00B85D62">
        <w:rPr>
          <w:rFonts w:eastAsia="Calibri" w:cs="Arial"/>
          <w:color w:val="00B0F0"/>
        </w:rPr>
        <w:t>6</w:t>
      </w:r>
      <w:r w:rsidR="0261FC2A" w:rsidRPr="00B85D62">
        <w:rPr>
          <w:rFonts w:eastAsia="Calibri" w:cs="Arial"/>
          <w:color w:val="000000" w:themeColor="text1"/>
        </w:rPr>
        <w:t xml:space="preserve"> mmol/L, and assumed not to have FH if their PT-LDL-C is below 3 mmol/L; relatives who are on LLT at the time of the cascade are assumed to have FH. Overall, we compared 68 testing strategies.</w:t>
      </w:r>
    </w:p>
    <w:p w14:paraId="4C6FC4D0" w14:textId="6E44E472" w:rsidR="00200E58" w:rsidRPr="00B85D62" w:rsidRDefault="00B85D62" w:rsidP="00200E58">
      <w:pPr>
        <w:pStyle w:val="Caption"/>
        <w:keepNext/>
        <w:rPr>
          <w:rFonts w:cs="Arial"/>
        </w:rPr>
      </w:pPr>
      <w:bookmarkStart w:id="235" w:name="_Toc79740211"/>
      <w:bookmarkStart w:id="236" w:name="_Toc107157370"/>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16</w:t>
      </w:r>
      <w:r w:rsidR="00200E58" w:rsidRPr="00B85D62">
        <w:rPr>
          <w:rFonts w:eastAsia="Arial" w:cs="Arial"/>
          <w:bCs/>
        </w:rPr>
        <w:t xml:space="preserve"> Naming of testing strategies</w:t>
      </w:r>
      <w:bookmarkEnd w:id="235"/>
      <w:bookmarkEnd w:id="23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63"/>
        <w:gridCol w:w="923"/>
        <w:gridCol w:w="6140"/>
      </w:tblGrid>
      <w:tr w:rsidR="3341BD48" w:rsidRPr="00B85D62" w14:paraId="71981A69" w14:textId="77777777" w:rsidTr="00B85D62">
        <w:trPr>
          <w:cantSplit/>
        </w:trPr>
        <w:tc>
          <w:tcPr>
            <w:tcW w:w="0" w:type="auto"/>
            <w:shd w:val="clear" w:color="auto" w:fill="auto"/>
          </w:tcPr>
          <w:p w14:paraId="4652D8FB" w14:textId="47B4F1AE" w:rsidR="3341BD48" w:rsidRPr="00B85D62" w:rsidRDefault="3341BD48" w:rsidP="0066232B">
            <w:pPr>
              <w:spacing w:before="60" w:after="60"/>
              <w:rPr>
                <w:rFonts w:eastAsia="Calibri" w:cs="Arial"/>
              </w:rPr>
            </w:pPr>
            <w:r w:rsidRPr="00B85D62">
              <w:rPr>
                <w:rFonts w:eastAsia="Calibri" w:cs="Arial"/>
                <w:b/>
                <w:bCs/>
              </w:rPr>
              <w:t>Component</w:t>
            </w:r>
          </w:p>
        </w:tc>
        <w:tc>
          <w:tcPr>
            <w:tcW w:w="0" w:type="auto"/>
            <w:shd w:val="clear" w:color="auto" w:fill="auto"/>
          </w:tcPr>
          <w:p w14:paraId="505817B9" w14:textId="410935C1" w:rsidR="3341BD48" w:rsidRPr="00B85D62" w:rsidRDefault="3341BD48" w:rsidP="0066232B">
            <w:pPr>
              <w:spacing w:before="60" w:after="60"/>
              <w:rPr>
                <w:rFonts w:eastAsia="Calibri" w:cs="Arial"/>
              </w:rPr>
            </w:pPr>
            <w:r w:rsidRPr="00B85D62">
              <w:rPr>
                <w:rFonts w:eastAsia="Calibri" w:cs="Arial"/>
                <w:b/>
                <w:bCs/>
              </w:rPr>
              <w:t>Coding element</w:t>
            </w:r>
          </w:p>
        </w:tc>
        <w:tc>
          <w:tcPr>
            <w:tcW w:w="0" w:type="auto"/>
            <w:shd w:val="clear" w:color="auto" w:fill="auto"/>
          </w:tcPr>
          <w:p w14:paraId="06824EC6" w14:textId="067DC922" w:rsidR="3341BD48" w:rsidRPr="00B85D62" w:rsidRDefault="3341BD48" w:rsidP="0066232B">
            <w:pPr>
              <w:spacing w:before="60" w:after="60"/>
              <w:rPr>
                <w:rFonts w:eastAsia="Calibri" w:cs="Arial"/>
              </w:rPr>
            </w:pPr>
            <w:r w:rsidRPr="00B85D62">
              <w:rPr>
                <w:rFonts w:eastAsia="Calibri" w:cs="Arial"/>
                <w:b/>
                <w:bCs/>
              </w:rPr>
              <w:t>Explanation</w:t>
            </w:r>
          </w:p>
        </w:tc>
      </w:tr>
      <w:tr w:rsidR="3341BD48" w:rsidRPr="00B85D62" w14:paraId="56ABB995" w14:textId="77777777" w:rsidTr="00B85D62">
        <w:trPr>
          <w:cantSplit/>
        </w:trPr>
        <w:tc>
          <w:tcPr>
            <w:tcW w:w="0" w:type="auto"/>
            <w:shd w:val="clear" w:color="auto" w:fill="auto"/>
          </w:tcPr>
          <w:p w14:paraId="3591DB9B" w14:textId="386AF396" w:rsidR="3341BD48" w:rsidRPr="00B85D62" w:rsidRDefault="3341BD48" w:rsidP="0066232B">
            <w:pPr>
              <w:spacing w:before="60" w:after="60"/>
              <w:rPr>
                <w:rFonts w:eastAsia="Calibri" w:cs="Arial"/>
              </w:rPr>
            </w:pPr>
            <w:r w:rsidRPr="00B85D62">
              <w:rPr>
                <w:rFonts w:eastAsia="Calibri" w:cs="Arial"/>
              </w:rPr>
              <w:t>Structure of testing strategy</w:t>
            </w:r>
          </w:p>
        </w:tc>
        <w:tc>
          <w:tcPr>
            <w:tcW w:w="0" w:type="auto"/>
            <w:shd w:val="clear" w:color="auto" w:fill="auto"/>
          </w:tcPr>
          <w:p w14:paraId="58851686" w14:textId="2CACB80F" w:rsidR="3341BD48" w:rsidRPr="00B85D62" w:rsidRDefault="3341BD48" w:rsidP="0066232B">
            <w:pPr>
              <w:spacing w:before="60" w:after="60"/>
              <w:rPr>
                <w:rFonts w:eastAsia="Calibri" w:cs="Arial"/>
              </w:rPr>
            </w:pPr>
            <w:r w:rsidRPr="00B85D62">
              <w:rPr>
                <w:rFonts w:eastAsia="Calibri" w:cs="Arial"/>
              </w:rPr>
              <w:t>N1 to N5</w:t>
            </w:r>
          </w:p>
        </w:tc>
        <w:tc>
          <w:tcPr>
            <w:tcW w:w="0" w:type="auto"/>
            <w:shd w:val="clear" w:color="auto" w:fill="auto"/>
          </w:tcPr>
          <w:p w14:paraId="2516A9D1" w14:textId="64BE07FC" w:rsidR="3341BD48" w:rsidRPr="00B85D62" w:rsidRDefault="3341BD48" w:rsidP="00923BC2">
            <w:pPr>
              <w:pStyle w:val="ListParagraph"/>
              <w:numPr>
                <w:ilvl w:val="0"/>
                <w:numId w:val="8"/>
              </w:numPr>
              <w:spacing w:before="60" w:after="60"/>
              <w:ind w:left="311" w:hanging="283"/>
              <w:rPr>
                <w:rFonts w:eastAsiaTheme="minorEastAsia" w:cs="Arial"/>
              </w:rPr>
            </w:pPr>
            <w:r w:rsidRPr="00B85D62">
              <w:rPr>
                <w:rFonts w:eastAsia="Calibri" w:cs="Arial"/>
              </w:rPr>
              <w:t>N1: relatives diagnosed according to their PT-LDL-C levels (without the genetic test)</w:t>
            </w:r>
          </w:p>
          <w:p w14:paraId="73F47CEC" w14:textId="7B14A6F6" w:rsidR="3341BD48" w:rsidRPr="00B85D62" w:rsidRDefault="3341BD48" w:rsidP="00923BC2">
            <w:pPr>
              <w:pStyle w:val="ListParagraph"/>
              <w:numPr>
                <w:ilvl w:val="0"/>
                <w:numId w:val="8"/>
              </w:numPr>
              <w:spacing w:before="60" w:after="60"/>
              <w:ind w:left="311" w:hanging="283"/>
              <w:rPr>
                <w:rFonts w:eastAsiaTheme="minorEastAsia" w:cs="Arial"/>
              </w:rPr>
            </w:pPr>
            <w:r w:rsidRPr="00B85D62">
              <w:rPr>
                <w:rFonts w:eastAsia="Calibri" w:cs="Arial"/>
              </w:rPr>
              <w:t>N2: relatives with PT-LDL-C above a specific cut-off are tested with the genetic test and diagnosed accordingly, whereas relatives with PT-LDL-C below this cut-off are assumed not to have FH.</w:t>
            </w:r>
          </w:p>
          <w:p w14:paraId="670C86EC" w14:textId="20662825" w:rsidR="3341BD48" w:rsidRPr="00B85D62" w:rsidRDefault="3341BD48" w:rsidP="00923BC2">
            <w:pPr>
              <w:pStyle w:val="ListParagraph"/>
              <w:numPr>
                <w:ilvl w:val="0"/>
                <w:numId w:val="8"/>
              </w:numPr>
              <w:spacing w:before="60" w:after="60"/>
              <w:ind w:left="311" w:hanging="283"/>
              <w:rPr>
                <w:rFonts w:eastAsiaTheme="minorEastAsia" w:cs="Arial"/>
              </w:rPr>
            </w:pPr>
            <w:r w:rsidRPr="00B85D62">
              <w:rPr>
                <w:rFonts w:eastAsia="Calibri" w:cs="Arial"/>
              </w:rPr>
              <w:t>N3: relatives with PT-LDL-C above a specific cut-off are assumed to have FH, relatives with PT-LDL-C below this higher cut-off but above a lower cut-off are tested with the genetic test and diagnosed accordingly, whereas relatives with PT-LDL-C below the lower cut-off are assumed not to have FH.</w:t>
            </w:r>
          </w:p>
          <w:p w14:paraId="6F1E10A2" w14:textId="3EA05CBD" w:rsidR="3341BD48" w:rsidRPr="00B85D62" w:rsidRDefault="3341BD48" w:rsidP="00923BC2">
            <w:pPr>
              <w:pStyle w:val="ListParagraph"/>
              <w:numPr>
                <w:ilvl w:val="0"/>
                <w:numId w:val="8"/>
              </w:numPr>
              <w:spacing w:before="60" w:after="60"/>
              <w:ind w:left="311" w:hanging="283"/>
              <w:rPr>
                <w:rFonts w:eastAsiaTheme="minorEastAsia" w:cs="Arial"/>
              </w:rPr>
            </w:pPr>
            <w:r w:rsidRPr="00B85D62">
              <w:rPr>
                <w:rFonts w:eastAsia="Calibri" w:cs="Arial"/>
              </w:rPr>
              <w:t>N4: relatives with PT-LDL-C above a specific cut-off are assumed to have FH, and relatives with PT-LDL-C below this cut-off are tested with the genetic test and diagnosed accordingly.</w:t>
            </w:r>
          </w:p>
          <w:p w14:paraId="79FA1B27" w14:textId="303626D3" w:rsidR="3341BD48" w:rsidRPr="00B85D62" w:rsidRDefault="3341BD48" w:rsidP="00923BC2">
            <w:pPr>
              <w:pStyle w:val="ListParagraph"/>
              <w:numPr>
                <w:ilvl w:val="0"/>
                <w:numId w:val="8"/>
              </w:numPr>
              <w:spacing w:before="60" w:after="60"/>
              <w:ind w:left="311" w:hanging="283"/>
              <w:rPr>
                <w:rFonts w:eastAsiaTheme="minorEastAsia" w:cs="Arial"/>
              </w:rPr>
            </w:pPr>
            <w:r w:rsidRPr="00B85D62">
              <w:rPr>
                <w:rFonts w:eastAsia="Calibri" w:cs="Arial"/>
              </w:rPr>
              <w:t>N5: relatives are all tested with the genetic test and diagnosed accordingly.</w:t>
            </w:r>
          </w:p>
        </w:tc>
      </w:tr>
      <w:tr w:rsidR="3341BD48" w:rsidRPr="00B85D62" w14:paraId="0A5D5A5B" w14:textId="77777777" w:rsidTr="00B85D62">
        <w:trPr>
          <w:cantSplit/>
        </w:trPr>
        <w:tc>
          <w:tcPr>
            <w:tcW w:w="0" w:type="auto"/>
            <w:shd w:val="clear" w:color="auto" w:fill="auto"/>
          </w:tcPr>
          <w:p w14:paraId="70BF9682" w14:textId="4B39C309" w:rsidR="3341BD48" w:rsidRPr="00B85D62" w:rsidRDefault="3341BD48" w:rsidP="0066232B">
            <w:pPr>
              <w:spacing w:before="60" w:after="60"/>
              <w:rPr>
                <w:rFonts w:eastAsia="Calibri" w:cs="Arial"/>
              </w:rPr>
            </w:pPr>
            <w:r w:rsidRPr="00B85D62">
              <w:rPr>
                <w:rFonts w:eastAsia="Calibri" w:cs="Arial"/>
              </w:rPr>
              <w:t>Higher cut-off of PT-LDL-C, where applicable</w:t>
            </w:r>
          </w:p>
        </w:tc>
        <w:tc>
          <w:tcPr>
            <w:tcW w:w="0" w:type="auto"/>
            <w:shd w:val="clear" w:color="auto" w:fill="auto"/>
          </w:tcPr>
          <w:p w14:paraId="7D807039" w14:textId="63473210" w:rsidR="3341BD48" w:rsidRPr="00B85D62" w:rsidRDefault="3341BD48" w:rsidP="0066232B">
            <w:pPr>
              <w:spacing w:before="60" w:after="60"/>
              <w:rPr>
                <w:rFonts w:eastAsia="Calibri" w:cs="Arial"/>
              </w:rPr>
            </w:pPr>
            <w:r w:rsidRPr="00B85D62">
              <w:rPr>
                <w:rFonts w:eastAsia="Calibri" w:cs="Arial"/>
              </w:rPr>
              <w:t>H1 to H6</w:t>
            </w:r>
          </w:p>
        </w:tc>
        <w:tc>
          <w:tcPr>
            <w:tcW w:w="0" w:type="auto"/>
            <w:shd w:val="clear" w:color="auto" w:fill="auto"/>
          </w:tcPr>
          <w:p w14:paraId="2DF8E066" w14:textId="3CB1B13C" w:rsidR="3341BD48" w:rsidRPr="00B85D62" w:rsidRDefault="3341BD48" w:rsidP="0066232B">
            <w:pPr>
              <w:spacing w:before="60" w:after="60"/>
              <w:rPr>
                <w:rFonts w:eastAsia="Calibri" w:cs="Arial"/>
              </w:rPr>
            </w:pPr>
            <w:r w:rsidRPr="00B85D62">
              <w:rPr>
                <w:rFonts w:eastAsia="Calibri" w:cs="Arial"/>
              </w:rPr>
              <w:t xml:space="preserve">PT-LDL-C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 xml:space="preserve">1 mmol/L to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6 mmol/L (1).</w:t>
            </w:r>
          </w:p>
        </w:tc>
      </w:tr>
      <w:tr w:rsidR="3341BD48" w:rsidRPr="00B85D62" w14:paraId="6C185362" w14:textId="77777777" w:rsidTr="00B85D62">
        <w:trPr>
          <w:cantSplit/>
        </w:trPr>
        <w:tc>
          <w:tcPr>
            <w:tcW w:w="0" w:type="auto"/>
            <w:shd w:val="clear" w:color="auto" w:fill="auto"/>
          </w:tcPr>
          <w:p w14:paraId="383C1F72" w14:textId="4C898A92" w:rsidR="3341BD48" w:rsidRPr="00B85D62" w:rsidRDefault="3341BD48" w:rsidP="0066232B">
            <w:pPr>
              <w:spacing w:before="60" w:after="60"/>
              <w:rPr>
                <w:rFonts w:eastAsia="Calibri" w:cs="Arial"/>
              </w:rPr>
            </w:pPr>
            <w:r w:rsidRPr="00B85D62">
              <w:rPr>
                <w:rFonts w:eastAsia="Calibri" w:cs="Arial"/>
              </w:rPr>
              <w:t>Lower cut-off of PT-LDL-C, where applicable</w:t>
            </w:r>
          </w:p>
        </w:tc>
        <w:tc>
          <w:tcPr>
            <w:tcW w:w="0" w:type="auto"/>
            <w:shd w:val="clear" w:color="auto" w:fill="auto"/>
          </w:tcPr>
          <w:p w14:paraId="5E12A1E3" w14:textId="3491F22A" w:rsidR="3341BD48" w:rsidRPr="00B85D62" w:rsidRDefault="3341BD48" w:rsidP="0066232B">
            <w:pPr>
              <w:spacing w:before="60" w:after="60"/>
              <w:rPr>
                <w:rFonts w:eastAsia="Calibri" w:cs="Arial"/>
              </w:rPr>
            </w:pPr>
            <w:r w:rsidRPr="00B85D62">
              <w:rPr>
                <w:rFonts w:eastAsia="Calibri" w:cs="Arial"/>
              </w:rPr>
              <w:t>L1 to L5</w:t>
            </w:r>
          </w:p>
        </w:tc>
        <w:tc>
          <w:tcPr>
            <w:tcW w:w="0" w:type="auto"/>
            <w:shd w:val="clear" w:color="auto" w:fill="auto"/>
          </w:tcPr>
          <w:p w14:paraId="56B1C59A" w14:textId="0EB4450E" w:rsidR="3341BD48" w:rsidRPr="00B85D62" w:rsidRDefault="3341BD48" w:rsidP="0066232B">
            <w:pPr>
              <w:spacing w:before="60" w:after="60"/>
              <w:rPr>
                <w:rFonts w:eastAsia="Calibri" w:cs="Arial"/>
              </w:rPr>
            </w:pPr>
            <w:r w:rsidRPr="00B85D62">
              <w:rPr>
                <w:rFonts w:eastAsia="Calibri" w:cs="Arial"/>
              </w:rPr>
              <w:t xml:space="preserve">PT-LDL-C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 xml:space="preserve">1 mmol/L to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5 mmol/L (1).</w:t>
            </w:r>
          </w:p>
        </w:tc>
      </w:tr>
      <w:tr w:rsidR="3341BD48" w:rsidRPr="00B85D62" w14:paraId="7CCC0435" w14:textId="77777777" w:rsidTr="00B85D62">
        <w:trPr>
          <w:cantSplit/>
        </w:trPr>
        <w:tc>
          <w:tcPr>
            <w:tcW w:w="0" w:type="auto"/>
            <w:shd w:val="clear" w:color="auto" w:fill="auto"/>
          </w:tcPr>
          <w:p w14:paraId="6F87F151" w14:textId="7A614C57" w:rsidR="3341BD48" w:rsidRPr="00B85D62" w:rsidRDefault="3341BD48" w:rsidP="0066232B">
            <w:pPr>
              <w:spacing w:before="60" w:after="60"/>
              <w:rPr>
                <w:rFonts w:eastAsia="Calibri" w:cs="Arial"/>
              </w:rPr>
            </w:pPr>
            <w:r w:rsidRPr="00B85D62">
              <w:rPr>
                <w:rFonts w:eastAsia="Calibri" w:cs="Arial"/>
              </w:rPr>
              <w:t>Approach to relatives who are on LLT at the time of the cascade</w:t>
            </w:r>
          </w:p>
        </w:tc>
        <w:tc>
          <w:tcPr>
            <w:tcW w:w="0" w:type="auto"/>
            <w:shd w:val="clear" w:color="auto" w:fill="auto"/>
          </w:tcPr>
          <w:p w14:paraId="414C2504" w14:textId="7EC624F5" w:rsidR="3341BD48" w:rsidRPr="00B85D62" w:rsidRDefault="3341BD48" w:rsidP="0066232B">
            <w:pPr>
              <w:spacing w:before="60" w:after="60"/>
              <w:rPr>
                <w:rFonts w:eastAsia="Calibri" w:cs="Arial"/>
              </w:rPr>
            </w:pPr>
            <w:r w:rsidRPr="00B85D62">
              <w:rPr>
                <w:rFonts w:eastAsia="Calibri" w:cs="Arial"/>
              </w:rPr>
              <w:t>T0 or T1</w:t>
            </w:r>
          </w:p>
        </w:tc>
        <w:tc>
          <w:tcPr>
            <w:tcW w:w="0" w:type="auto"/>
            <w:shd w:val="clear" w:color="auto" w:fill="auto"/>
          </w:tcPr>
          <w:p w14:paraId="2AB87F8B" w14:textId="69F04280" w:rsidR="3341BD48" w:rsidRPr="00B85D62" w:rsidRDefault="3341BD48" w:rsidP="0066232B">
            <w:pPr>
              <w:spacing w:before="60" w:after="60"/>
              <w:rPr>
                <w:rFonts w:eastAsia="Calibri" w:cs="Arial"/>
              </w:rPr>
            </w:pPr>
            <w:r w:rsidRPr="00B85D62">
              <w:rPr>
                <w:rFonts w:eastAsia="Calibri" w:cs="Arial"/>
              </w:rPr>
              <w:t>T0: if relatives are tested with the genetic test</w:t>
            </w:r>
          </w:p>
          <w:p w14:paraId="585E2467" w14:textId="619BEF3F" w:rsidR="3341BD48" w:rsidRPr="00B85D62" w:rsidRDefault="3341BD48" w:rsidP="0066232B">
            <w:pPr>
              <w:spacing w:before="60" w:after="60"/>
              <w:rPr>
                <w:rFonts w:eastAsia="Calibri" w:cs="Arial"/>
              </w:rPr>
            </w:pPr>
            <w:r w:rsidRPr="00B85D62">
              <w:rPr>
                <w:rFonts w:eastAsia="Calibri" w:cs="Arial"/>
              </w:rPr>
              <w:t>T1: if relatives are assumed to have FH</w:t>
            </w:r>
          </w:p>
        </w:tc>
      </w:tr>
      <w:tr w:rsidR="3341BD48" w:rsidRPr="00B85D62" w14:paraId="097A1734" w14:textId="77777777" w:rsidTr="00B85D62">
        <w:trPr>
          <w:cantSplit/>
        </w:trPr>
        <w:tc>
          <w:tcPr>
            <w:tcW w:w="0" w:type="auto"/>
            <w:gridSpan w:val="3"/>
            <w:shd w:val="clear" w:color="auto" w:fill="auto"/>
          </w:tcPr>
          <w:p w14:paraId="4CA34AA4" w14:textId="7FAA4DD7" w:rsidR="3341BD48" w:rsidRPr="00B85D62" w:rsidRDefault="3341BD48" w:rsidP="0066232B">
            <w:pPr>
              <w:spacing w:before="60" w:after="60"/>
              <w:rPr>
                <w:rFonts w:eastAsia="Calibri" w:cs="Arial"/>
                <w:sz w:val="18"/>
                <w:szCs w:val="18"/>
              </w:rPr>
            </w:pPr>
            <w:r w:rsidRPr="00B85D62">
              <w:rPr>
                <w:rFonts w:eastAsia="Calibri" w:cs="Arial"/>
                <w:sz w:val="18"/>
                <w:szCs w:val="18"/>
              </w:rPr>
              <w:t>LLT: Lipid Lowering Treatme</w:t>
            </w:r>
            <w:r w:rsidR="00E13A19" w:rsidRPr="00B85D62">
              <w:rPr>
                <w:rFonts w:eastAsia="Calibri" w:cs="Arial"/>
                <w:sz w:val="18"/>
                <w:szCs w:val="18"/>
              </w:rPr>
              <w:t>nt. PT-LDL-C: Pre-Treatment Low-d</w:t>
            </w:r>
            <w:r w:rsidRPr="00B85D62">
              <w:rPr>
                <w:rFonts w:eastAsia="Calibri" w:cs="Arial"/>
                <w:sz w:val="18"/>
                <w:szCs w:val="18"/>
              </w:rPr>
              <w:t>ensity Lipoprotein Cholesterol</w:t>
            </w:r>
          </w:p>
          <w:p w14:paraId="1AA6DC5F" w14:textId="3F0951B3" w:rsidR="3341BD48" w:rsidRPr="00B85D62" w:rsidRDefault="269D3CBE" w:rsidP="0066232B">
            <w:pPr>
              <w:spacing w:before="60" w:after="60"/>
              <w:rPr>
                <w:rFonts w:eastAsia="Calibri" w:cs="Arial"/>
                <w:sz w:val="18"/>
                <w:szCs w:val="18"/>
              </w:rPr>
            </w:pPr>
            <w:r w:rsidRPr="00B85D62">
              <w:rPr>
                <w:rFonts w:eastAsia="Calibri" w:cs="Arial"/>
                <w:sz w:val="18"/>
                <w:szCs w:val="18"/>
              </w:rPr>
              <w:t xml:space="preserve">(1) We restricted the LDL-C thresholds to 6 mmol/L given the </w:t>
            </w:r>
            <w:r w:rsidRPr="00B85D62">
              <w:rPr>
                <w:rFonts w:eastAsia="Calibri" w:cs="Arial"/>
                <w:sz w:val="18"/>
                <w:szCs w:val="18"/>
                <w:highlight w:val="magenta"/>
              </w:rPr>
              <w:t>data</w:t>
            </w:r>
            <w:r w:rsidRPr="00B85D62">
              <w:rPr>
                <w:rFonts w:eastAsia="Calibri" w:cs="Arial"/>
                <w:sz w:val="18"/>
                <w:szCs w:val="18"/>
              </w:rPr>
              <w:t xml:space="preserve"> from the Dutch cascade screening programme suggested that 1.5% of Non-</w:t>
            </w:r>
            <w:r w:rsidR="6F81E7FA" w:rsidRPr="00B85D62">
              <w:rPr>
                <w:rFonts w:eastAsia="Calibri" w:cs="Arial"/>
                <w:sz w:val="18"/>
                <w:szCs w:val="18"/>
              </w:rPr>
              <w:t>FH</w:t>
            </w:r>
            <w:r w:rsidRPr="00B85D62">
              <w:rPr>
                <w:rFonts w:eastAsia="Calibri" w:cs="Arial"/>
                <w:sz w:val="18"/>
                <w:szCs w:val="18"/>
              </w:rPr>
              <w:t xml:space="preserve"> relatives have LDL-C </w:t>
            </w:r>
            <w:r w:rsidR="00B85D62" w:rsidRPr="00B85D62">
              <w:rPr>
                <w:rFonts w:eastAsia="Calibri" w:cs="Arial"/>
                <w:color w:val="00B0F0"/>
                <w:sz w:val="18"/>
                <w:szCs w:val="18"/>
              </w:rPr>
              <w:t>≥</w:t>
            </w:r>
            <w:r w:rsidR="00B85D62" w:rsidRPr="00B85D62">
              <w:rPr>
                <w:rFonts w:eastAsia="Calibri" w:cs="Arial"/>
                <w:color w:val="00B0F0"/>
                <w:sz w:val="18"/>
                <w:szCs w:val="18"/>
              </w:rPr>
              <w:t> </w:t>
            </w:r>
            <w:r w:rsidRPr="00B85D62">
              <w:rPr>
                <w:rFonts w:eastAsia="Calibri" w:cs="Arial"/>
                <w:sz w:val="18"/>
                <w:szCs w:val="18"/>
              </w:rPr>
              <w:t>6 mmol/L hence there is little scope for improving specificity by testing higher LDL-C thresholds.</w:t>
            </w:r>
          </w:p>
        </w:tc>
      </w:tr>
    </w:tbl>
    <w:p w14:paraId="780388AF" w14:textId="5A6CF412" w:rsidR="3341BD48" w:rsidRPr="00B85D62" w:rsidRDefault="3341BD48" w:rsidP="0066232B">
      <w:pPr>
        <w:rPr>
          <w:rFonts w:eastAsia="Calibri" w:cs="Arial"/>
          <w:color w:val="000000" w:themeColor="text1"/>
        </w:rPr>
      </w:pPr>
    </w:p>
    <w:p w14:paraId="296D6F0F" w14:textId="2A459CDF" w:rsidR="4924D102" w:rsidRPr="00B85D62" w:rsidRDefault="4924D102" w:rsidP="006C7E71">
      <w:pPr>
        <w:pStyle w:val="Heading4"/>
        <w:numPr>
          <w:ilvl w:val="0"/>
          <w:numId w:val="0"/>
        </w:numPr>
      </w:pPr>
      <w:r w:rsidRPr="00B85D62">
        <w:t>Model structure</w:t>
      </w:r>
    </w:p>
    <w:p w14:paraId="3B4944E5" w14:textId="545CA245" w:rsidR="4924D102" w:rsidRPr="00B85D62" w:rsidRDefault="4924D102" w:rsidP="0066232B">
      <w:pPr>
        <w:rPr>
          <w:rFonts w:eastAsia="Calibri" w:cs="Arial"/>
          <w:color w:val="000000" w:themeColor="text1"/>
        </w:rPr>
      </w:pPr>
      <w:r w:rsidRPr="00B85D62">
        <w:rPr>
          <w:rFonts w:eastAsia="Calibri" w:cs="Arial"/>
          <w:color w:val="000000" w:themeColor="text1"/>
        </w:rPr>
        <w:t xml:space="preserve">We implemented the model as a series of four linked modules, which map to the cascade process </w:t>
      </w:r>
      <w:r w:rsidR="002E37B7" w:rsidRPr="00B85D62">
        <w:rPr>
          <w:rFonts w:eastAsia="Calibri" w:cs="Arial"/>
          <w:color w:val="000000" w:themeColor="text1"/>
        </w:rPr>
        <w:t xml:space="preserve">presented </w:t>
      </w:r>
      <w:r w:rsidRPr="00B85D62">
        <w:rPr>
          <w:rFonts w:eastAsia="Calibri" w:cs="Arial"/>
          <w:color w:val="000000" w:themeColor="text1"/>
        </w:rPr>
        <w:t>in</w:t>
      </w:r>
      <w:r w:rsidR="00EB0152" w:rsidRPr="00B85D62">
        <w:rPr>
          <w:rFonts w:eastAsia="Calibri" w:cs="Arial"/>
          <w:color w:val="000000" w:themeColor="text1"/>
        </w:rPr>
        <w:t xml:space="preserve"> </w:t>
      </w:r>
      <w:r w:rsidR="00B85D62" w:rsidRPr="00B85D62">
        <w:rPr>
          <w:i/>
          <w:color w:val="FF0000"/>
        </w:rPr>
        <w:t>F</w:t>
      </w:r>
      <w:r w:rsidR="00B85D62" w:rsidRPr="00B85D62">
        <w:rPr>
          <w:i/>
          <w:color w:val="FF0000"/>
        </w:rPr>
        <w:t>igure</w:t>
      </w:r>
      <w:r w:rsidR="00B85D62" w:rsidRPr="00B85D62">
        <w:rPr>
          <w:i/>
          <w:color w:val="FF0000"/>
        </w:rPr>
        <w:t xml:space="preserve"> </w:t>
      </w:r>
      <w:r w:rsidR="00B85D62" w:rsidRPr="00B85D62">
        <w:rPr>
          <w:i/>
          <w:noProof/>
          <w:color w:val="FF0000"/>
        </w:rPr>
        <w:t>17</w:t>
      </w:r>
      <w:r w:rsidRPr="00B85D62">
        <w:rPr>
          <w:rFonts w:eastAsia="Calibri" w:cs="Arial"/>
          <w:color w:val="000000" w:themeColor="text1"/>
        </w:rPr>
        <w:t xml:space="preserve">. This model structure accounts for the </w:t>
      </w:r>
      <w:r w:rsidR="00B85D62" w:rsidRPr="00B85D62">
        <w:rPr>
          <w:rFonts w:eastAsia="Calibri" w:cs="Arial"/>
          <w:color w:val="00B0F0"/>
        </w:rPr>
        <w:t>1st</w:t>
      </w:r>
      <w:r w:rsidRPr="00B85D62">
        <w:rPr>
          <w:rFonts w:eastAsia="Calibri" w:cs="Arial"/>
          <w:color w:val="000000" w:themeColor="text1"/>
        </w:rPr>
        <w:t xml:space="preserve"> and </w:t>
      </w:r>
      <w:r w:rsidR="00B85D62" w:rsidRPr="00B85D62">
        <w:rPr>
          <w:rFonts w:eastAsia="Calibri" w:cs="Arial"/>
          <w:color w:val="00B0F0"/>
        </w:rPr>
        <w:t>2nd</w:t>
      </w:r>
      <w:r w:rsidRPr="00B85D62">
        <w:rPr>
          <w:rFonts w:eastAsia="Calibri" w:cs="Arial"/>
          <w:color w:val="000000" w:themeColor="text1"/>
        </w:rPr>
        <w:t xml:space="preserve"> degree relatives who may be misdiagnosed or lost to the cascade, given the accuracy of testing strategies, the probability of relatives coming forward for testing, and the proportion of index</w:t>
      </w:r>
      <w:r w:rsidR="00502AA3" w:rsidRPr="00B85D62">
        <w:rPr>
          <w:rFonts w:eastAsia="Calibri" w:cs="Arial"/>
          <w:color w:val="000000" w:themeColor="text1"/>
        </w:rPr>
        <w:t xml:space="preserve"> cas</w:t>
      </w:r>
      <w:r w:rsidRPr="00B85D62">
        <w:rPr>
          <w:rFonts w:eastAsia="Calibri" w:cs="Arial"/>
          <w:color w:val="000000" w:themeColor="text1"/>
        </w:rPr>
        <w:t>es selected to be cascaded.</w:t>
      </w:r>
    </w:p>
    <w:p w14:paraId="7F47EB4B" w14:textId="77777777" w:rsidR="00B85D62" w:rsidRPr="00B85D62" w:rsidRDefault="4924D102" w:rsidP="00923BC2">
      <w:pPr>
        <w:pStyle w:val="ListParagraph"/>
        <w:numPr>
          <w:ilvl w:val="0"/>
          <w:numId w:val="7"/>
        </w:numPr>
        <w:rPr>
          <w:rFonts w:eastAsia="Calibri" w:cs="Arial"/>
          <w:color w:val="000000" w:themeColor="text1"/>
        </w:rPr>
      </w:pPr>
      <w:r w:rsidRPr="00B85D62">
        <w:rPr>
          <w:rFonts w:eastAsia="Calibri" w:cs="Arial"/>
          <w:color w:val="000000" w:themeColor="text1"/>
        </w:rPr>
        <w:t xml:space="preserve">For </w:t>
      </w:r>
      <w:r w:rsidRPr="00B85D62">
        <w:rPr>
          <w:rFonts w:eastAsia="Calibri" w:cs="Arial"/>
          <w:i/>
          <w:iCs/>
          <w:color w:val="000000" w:themeColor="text1"/>
        </w:rPr>
        <w:t>Stage 1: Index selection</w:t>
      </w:r>
      <w:r w:rsidRPr="00B85D62">
        <w:rPr>
          <w:rFonts w:eastAsia="Calibri" w:cs="Arial"/>
          <w:color w:val="000000" w:themeColor="text1"/>
        </w:rPr>
        <w:t>, a decision tree calculated the outcomes and costs of cascading for the index</w:t>
      </w:r>
      <w:r w:rsidR="00502AA3" w:rsidRPr="00B85D62">
        <w:rPr>
          <w:rFonts w:eastAsia="Calibri" w:cs="Arial"/>
          <w:color w:val="000000" w:themeColor="text1"/>
        </w:rPr>
        <w:t xml:space="preserve"> cas</w:t>
      </w:r>
      <w:r w:rsidRPr="00B85D62">
        <w:rPr>
          <w:rFonts w:eastAsia="Calibri" w:cs="Arial"/>
          <w:color w:val="000000" w:themeColor="text1"/>
        </w:rPr>
        <w:t>es selected to the cascade given the clinical score threshold and the genetic test results (if applicable to the strategy).</w:t>
      </w:r>
    </w:p>
    <w:p w14:paraId="692FF6AD" w14:textId="77777777" w:rsidR="00B85D62" w:rsidRPr="00B85D62" w:rsidRDefault="4924D102" w:rsidP="00923BC2">
      <w:pPr>
        <w:pStyle w:val="ListParagraph"/>
        <w:numPr>
          <w:ilvl w:val="0"/>
          <w:numId w:val="7"/>
        </w:numPr>
        <w:rPr>
          <w:rFonts w:eastAsia="Calibri" w:cs="Arial"/>
          <w:color w:val="000000" w:themeColor="text1"/>
        </w:rPr>
      </w:pPr>
      <w:r w:rsidRPr="00B85D62">
        <w:rPr>
          <w:rFonts w:eastAsia="Calibri" w:cs="Arial"/>
          <w:color w:val="000000" w:themeColor="text1"/>
        </w:rPr>
        <w:t xml:space="preserve">For </w:t>
      </w:r>
      <w:r w:rsidRPr="00B85D62">
        <w:rPr>
          <w:rFonts w:eastAsia="Calibri" w:cs="Arial"/>
          <w:i/>
          <w:iCs/>
          <w:color w:val="000000" w:themeColor="text1"/>
        </w:rPr>
        <w:t>Stage 2: Contacting relatives</w:t>
      </w:r>
      <w:r w:rsidRPr="00B85D62">
        <w:rPr>
          <w:rFonts w:eastAsia="Calibri" w:cs="Arial"/>
          <w:color w:val="000000" w:themeColor="text1"/>
        </w:rPr>
        <w:t>, a decision tree calculated the outcomes and costs of the relatives per index selected to the cascade depending on the pattern and method of contact and the implications of this for engagement with the cascade.</w:t>
      </w:r>
    </w:p>
    <w:p w14:paraId="004C4709" w14:textId="051A9E1A" w:rsidR="4924D102" w:rsidRPr="00B85D62" w:rsidRDefault="4924D102" w:rsidP="00923BC2">
      <w:pPr>
        <w:pStyle w:val="ListParagraph"/>
        <w:numPr>
          <w:ilvl w:val="0"/>
          <w:numId w:val="7"/>
        </w:numPr>
        <w:rPr>
          <w:rFonts w:eastAsiaTheme="minorEastAsia" w:cs="Arial"/>
          <w:color w:val="000000" w:themeColor="text1"/>
        </w:rPr>
      </w:pPr>
      <w:r w:rsidRPr="00B85D62">
        <w:rPr>
          <w:rFonts w:eastAsia="Calibri" w:cs="Arial"/>
          <w:color w:val="000000" w:themeColor="text1"/>
        </w:rPr>
        <w:t xml:space="preserve">For </w:t>
      </w:r>
      <w:r w:rsidRPr="00B85D62">
        <w:rPr>
          <w:rFonts w:eastAsia="Calibri" w:cs="Arial"/>
          <w:i/>
          <w:iCs/>
          <w:color w:val="000000" w:themeColor="text1"/>
        </w:rPr>
        <w:t>Stage 3: Testing relatives</w:t>
      </w:r>
      <w:r w:rsidRPr="00B85D62">
        <w:rPr>
          <w:rFonts w:eastAsia="Calibri" w:cs="Arial"/>
          <w:color w:val="000000" w:themeColor="text1"/>
        </w:rPr>
        <w:t>, a decision tree calculated the outcomes and costs per relative who was tested given the testing strategy, using as inputs the long-term health outcomes and costs depending on whether relatives were treated for FH.</w:t>
      </w:r>
    </w:p>
    <w:p w14:paraId="478A7033" w14:textId="77777777" w:rsidR="00B85D62" w:rsidRPr="00B85D62" w:rsidRDefault="4924D102" w:rsidP="00923BC2">
      <w:pPr>
        <w:pStyle w:val="ListParagraph"/>
        <w:numPr>
          <w:ilvl w:val="0"/>
          <w:numId w:val="7"/>
        </w:numPr>
        <w:rPr>
          <w:rFonts w:eastAsia="Calibri" w:cs="Arial"/>
          <w:color w:val="000000" w:themeColor="text1"/>
        </w:rPr>
      </w:pPr>
      <w:r w:rsidRPr="00B85D62">
        <w:rPr>
          <w:rFonts w:eastAsia="Calibri" w:cs="Arial"/>
          <w:color w:val="000000" w:themeColor="text1"/>
        </w:rPr>
        <w:t xml:space="preserve">The </w:t>
      </w:r>
      <w:r w:rsidRPr="00B85D62">
        <w:rPr>
          <w:rFonts w:eastAsia="Calibri" w:cs="Arial"/>
          <w:color w:val="000000" w:themeColor="text1"/>
          <w:highlight w:val="magenta"/>
        </w:rPr>
        <w:t>fourth</w:t>
      </w:r>
      <w:r w:rsidRPr="00B85D62">
        <w:rPr>
          <w:rFonts w:eastAsia="Calibri" w:cs="Arial"/>
          <w:color w:val="000000" w:themeColor="text1"/>
        </w:rPr>
        <w:t xml:space="preserve"> module linked the three decision trees together to calculate the outcomes and costs per index family cascade</w:t>
      </w:r>
      <w:r w:rsidR="00502AA3" w:rsidRPr="00B85D62">
        <w:rPr>
          <w:rFonts w:eastAsia="Calibri" w:cs="Arial"/>
          <w:color w:val="000000" w:themeColor="text1"/>
        </w:rPr>
        <w:t>d</w:t>
      </w:r>
      <w:r w:rsidRPr="00B85D62">
        <w:rPr>
          <w:rFonts w:eastAsia="Calibri" w:cs="Arial"/>
          <w:color w:val="000000" w:themeColor="text1"/>
        </w:rPr>
        <w:t>.</w:t>
      </w:r>
    </w:p>
    <w:p w14:paraId="11A6F04F" w14:textId="701743A1" w:rsidR="4924D102" w:rsidRPr="00B85D62" w:rsidRDefault="75AF49DB" w:rsidP="0066232B">
      <w:pPr>
        <w:rPr>
          <w:rFonts w:eastAsia="Calibri" w:cs="Arial"/>
          <w:color w:val="000000" w:themeColor="text1"/>
        </w:rPr>
      </w:pPr>
      <w:r w:rsidRPr="00B85D62">
        <w:rPr>
          <w:rFonts w:cs="Arial"/>
          <w:lang w:eastAsia="en-GB"/>
        </w:rPr>
        <w:t xml:space="preserve">In </w:t>
      </w:r>
      <w:r w:rsidR="00C4260A" w:rsidRPr="00B85D62">
        <w:rPr>
          <w:rFonts w:eastAsia="Arial" w:cs="Arial"/>
          <w:i/>
          <w:color w:val="000000" w:themeColor="text1"/>
        </w:rPr>
        <w:t xml:space="preserve">Online Supplementary file 5 </w:t>
      </w:r>
      <w:r w:rsidR="001B0F90" w:rsidRPr="00B85D62">
        <w:rPr>
          <w:rFonts w:cs="Arial"/>
          <w:i/>
        </w:rPr>
        <w:t>(Cost-effectiveness)</w:t>
      </w:r>
      <w:r w:rsidR="007A764A" w:rsidRPr="00B85D62">
        <w:rPr>
          <w:rFonts w:cs="Arial"/>
          <w:lang w:eastAsia="en-GB"/>
        </w:rPr>
        <w:t>,</w:t>
      </w:r>
      <w:r w:rsidR="006A155D" w:rsidRPr="00B85D62">
        <w:rPr>
          <w:rFonts w:cs="Arial"/>
          <w:lang w:eastAsia="en-GB"/>
        </w:rPr>
        <w:t xml:space="preserve"> </w:t>
      </w:r>
      <w:r w:rsidRPr="00B85D62">
        <w:rPr>
          <w:rFonts w:cs="Arial"/>
          <w:lang w:eastAsia="en-GB"/>
        </w:rPr>
        <w:t>see</w:t>
      </w:r>
      <w:r w:rsidRPr="00B85D62">
        <w:rPr>
          <w:rFonts w:eastAsia="Calibri" w:cs="Arial"/>
          <w:i/>
          <w:iCs/>
          <w:color w:val="000000" w:themeColor="text1"/>
        </w:rPr>
        <w:t xml:space="preserve"> </w:t>
      </w:r>
      <w:r w:rsidR="11295BA2" w:rsidRPr="00B85D62">
        <w:rPr>
          <w:rFonts w:eastAsia="Calibri" w:cs="Arial"/>
          <w:i/>
          <w:iCs/>
          <w:color w:val="000000" w:themeColor="text1"/>
        </w:rPr>
        <w:t>Model implementation</w:t>
      </w:r>
      <w:r w:rsidR="11295BA2" w:rsidRPr="00B85D62">
        <w:rPr>
          <w:rFonts w:eastAsia="Calibri" w:cs="Arial"/>
          <w:color w:val="000000" w:themeColor="text1"/>
        </w:rPr>
        <w:t xml:space="preserve"> for details on the model structure, and</w:t>
      </w:r>
      <w:r w:rsidR="00895586" w:rsidRPr="00B85D62">
        <w:rPr>
          <w:rFonts w:eastAsia="Calibri" w:cs="Arial"/>
          <w:color w:val="000000" w:themeColor="text1"/>
        </w:rPr>
        <w:t xml:space="preserve"> </w:t>
      </w:r>
      <w:r w:rsidR="11295BA2" w:rsidRPr="00B85D62">
        <w:rPr>
          <w:rFonts w:eastAsia="Calibri" w:cs="Arial"/>
          <w:i/>
          <w:iCs/>
          <w:color w:val="000000" w:themeColor="text1"/>
        </w:rPr>
        <w:t xml:space="preserve">Validation </w:t>
      </w:r>
      <w:r w:rsidR="11295BA2" w:rsidRPr="00B85D62">
        <w:rPr>
          <w:rFonts w:eastAsia="Calibri" w:cs="Arial"/>
          <w:color w:val="000000" w:themeColor="text1"/>
        </w:rPr>
        <w:t>for details on the validation. We built the model in Microsoft Excel for Office 365.</w:t>
      </w:r>
    </w:p>
    <w:p w14:paraId="4D3B4641" w14:textId="2CE6EBCB" w:rsidR="4924D102" w:rsidRPr="00B85D62" w:rsidRDefault="4924D102" w:rsidP="006C7E71">
      <w:pPr>
        <w:pStyle w:val="Heading4"/>
        <w:numPr>
          <w:ilvl w:val="0"/>
          <w:numId w:val="0"/>
        </w:numPr>
      </w:pPr>
      <w:r w:rsidRPr="00B85D62">
        <w:t>Model inputs</w:t>
      </w:r>
    </w:p>
    <w:p w14:paraId="6A7AB6A6" w14:textId="77777777" w:rsidR="00B85D62" w:rsidRPr="00B85D62" w:rsidRDefault="4924D102" w:rsidP="0066232B">
      <w:pPr>
        <w:rPr>
          <w:rFonts w:cs="Arial"/>
          <w:i/>
          <w:iCs/>
        </w:rPr>
      </w:pPr>
      <w:r w:rsidRPr="00B85D62">
        <w:rPr>
          <w:rFonts w:cs="Arial"/>
          <w:i/>
          <w:iCs/>
        </w:rPr>
        <w:t xml:space="preserve">Clinical cascade </w:t>
      </w:r>
      <w:r w:rsidRPr="00B85D62">
        <w:rPr>
          <w:rFonts w:cs="Arial"/>
          <w:i/>
          <w:iCs/>
          <w:highlight w:val="magenta"/>
        </w:rPr>
        <w:t>data</w:t>
      </w:r>
    </w:p>
    <w:p w14:paraId="11A06C82" w14:textId="62CAD606" w:rsidR="00B85D62" w:rsidRPr="00B85D62" w:rsidRDefault="00B85D62" w:rsidP="0066232B">
      <w:pPr>
        <w:rPr>
          <w:rFonts w:eastAsia="Calibri" w:cs="Arial"/>
          <w:color w:val="000000" w:themeColor="text1"/>
        </w:rPr>
      </w:pPr>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17</w:t>
      </w:r>
      <w:r w:rsidR="00B55E94" w:rsidRPr="00B85D62">
        <w:rPr>
          <w:rFonts w:eastAsia="Calibri" w:cs="Arial"/>
          <w:color w:val="000000" w:themeColor="text1"/>
        </w:rPr>
        <w:t xml:space="preserve"> </w:t>
      </w:r>
      <w:r w:rsidR="11295BA2" w:rsidRPr="00B85D62">
        <w:rPr>
          <w:rFonts w:eastAsia="Calibri" w:cs="Arial"/>
          <w:color w:val="000000" w:themeColor="text1"/>
        </w:rPr>
        <w:t>summarises the model inputs related to patients</w:t>
      </w:r>
      <w:r w:rsidRPr="00B85D62">
        <w:rPr>
          <w:rFonts w:eastAsia="Calibri" w:cs="Arial"/>
          <w:color w:val="000000" w:themeColor="text1"/>
        </w:rPr>
        <w:t>’</w:t>
      </w:r>
      <w:r w:rsidR="11295BA2" w:rsidRPr="00B85D62">
        <w:rPr>
          <w:rFonts w:eastAsia="Calibri" w:cs="Arial"/>
          <w:color w:val="000000" w:themeColor="text1"/>
        </w:rPr>
        <w:t xml:space="preserve"> characteristics and completion of the cascade for the base-case, with the full list of model inputs provided </w:t>
      </w:r>
      <w:r w:rsidR="4D51EC96" w:rsidRPr="00B85D62">
        <w:rPr>
          <w:rFonts w:eastAsia="Calibri" w:cs="Arial"/>
          <w:color w:val="000000" w:themeColor="text1"/>
        </w:rPr>
        <w:t>see</w:t>
      </w:r>
      <w:r w:rsidR="11295BA2" w:rsidRPr="00B85D62">
        <w:rPr>
          <w:rFonts w:eastAsia="Calibri" w:cs="Arial"/>
          <w:color w:val="000000" w:themeColor="text1"/>
        </w:rPr>
        <w:t xml:space="preserve"> </w:t>
      </w:r>
      <w:r w:rsidR="11295BA2" w:rsidRPr="00B85D62">
        <w:rPr>
          <w:rFonts w:eastAsia="Calibri" w:cs="Arial"/>
          <w:i/>
          <w:iCs/>
          <w:color w:val="000000" w:themeColor="text1"/>
        </w:rPr>
        <w:t>Model inputs</w:t>
      </w:r>
      <w:r w:rsidR="2A8329B2" w:rsidRPr="00B85D62">
        <w:rPr>
          <w:rFonts w:eastAsia="Calibri" w:cs="Arial"/>
          <w:color w:val="000000" w:themeColor="text1"/>
        </w:rPr>
        <w:t xml:space="preserve"> in </w:t>
      </w:r>
      <w:r w:rsidR="007E3EB0" w:rsidRPr="00B85D62">
        <w:rPr>
          <w:rFonts w:eastAsia="Arial" w:cs="Arial"/>
          <w:i/>
          <w:color w:val="000000" w:themeColor="text1"/>
        </w:rPr>
        <w:t xml:space="preserve">Online Supplementary file </w:t>
      </w:r>
      <w:r w:rsidR="00046373" w:rsidRPr="00B85D62">
        <w:rPr>
          <w:rFonts w:eastAsia="Arial" w:cs="Arial"/>
          <w:i/>
          <w:color w:val="000000" w:themeColor="text1"/>
        </w:rPr>
        <w:t>4</w:t>
      </w:r>
      <w:r w:rsidR="11295BA2" w:rsidRPr="00B85D62">
        <w:rPr>
          <w:rFonts w:eastAsia="Calibri" w:cs="Arial"/>
          <w:color w:val="000000" w:themeColor="text1"/>
        </w:rPr>
        <w:t xml:space="preserve">. For the base-case, we mostly used </w:t>
      </w:r>
      <w:r w:rsidR="11295BA2" w:rsidRPr="00B85D62">
        <w:rPr>
          <w:rFonts w:eastAsia="Calibri" w:cs="Arial"/>
          <w:color w:val="000000" w:themeColor="text1"/>
          <w:highlight w:val="magenta"/>
        </w:rPr>
        <w:t>data</w:t>
      </w:r>
      <w:r w:rsidR="11295BA2" w:rsidRPr="00B85D62">
        <w:rPr>
          <w:rFonts w:eastAsia="Calibri" w:cs="Arial"/>
          <w:color w:val="000000" w:themeColor="text1"/>
        </w:rPr>
        <w:t xml:space="preserve"> from PASS Wales given the larger sample size and greater detail recorded in the database. The exception was the proportion of </w:t>
      </w:r>
      <w:r w:rsidR="0756F199" w:rsidRPr="00B85D62">
        <w:rPr>
          <w:rFonts w:eastAsia="Calibri" w:cs="Arial"/>
          <w:color w:val="000000" w:themeColor="text1"/>
        </w:rPr>
        <w:t>FH</w:t>
      </w:r>
      <w:r w:rsidR="11295BA2" w:rsidRPr="00B85D62">
        <w:rPr>
          <w:rFonts w:eastAsia="Calibri" w:cs="Arial"/>
          <w:color w:val="000000" w:themeColor="text1"/>
        </w:rPr>
        <w:t xml:space="preserve"> relatives on LLT, which we based on PASS Wessex, because we thought it was more generalisable to England than the PASS Welsh </w:t>
      </w:r>
      <w:r w:rsidR="11295BA2" w:rsidRPr="00B85D62">
        <w:rPr>
          <w:rFonts w:eastAsia="Calibri" w:cs="Arial"/>
          <w:color w:val="000000" w:themeColor="text1"/>
          <w:highlight w:val="magenta"/>
        </w:rPr>
        <w:t>data</w:t>
      </w:r>
      <w:r w:rsidR="00502AA3" w:rsidRPr="00B85D62">
        <w:rPr>
          <w:rFonts w:eastAsia="Calibri" w:cs="Arial"/>
          <w:color w:val="000000" w:themeColor="text1"/>
        </w:rPr>
        <w:t>.</w:t>
      </w:r>
    </w:p>
    <w:p w14:paraId="5F025B18" w14:textId="77777777" w:rsidR="00B85D62" w:rsidRPr="00B85D62" w:rsidRDefault="11295BA2" w:rsidP="0066232B">
      <w:pPr>
        <w:rPr>
          <w:rFonts w:eastAsia="Calibri" w:cs="Arial"/>
          <w:color w:val="000000" w:themeColor="text1"/>
        </w:rPr>
      </w:pPr>
      <w:r w:rsidRPr="00B85D62">
        <w:rPr>
          <w:rFonts w:eastAsia="Calibri" w:cs="Arial"/>
          <w:color w:val="000000" w:themeColor="text1"/>
        </w:rPr>
        <w:t xml:space="preserve">Since the Wales and Wessex services do not collect LDL-C </w:t>
      </w:r>
      <w:r w:rsidRPr="00B85D62">
        <w:rPr>
          <w:rFonts w:eastAsia="Calibri" w:cs="Arial"/>
          <w:color w:val="000000" w:themeColor="text1"/>
          <w:highlight w:val="magenta"/>
        </w:rPr>
        <w:t>data</w:t>
      </w:r>
      <w:r w:rsidRPr="00B85D62">
        <w:rPr>
          <w:rFonts w:eastAsia="Calibri" w:cs="Arial"/>
          <w:color w:val="000000" w:themeColor="text1"/>
        </w:rPr>
        <w:t xml:space="preserve"> from relatives systematically, we based the distribution of relatives across PT-LDL-C bands on </w:t>
      </w:r>
      <w:r w:rsidRPr="00B85D62">
        <w:rPr>
          <w:rFonts w:eastAsia="Calibri" w:cs="Arial"/>
          <w:color w:val="000000" w:themeColor="text1"/>
          <w:highlight w:val="magenta"/>
        </w:rPr>
        <w:t>data</w:t>
      </w:r>
      <w:r w:rsidRPr="00B85D62">
        <w:rPr>
          <w:rFonts w:eastAsia="Calibri" w:cs="Arial"/>
          <w:color w:val="000000" w:themeColor="text1"/>
        </w:rPr>
        <w:t xml:space="preserve"> from the Dutch </w:t>
      </w:r>
      <w:r w:rsidR="002E37B7" w:rsidRPr="00B85D62">
        <w:rPr>
          <w:rFonts w:eastAsia="Calibri" w:cs="Arial"/>
          <w:color w:val="000000" w:themeColor="text1"/>
        </w:rPr>
        <w:t>FH</w:t>
      </w:r>
      <w:r w:rsidRPr="00B85D62">
        <w:rPr>
          <w:rFonts w:eastAsia="Calibri" w:cs="Arial"/>
          <w:color w:val="000000" w:themeColor="text1"/>
        </w:rPr>
        <w:t xml:space="preserve"> screening programme. </w:t>
      </w:r>
      <w:r w:rsidR="7E3C48AB" w:rsidRPr="00B85D62">
        <w:rPr>
          <w:rFonts w:eastAsia="Calibri" w:cs="Arial"/>
          <w:color w:val="000000" w:themeColor="text1"/>
        </w:rPr>
        <w:t>In</w:t>
      </w:r>
      <w:r w:rsidR="00895586" w:rsidRPr="00B85D62">
        <w:rPr>
          <w:rFonts w:eastAsia="Calibri" w:cs="Arial"/>
          <w:color w:val="000000" w:themeColor="text1"/>
        </w:rPr>
        <w:t xml:space="preserve"> </w:t>
      </w:r>
      <w:r w:rsidR="00D85830" w:rsidRPr="00B85D62">
        <w:rPr>
          <w:rFonts w:eastAsia="Arial" w:cs="Arial"/>
          <w:i/>
          <w:color w:val="000000" w:themeColor="text1"/>
        </w:rPr>
        <w:t>Online Supplementary file 5</w:t>
      </w:r>
      <w:r w:rsidR="00D85830" w:rsidRPr="00B85D62">
        <w:rPr>
          <w:rFonts w:eastAsia="Arial" w:cs="Arial"/>
          <w:color w:val="000000" w:themeColor="text1"/>
        </w:rPr>
        <w:t xml:space="preserve"> </w:t>
      </w:r>
      <w:r w:rsidR="002561E6" w:rsidRPr="00B85D62">
        <w:rPr>
          <w:rFonts w:cs="Arial"/>
          <w:i/>
        </w:rPr>
        <w:t>(Cost-effectiveness)</w:t>
      </w:r>
      <w:r w:rsidR="7E3C48AB" w:rsidRPr="00B85D62">
        <w:rPr>
          <w:rFonts w:eastAsia="Calibri" w:cs="Arial"/>
          <w:color w:val="000000" w:themeColor="text1"/>
        </w:rPr>
        <w:t>,</w:t>
      </w:r>
      <w:r w:rsidR="00895586" w:rsidRPr="00B85D62">
        <w:rPr>
          <w:rFonts w:eastAsia="Calibri" w:cs="Arial"/>
          <w:color w:val="000000" w:themeColor="text1"/>
        </w:rPr>
        <w:t xml:space="preserve"> </w:t>
      </w:r>
      <w:r w:rsidRPr="00B85D62">
        <w:rPr>
          <w:rFonts w:eastAsia="Calibri" w:cs="Arial"/>
          <w:i/>
          <w:iCs/>
          <w:color w:val="000000" w:themeColor="text1"/>
        </w:rPr>
        <w:t xml:space="preserve">Cholesterol levels in relatives </w:t>
      </w:r>
      <w:r w:rsidRPr="00B85D62">
        <w:rPr>
          <w:rFonts w:eastAsia="Calibri" w:cs="Arial"/>
          <w:color w:val="000000" w:themeColor="text1"/>
        </w:rPr>
        <w:t xml:space="preserve">for more details and a comparison between the Dutch and the Welsh and Wessex FH service </w:t>
      </w:r>
      <w:r w:rsidRPr="00B85D62">
        <w:rPr>
          <w:rFonts w:eastAsia="Calibri" w:cs="Arial"/>
          <w:color w:val="000000" w:themeColor="text1"/>
          <w:highlight w:val="magenta"/>
        </w:rPr>
        <w:t>data</w:t>
      </w:r>
      <w:r w:rsidRPr="00B85D62">
        <w:rPr>
          <w:rFonts w:eastAsia="Calibri" w:cs="Arial"/>
          <w:color w:val="000000" w:themeColor="text1"/>
        </w:rPr>
        <w:t xml:space="preserve"> on LDL-C.</w:t>
      </w:r>
    </w:p>
    <w:p w14:paraId="262E2326" w14:textId="6D5F4EA1" w:rsidR="00B55E94" w:rsidRPr="00B85D62" w:rsidRDefault="00B85D62" w:rsidP="00B55E94">
      <w:pPr>
        <w:pStyle w:val="Caption"/>
        <w:keepNext/>
        <w:rPr>
          <w:rFonts w:cs="Arial"/>
        </w:rPr>
      </w:pPr>
      <w:bookmarkStart w:id="237" w:name="_Toc79740212"/>
      <w:bookmarkStart w:id="238" w:name="_Toc107157371"/>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17</w:t>
      </w:r>
      <w:r w:rsidR="00B55E94" w:rsidRPr="00B85D62">
        <w:rPr>
          <w:rFonts w:cs="Arial"/>
        </w:rPr>
        <w:t xml:space="preserve"> Model inputs related to patients</w:t>
      </w:r>
      <w:r w:rsidRPr="00B85D62">
        <w:rPr>
          <w:rFonts w:cs="Arial"/>
        </w:rPr>
        <w:t>’</w:t>
      </w:r>
      <w:r w:rsidR="00B55E94" w:rsidRPr="00B85D62">
        <w:rPr>
          <w:rFonts w:cs="Arial"/>
        </w:rPr>
        <w:t xml:space="preserve"> characteristics and completion of the cascade for the base-case</w:t>
      </w:r>
      <w:bookmarkEnd w:id="237"/>
      <w:bookmarkEnd w:id="238"/>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708"/>
        <w:gridCol w:w="2662"/>
        <w:gridCol w:w="620"/>
        <w:gridCol w:w="2899"/>
      </w:tblGrid>
      <w:tr w:rsidR="3341BD48" w:rsidRPr="00B85D62" w14:paraId="754100AB" w14:textId="77777777" w:rsidTr="00B85D62">
        <w:trPr>
          <w:cantSplit/>
        </w:trPr>
        <w:tc>
          <w:tcPr>
            <w:tcW w:w="0" w:type="auto"/>
          </w:tcPr>
          <w:p w14:paraId="24BFD3CF" w14:textId="3E3B0A65" w:rsidR="3341BD48" w:rsidRPr="00B85D62" w:rsidRDefault="3341BD48" w:rsidP="0066232B">
            <w:pPr>
              <w:rPr>
                <w:rFonts w:eastAsia="Calibri" w:cs="Arial"/>
              </w:rPr>
            </w:pPr>
            <w:r w:rsidRPr="00B85D62">
              <w:rPr>
                <w:rFonts w:eastAsia="Calibri" w:cs="Arial"/>
                <w:b/>
                <w:bCs/>
              </w:rPr>
              <w:t>Type</w:t>
            </w:r>
          </w:p>
        </w:tc>
        <w:tc>
          <w:tcPr>
            <w:tcW w:w="0" w:type="auto"/>
          </w:tcPr>
          <w:p w14:paraId="39265BE9" w14:textId="69468274" w:rsidR="3341BD48" w:rsidRPr="00B85D62" w:rsidRDefault="3341BD48" w:rsidP="0066232B">
            <w:pPr>
              <w:rPr>
                <w:rFonts w:eastAsia="Calibri" w:cs="Arial"/>
              </w:rPr>
            </w:pPr>
            <w:r w:rsidRPr="00B85D62">
              <w:rPr>
                <w:rFonts w:eastAsia="Calibri" w:cs="Arial"/>
                <w:b/>
                <w:bCs/>
              </w:rPr>
              <w:t>Parameter</w:t>
            </w:r>
          </w:p>
        </w:tc>
        <w:tc>
          <w:tcPr>
            <w:tcW w:w="0" w:type="auto"/>
          </w:tcPr>
          <w:p w14:paraId="079C47B4" w14:textId="67FF0EC1" w:rsidR="3341BD48" w:rsidRPr="00B85D62" w:rsidRDefault="3341BD48" w:rsidP="0066232B">
            <w:pPr>
              <w:rPr>
                <w:rFonts w:eastAsia="Calibri" w:cs="Arial"/>
              </w:rPr>
            </w:pPr>
            <w:r w:rsidRPr="00B85D62">
              <w:rPr>
                <w:rFonts w:eastAsia="Calibri" w:cs="Arial"/>
                <w:b/>
                <w:bCs/>
              </w:rPr>
              <w:t>Value</w:t>
            </w:r>
          </w:p>
        </w:tc>
        <w:tc>
          <w:tcPr>
            <w:tcW w:w="0" w:type="auto"/>
          </w:tcPr>
          <w:p w14:paraId="26D616A0" w14:textId="4F655A8D" w:rsidR="3341BD48" w:rsidRPr="00B85D62" w:rsidRDefault="3341BD48" w:rsidP="0066232B">
            <w:pPr>
              <w:rPr>
                <w:rFonts w:eastAsia="Calibri" w:cs="Arial"/>
              </w:rPr>
            </w:pPr>
            <w:r w:rsidRPr="00B85D62">
              <w:rPr>
                <w:rFonts w:eastAsia="Calibri" w:cs="Arial"/>
                <w:b/>
                <w:bCs/>
              </w:rPr>
              <w:t>Source</w:t>
            </w:r>
          </w:p>
        </w:tc>
      </w:tr>
      <w:tr w:rsidR="3341BD48" w:rsidRPr="00B85D62" w14:paraId="1023342B" w14:textId="77777777" w:rsidTr="00B85D62">
        <w:trPr>
          <w:cantSplit/>
        </w:trPr>
        <w:tc>
          <w:tcPr>
            <w:tcW w:w="0" w:type="auto"/>
            <w:gridSpan w:val="4"/>
            <w:shd w:val="clear" w:color="auto" w:fill="E7E6E6" w:themeFill="background2"/>
          </w:tcPr>
          <w:p w14:paraId="6225A4B1" w14:textId="77AE82CF" w:rsidR="3341BD48" w:rsidRPr="00B85D62" w:rsidRDefault="3341BD48" w:rsidP="0066232B">
            <w:pPr>
              <w:rPr>
                <w:rFonts w:eastAsia="Calibri" w:cs="Arial"/>
              </w:rPr>
            </w:pPr>
            <w:r w:rsidRPr="00B85D62">
              <w:rPr>
                <w:rFonts w:eastAsia="Calibri" w:cs="Arial"/>
              </w:rPr>
              <w:t>Indexes</w:t>
            </w:r>
            <w:r w:rsidR="00B85D62" w:rsidRPr="00B85D62">
              <w:rPr>
                <w:rFonts w:eastAsia="Calibri" w:cs="Arial"/>
              </w:rPr>
              <w:t>’</w:t>
            </w:r>
            <w:r w:rsidRPr="00B85D62">
              <w:rPr>
                <w:rFonts w:eastAsia="Calibri" w:cs="Arial"/>
              </w:rPr>
              <w:t xml:space="preserve"> characteristics</w:t>
            </w:r>
          </w:p>
        </w:tc>
      </w:tr>
      <w:tr w:rsidR="3341BD48" w:rsidRPr="00B85D62" w14:paraId="2D7F4890" w14:textId="77777777" w:rsidTr="00B85D62">
        <w:trPr>
          <w:cantSplit/>
        </w:trPr>
        <w:tc>
          <w:tcPr>
            <w:tcW w:w="0" w:type="auto"/>
            <w:vMerge w:val="restart"/>
          </w:tcPr>
          <w:p w14:paraId="7ED4BACB" w14:textId="6154E477" w:rsidR="3341BD48" w:rsidRPr="00B85D62" w:rsidRDefault="269D3CBE" w:rsidP="0066232B">
            <w:pPr>
              <w:rPr>
                <w:rFonts w:eastAsia="Calibri" w:cs="Arial"/>
              </w:rPr>
            </w:pPr>
            <w:r w:rsidRPr="00B85D62">
              <w:rPr>
                <w:rFonts w:eastAsia="Calibri" w:cs="Arial"/>
              </w:rPr>
              <w:t>Proportion of indexes who have FH for each WDLCN score</w:t>
            </w:r>
          </w:p>
        </w:tc>
        <w:tc>
          <w:tcPr>
            <w:tcW w:w="0" w:type="auto"/>
          </w:tcPr>
          <w:p w14:paraId="2D78C094" w14:textId="6CEC04FD" w:rsidR="3341BD48" w:rsidRPr="00B85D62" w:rsidRDefault="3341BD48" w:rsidP="0066232B">
            <w:pPr>
              <w:rPr>
                <w:rFonts w:eastAsia="Calibri" w:cs="Arial"/>
              </w:rPr>
            </w:pPr>
            <w:r w:rsidRPr="00B85D62">
              <w:rPr>
                <w:rFonts w:eastAsia="Calibri" w:cs="Arial"/>
              </w:rPr>
              <w:t>WDLCN</w:t>
            </w:r>
            <w:r w:rsidR="00B85D62" w:rsidRPr="00B85D62">
              <w:rPr>
                <w:rFonts w:eastAsia="Calibri" w:cs="Arial"/>
                <w:color w:val="00B0F0"/>
              </w:rPr>
              <w:t>=</w:t>
            </w:r>
            <w:r w:rsidRPr="00B85D62">
              <w:rPr>
                <w:rFonts w:eastAsia="Calibri" w:cs="Arial"/>
              </w:rPr>
              <w:t>6</w:t>
            </w:r>
          </w:p>
        </w:tc>
        <w:tc>
          <w:tcPr>
            <w:tcW w:w="0" w:type="auto"/>
            <w:vAlign w:val="bottom"/>
          </w:tcPr>
          <w:p w14:paraId="381E56A9" w14:textId="2A40933B" w:rsidR="3341BD48" w:rsidRPr="00B85D62" w:rsidRDefault="3341BD48" w:rsidP="0066232B">
            <w:pPr>
              <w:jc w:val="right"/>
              <w:rPr>
                <w:rFonts w:eastAsia="Calibri" w:cs="Arial"/>
              </w:rPr>
            </w:pPr>
            <w:r w:rsidRPr="00B85D62">
              <w:rPr>
                <w:rFonts w:eastAsia="Calibri" w:cs="Arial"/>
              </w:rPr>
              <w:t>15%</w:t>
            </w:r>
          </w:p>
        </w:tc>
        <w:tc>
          <w:tcPr>
            <w:tcW w:w="0" w:type="auto"/>
            <w:vMerge w:val="restart"/>
          </w:tcPr>
          <w:p w14:paraId="4F54047A" w14:textId="77777777" w:rsidR="00B85D62" w:rsidRPr="00B85D62" w:rsidRDefault="3341BD48" w:rsidP="0066232B">
            <w:pPr>
              <w:rPr>
                <w:rFonts w:eastAsia="Calibri" w:cs="Arial"/>
              </w:rPr>
            </w:pPr>
            <w:r w:rsidRPr="00B85D62">
              <w:rPr>
                <w:rFonts w:eastAsia="Calibri" w:cs="Arial"/>
              </w:rPr>
              <w:t xml:space="preserve">Analysis of PASS Wales </w:t>
            </w:r>
            <w:r w:rsidRPr="00B85D62">
              <w:rPr>
                <w:rFonts w:eastAsia="Calibri" w:cs="Arial"/>
                <w:highlight w:val="magenta"/>
              </w:rPr>
              <w:t>data</w:t>
            </w:r>
          </w:p>
          <w:p w14:paraId="0165490C" w14:textId="61C12289" w:rsidR="3341BD48" w:rsidRPr="00B85D62" w:rsidRDefault="269D3CBE" w:rsidP="0066232B">
            <w:pPr>
              <w:rPr>
                <w:rFonts w:eastAsia="Calibri" w:cs="Arial"/>
              </w:rPr>
            </w:pPr>
            <w:r w:rsidRPr="00B85D62">
              <w:rPr>
                <w:rFonts w:eastAsia="Calibri" w:cs="Arial"/>
              </w:rPr>
              <w:t xml:space="preserve">See </w:t>
            </w:r>
            <w:r w:rsidR="7240D15D" w:rsidRPr="00B85D62">
              <w:rPr>
                <w:rFonts w:eastAsia="Calibri" w:cs="Arial"/>
              </w:rPr>
              <w:t xml:space="preserve">Section </w:t>
            </w:r>
            <w:r w:rsidR="00502AA3" w:rsidRPr="00B85D62">
              <w:rPr>
                <w:rFonts w:eastAsia="Calibri" w:cs="Arial"/>
              </w:rPr>
              <w:t>8</w:t>
            </w:r>
            <w:r w:rsidR="7240D15D" w:rsidRPr="00B85D62">
              <w:rPr>
                <w:rFonts w:eastAsia="Calibri" w:cs="Arial"/>
              </w:rPr>
              <w:t>.3</w:t>
            </w:r>
            <w:r w:rsidRPr="00B85D62">
              <w:rPr>
                <w:rFonts w:eastAsia="Calibri" w:cs="Arial"/>
              </w:rPr>
              <w:t xml:space="preserve"> </w:t>
            </w:r>
            <w:r w:rsidR="00B85D62" w:rsidRPr="00B85D62">
              <w:rPr>
                <w:rFonts w:eastAsia="Calibri" w:cs="Arial"/>
                <w:i/>
                <w:color w:val="FF0000"/>
              </w:rPr>
              <w:t>F</w:t>
            </w:r>
            <w:r w:rsidR="00B85D62" w:rsidRPr="00B85D62">
              <w:rPr>
                <w:rFonts w:eastAsia="Calibri" w:cs="Arial"/>
                <w:i/>
                <w:color w:val="FF0000"/>
              </w:rPr>
              <w:t>igure</w:t>
            </w:r>
            <w:r w:rsidR="00B85D62" w:rsidRPr="00B85D62">
              <w:rPr>
                <w:rFonts w:eastAsia="Calibri" w:cs="Arial"/>
                <w:i/>
                <w:color w:val="FF0000"/>
              </w:rPr>
              <w:t xml:space="preserve"> </w:t>
            </w:r>
            <w:r w:rsidR="00B85D62" w:rsidRPr="00B85D62">
              <w:rPr>
                <w:rFonts w:eastAsia="Calibri" w:cs="Arial"/>
                <w:i/>
                <w:color w:val="FF0000"/>
              </w:rPr>
              <w:t>10</w:t>
            </w:r>
            <w:r w:rsidRPr="00B85D62">
              <w:rPr>
                <w:rFonts w:eastAsia="Calibri" w:cs="Arial"/>
              </w:rPr>
              <w:t xml:space="preserve"> and</w:t>
            </w:r>
            <w:r w:rsidR="00895586" w:rsidRPr="00B85D62">
              <w:rPr>
                <w:rFonts w:eastAsia="Calibri" w:cs="Arial"/>
              </w:rPr>
              <w:t xml:space="preserve"> </w:t>
            </w:r>
            <w:r w:rsidR="00484270" w:rsidRPr="00B85D62">
              <w:rPr>
                <w:rFonts w:eastAsia="Arial" w:cs="Arial"/>
                <w:i/>
                <w:color w:val="000000" w:themeColor="text1"/>
              </w:rPr>
              <w:t xml:space="preserve">Online Supplementary </w:t>
            </w:r>
            <w:r w:rsidR="00046373" w:rsidRPr="00B85D62">
              <w:rPr>
                <w:rFonts w:eastAsia="Arial" w:cs="Arial"/>
                <w:i/>
                <w:color w:val="000000" w:themeColor="text1"/>
              </w:rPr>
              <w:t>5</w:t>
            </w:r>
            <w:r w:rsidRPr="00B85D62">
              <w:rPr>
                <w:rFonts w:eastAsia="Calibri" w:cs="Arial"/>
              </w:rPr>
              <w:t>Table 1 for more details.</w:t>
            </w:r>
          </w:p>
          <w:p w14:paraId="2FA9949C" w14:textId="6EE0CAA8" w:rsidR="3341BD48" w:rsidRPr="00B85D62" w:rsidRDefault="3341BD48" w:rsidP="0066232B">
            <w:pPr>
              <w:rPr>
                <w:rFonts w:eastAsia="Calibri" w:cs="Arial"/>
                <w:highlight w:val="green"/>
              </w:rPr>
            </w:pPr>
          </w:p>
          <w:p w14:paraId="2CC7F570" w14:textId="580C5677" w:rsidR="3341BD48" w:rsidRPr="00B85D62" w:rsidRDefault="3341BD48" w:rsidP="0066232B">
            <w:pPr>
              <w:rPr>
                <w:rFonts w:eastAsia="Calibri" w:cs="Arial"/>
              </w:rPr>
            </w:pPr>
            <w:r w:rsidRPr="00B85D62">
              <w:rPr>
                <w:rFonts w:eastAsia="Calibri" w:cs="Arial"/>
              </w:rPr>
              <w:t xml:space="preserve"> </w:t>
            </w:r>
          </w:p>
        </w:tc>
      </w:tr>
      <w:tr w:rsidR="3341BD48" w:rsidRPr="00B85D62" w14:paraId="1A006E4F" w14:textId="77777777" w:rsidTr="00B85D62">
        <w:trPr>
          <w:cantSplit/>
        </w:trPr>
        <w:tc>
          <w:tcPr>
            <w:tcW w:w="0" w:type="auto"/>
            <w:vMerge/>
            <w:vAlign w:val="center"/>
          </w:tcPr>
          <w:p w14:paraId="38562057" w14:textId="77777777" w:rsidR="003F1F7A" w:rsidRPr="00B85D62" w:rsidRDefault="003F1F7A" w:rsidP="0066232B">
            <w:pPr>
              <w:rPr>
                <w:rFonts w:cs="Arial"/>
              </w:rPr>
            </w:pPr>
          </w:p>
        </w:tc>
        <w:tc>
          <w:tcPr>
            <w:tcW w:w="0" w:type="auto"/>
          </w:tcPr>
          <w:p w14:paraId="03ED358F" w14:textId="7B3F5ADE" w:rsidR="3341BD48" w:rsidRPr="00B85D62" w:rsidRDefault="3341BD48" w:rsidP="0066232B">
            <w:pPr>
              <w:rPr>
                <w:rFonts w:eastAsia="Calibri" w:cs="Arial"/>
              </w:rPr>
            </w:pPr>
            <w:r w:rsidRPr="00B85D62">
              <w:rPr>
                <w:rFonts w:eastAsia="Calibri" w:cs="Arial"/>
              </w:rPr>
              <w:t>WDLCN</w:t>
            </w:r>
            <w:r w:rsidR="00B85D62" w:rsidRPr="00B85D62">
              <w:rPr>
                <w:rFonts w:eastAsia="Calibri" w:cs="Arial"/>
                <w:color w:val="00B0F0"/>
              </w:rPr>
              <w:t>=</w:t>
            </w:r>
            <w:r w:rsidRPr="00B85D62">
              <w:rPr>
                <w:rFonts w:eastAsia="Calibri" w:cs="Arial"/>
              </w:rPr>
              <w:t>7</w:t>
            </w:r>
          </w:p>
        </w:tc>
        <w:tc>
          <w:tcPr>
            <w:tcW w:w="0" w:type="auto"/>
            <w:vAlign w:val="bottom"/>
          </w:tcPr>
          <w:p w14:paraId="2AE8C252" w14:textId="3BE420AF" w:rsidR="3341BD48" w:rsidRPr="00B85D62" w:rsidRDefault="3341BD48" w:rsidP="0066232B">
            <w:pPr>
              <w:jc w:val="right"/>
              <w:rPr>
                <w:rFonts w:eastAsia="Calibri" w:cs="Arial"/>
              </w:rPr>
            </w:pPr>
            <w:r w:rsidRPr="00B85D62">
              <w:rPr>
                <w:rFonts w:eastAsia="Calibri" w:cs="Arial"/>
              </w:rPr>
              <w:t>16%</w:t>
            </w:r>
          </w:p>
        </w:tc>
        <w:tc>
          <w:tcPr>
            <w:tcW w:w="0" w:type="auto"/>
            <w:vMerge/>
            <w:vAlign w:val="center"/>
          </w:tcPr>
          <w:p w14:paraId="68D222DE" w14:textId="77777777" w:rsidR="003F1F7A" w:rsidRPr="00B85D62" w:rsidRDefault="003F1F7A" w:rsidP="0066232B">
            <w:pPr>
              <w:rPr>
                <w:rFonts w:cs="Arial"/>
              </w:rPr>
            </w:pPr>
          </w:p>
        </w:tc>
      </w:tr>
      <w:tr w:rsidR="3341BD48" w:rsidRPr="00B85D62" w14:paraId="6968ABBC" w14:textId="77777777" w:rsidTr="00B85D62">
        <w:trPr>
          <w:cantSplit/>
        </w:trPr>
        <w:tc>
          <w:tcPr>
            <w:tcW w:w="0" w:type="auto"/>
            <w:vMerge/>
            <w:vAlign w:val="center"/>
          </w:tcPr>
          <w:p w14:paraId="2BC52A77" w14:textId="77777777" w:rsidR="003F1F7A" w:rsidRPr="00B85D62" w:rsidRDefault="003F1F7A" w:rsidP="0066232B">
            <w:pPr>
              <w:rPr>
                <w:rFonts w:cs="Arial"/>
              </w:rPr>
            </w:pPr>
          </w:p>
        </w:tc>
        <w:tc>
          <w:tcPr>
            <w:tcW w:w="0" w:type="auto"/>
          </w:tcPr>
          <w:p w14:paraId="536C994F" w14:textId="433C7D66" w:rsidR="3341BD48" w:rsidRPr="00B85D62" w:rsidRDefault="3341BD48" w:rsidP="0066232B">
            <w:pPr>
              <w:rPr>
                <w:rFonts w:eastAsia="Calibri" w:cs="Arial"/>
              </w:rPr>
            </w:pPr>
            <w:r w:rsidRPr="00B85D62">
              <w:rPr>
                <w:rFonts w:eastAsia="Calibri" w:cs="Arial"/>
              </w:rPr>
              <w:t>WDLCN</w:t>
            </w:r>
            <w:r w:rsidR="00B85D62" w:rsidRPr="00B85D62">
              <w:rPr>
                <w:rFonts w:eastAsia="Calibri" w:cs="Arial"/>
                <w:color w:val="00B0F0"/>
              </w:rPr>
              <w:t>=</w:t>
            </w:r>
            <w:r w:rsidRPr="00B85D62">
              <w:rPr>
                <w:rFonts w:eastAsia="Calibri" w:cs="Arial"/>
              </w:rPr>
              <w:t>8</w:t>
            </w:r>
          </w:p>
        </w:tc>
        <w:tc>
          <w:tcPr>
            <w:tcW w:w="0" w:type="auto"/>
            <w:vAlign w:val="bottom"/>
          </w:tcPr>
          <w:p w14:paraId="33DAA2FC" w14:textId="330AC9D1" w:rsidR="3341BD48" w:rsidRPr="00B85D62" w:rsidRDefault="3341BD48" w:rsidP="0066232B">
            <w:pPr>
              <w:jc w:val="right"/>
              <w:rPr>
                <w:rFonts w:eastAsia="Calibri" w:cs="Arial"/>
              </w:rPr>
            </w:pPr>
            <w:r w:rsidRPr="00B85D62">
              <w:rPr>
                <w:rFonts w:eastAsia="Calibri" w:cs="Arial"/>
              </w:rPr>
              <w:t>14%</w:t>
            </w:r>
          </w:p>
        </w:tc>
        <w:tc>
          <w:tcPr>
            <w:tcW w:w="0" w:type="auto"/>
            <w:vMerge/>
            <w:vAlign w:val="center"/>
          </w:tcPr>
          <w:p w14:paraId="5357E27F" w14:textId="77777777" w:rsidR="003F1F7A" w:rsidRPr="00B85D62" w:rsidRDefault="003F1F7A" w:rsidP="0066232B">
            <w:pPr>
              <w:rPr>
                <w:rFonts w:cs="Arial"/>
              </w:rPr>
            </w:pPr>
          </w:p>
        </w:tc>
      </w:tr>
      <w:tr w:rsidR="3341BD48" w:rsidRPr="00B85D62" w14:paraId="35E8248D" w14:textId="77777777" w:rsidTr="00B85D62">
        <w:trPr>
          <w:cantSplit/>
        </w:trPr>
        <w:tc>
          <w:tcPr>
            <w:tcW w:w="0" w:type="auto"/>
            <w:vMerge/>
            <w:vAlign w:val="center"/>
          </w:tcPr>
          <w:p w14:paraId="2F8940C6" w14:textId="77777777" w:rsidR="003F1F7A" w:rsidRPr="00B85D62" w:rsidRDefault="003F1F7A" w:rsidP="0066232B">
            <w:pPr>
              <w:rPr>
                <w:rFonts w:cs="Arial"/>
              </w:rPr>
            </w:pPr>
          </w:p>
        </w:tc>
        <w:tc>
          <w:tcPr>
            <w:tcW w:w="0" w:type="auto"/>
          </w:tcPr>
          <w:p w14:paraId="30126478" w14:textId="602059AB" w:rsidR="3341BD48" w:rsidRPr="00B85D62" w:rsidRDefault="3341BD48" w:rsidP="0066232B">
            <w:pPr>
              <w:rPr>
                <w:rFonts w:eastAsia="Calibri" w:cs="Arial"/>
              </w:rPr>
            </w:pPr>
            <w:r w:rsidRPr="00B85D62">
              <w:rPr>
                <w:rFonts w:eastAsia="Calibri" w:cs="Arial"/>
              </w:rPr>
              <w:t>WDLCN</w:t>
            </w:r>
            <w:r w:rsidR="00B85D62" w:rsidRPr="00B85D62">
              <w:rPr>
                <w:rFonts w:eastAsia="Calibri" w:cs="Arial"/>
                <w:color w:val="00B0F0"/>
              </w:rPr>
              <w:t>=</w:t>
            </w:r>
            <w:r w:rsidRPr="00B85D62">
              <w:rPr>
                <w:rFonts w:eastAsia="Calibri" w:cs="Arial"/>
              </w:rPr>
              <w:t>9</w:t>
            </w:r>
          </w:p>
        </w:tc>
        <w:tc>
          <w:tcPr>
            <w:tcW w:w="0" w:type="auto"/>
            <w:vAlign w:val="bottom"/>
          </w:tcPr>
          <w:p w14:paraId="3C515F2D" w14:textId="0A7BBEFF" w:rsidR="3341BD48" w:rsidRPr="00B85D62" w:rsidRDefault="3341BD48" w:rsidP="0066232B">
            <w:pPr>
              <w:jc w:val="right"/>
              <w:rPr>
                <w:rFonts w:eastAsia="Calibri" w:cs="Arial"/>
              </w:rPr>
            </w:pPr>
            <w:r w:rsidRPr="00B85D62">
              <w:rPr>
                <w:rFonts w:eastAsia="Calibri" w:cs="Arial"/>
              </w:rPr>
              <w:t>26%</w:t>
            </w:r>
          </w:p>
        </w:tc>
        <w:tc>
          <w:tcPr>
            <w:tcW w:w="0" w:type="auto"/>
            <w:vMerge/>
            <w:vAlign w:val="center"/>
          </w:tcPr>
          <w:p w14:paraId="40F4F116" w14:textId="77777777" w:rsidR="003F1F7A" w:rsidRPr="00B85D62" w:rsidRDefault="003F1F7A" w:rsidP="0066232B">
            <w:pPr>
              <w:rPr>
                <w:rFonts w:cs="Arial"/>
              </w:rPr>
            </w:pPr>
          </w:p>
        </w:tc>
      </w:tr>
      <w:tr w:rsidR="3341BD48" w:rsidRPr="00B85D62" w14:paraId="2FD714E7" w14:textId="77777777" w:rsidTr="00B85D62">
        <w:trPr>
          <w:cantSplit/>
        </w:trPr>
        <w:tc>
          <w:tcPr>
            <w:tcW w:w="0" w:type="auto"/>
            <w:vMerge/>
            <w:vAlign w:val="center"/>
          </w:tcPr>
          <w:p w14:paraId="60879D4B" w14:textId="77777777" w:rsidR="003F1F7A" w:rsidRPr="00B85D62" w:rsidRDefault="003F1F7A" w:rsidP="0066232B">
            <w:pPr>
              <w:rPr>
                <w:rFonts w:cs="Arial"/>
              </w:rPr>
            </w:pPr>
          </w:p>
        </w:tc>
        <w:tc>
          <w:tcPr>
            <w:tcW w:w="0" w:type="auto"/>
          </w:tcPr>
          <w:p w14:paraId="3451ABD7" w14:textId="657FAA63" w:rsidR="3341BD48" w:rsidRPr="00B85D62" w:rsidRDefault="3341BD48" w:rsidP="0066232B">
            <w:pPr>
              <w:rPr>
                <w:rFonts w:eastAsia="Calibri" w:cs="Arial"/>
              </w:rPr>
            </w:pPr>
            <w:r w:rsidRPr="00B85D62">
              <w:rPr>
                <w:rFonts w:eastAsia="Calibri" w:cs="Arial"/>
              </w:rPr>
              <w:t>WDLCN</w:t>
            </w:r>
            <w:r w:rsidR="00B85D62" w:rsidRPr="00B85D62">
              <w:rPr>
                <w:rFonts w:eastAsia="Calibri" w:cs="Arial"/>
                <w:color w:val="00B0F0"/>
              </w:rPr>
              <w:t>=</w:t>
            </w:r>
            <w:r w:rsidRPr="00B85D62">
              <w:rPr>
                <w:rFonts w:eastAsia="Calibri" w:cs="Arial"/>
              </w:rPr>
              <w:t>10</w:t>
            </w:r>
          </w:p>
        </w:tc>
        <w:tc>
          <w:tcPr>
            <w:tcW w:w="0" w:type="auto"/>
            <w:vAlign w:val="bottom"/>
          </w:tcPr>
          <w:p w14:paraId="4DEE8E88" w14:textId="7B88A208" w:rsidR="3341BD48" w:rsidRPr="00B85D62" w:rsidRDefault="3341BD48" w:rsidP="0066232B">
            <w:pPr>
              <w:jc w:val="right"/>
              <w:rPr>
                <w:rFonts w:eastAsia="Calibri" w:cs="Arial"/>
              </w:rPr>
            </w:pPr>
            <w:r w:rsidRPr="00B85D62">
              <w:rPr>
                <w:rFonts w:eastAsia="Calibri" w:cs="Arial"/>
              </w:rPr>
              <w:t>30%</w:t>
            </w:r>
          </w:p>
        </w:tc>
        <w:tc>
          <w:tcPr>
            <w:tcW w:w="0" w:type="auto"/>
            <w:vMerge/>
            <w:vAlign w:val="center"/>
          </w:tcPr>
          <w:p w14:paraId="6D503E46" w14:textId="77777777" w:rsidR="003F1F7A" w:rsidRPr="00B85D62" w:rsidRDefault="003F1F7A" w:rsidP="0066232B">
            <w:pPr>
              <w:rPr>
                <w:rFonts w:cs="Arial"/>
              </w:rPr>
            </w:pPr>
          </w:p>
        </w:tc>
      </w:tr>
      <w:tr w:rsidR="3341BD48" w:rsidRPr="00B85D62" w14:paraId="368FED59" w14:textId="77777777" w:rsidTr="00B85D62">
        <w:trPr>
          <w:cantSplit/>
        </w:trPr>
        <w:tc>
          <w:tcPr>
            <w:tcW w:w="0" w:type="auto"/>
            <w:vMerge/>
            <w:vAlign w:val="center"/>
          </w:tcPr>
          <w:p w14:paraId="49D5BADE" w14:textId="77777777" w:rsidR="003F1F7A" w:rsidRPr="00B85D62" w:rsidRDefault="003F1F7A" w:rsidP="0066232B">
            <w:pPr>
              <w:rPr>
                <w:rFonts w:cs="Arial"/>
              </w:rPr>
            </w:pPr>
          </w:p>
        </w:tc>
        <w:tc>
          <w:tcPr>
            <w:tcW w:w="0" w:type="auto"/>
          </w:tcPr>
          <w:p w14:paraId="2CAA67E6" w14:textId="1B7BB524" w:rsidR="3341BD48" w:rsidRPr="00B85D62" w:rsidRDefault="3341BD48" w:rsidP="0066232B">
            <w:pPr>
              <w:rPr>
                <w:rFonts w:eastAsia="Calibri" w:cs="Arial"/>
              </w:rPr>
            </w:pPr>
            <w:r w:rsidRPr="00B85D62">
              <w:rPr>
                <w:rFonts w:eastAsia="Calibri" w:cs="Arial"/>
              </w:rPr>
              <w:t>WDLCN</w:t>
            </w:r>
            <w:r w:rsidR="00B85D62" w:rsidRPr="00B85D62">
              <w:rPr>
                <w:rFonts w:eastAsia="Calibri" w:cs="Arial"/>
                <w:color w:val="00B0F0"/>
              </w:rPr>
              <w:t>=</w:t>
            </w:r>
            <w:r w:rsidRPr="00B85D62">
              <w:rPr>
                <w:rFonts w:eastAsia="Calibri" w:cs="Arial"/>
              </w:rPr>
              <w:t>11</w:t>
            </w:r>
          </w:p>
        </w:tc>
        <w:tc>
          <w:tcPr>
            <w:tcW w:w="0" w:type="auto"/>
            <w:vAlign w:val="bottom"/>
          </w:tcPr>
          <w:p w14:paraId="2215474D" w14:textId="68E7F0B6" w:rsidR="3341BD48" w:rsidRPr="00B85D62" w:rsidRDefault="3341BD48" w:rsidP="0066232B">
            <w:pPr>
              <w:jc w:val="right"/>
              <w:rPr>
                <w:rFonts w:eastAsia="Calibri" w:cs="Arial"/>
              </w:rPr>
            </w:pPr>
            <w:r w:rsidRPr="00B85D62">
              <w:rPr>
                <w:rFonts w:eastAsia="Calibri" w:cs="Arial"/>
              </w:rPr>
              <w:t>29%</w:t>
            </w:r>
          </w:p>
        </w:tc>
        <w:tc>
          <w:tcPr>
            <w:tcW w:w="0" w:type="auto"/>
            <w:vMerge/>
            <w:vAlign w:val="center"/>
          </w:tcPr>
          <w:p w14:paraId="22E0C321" w14:textId="77777777" w:rsidR="003F1F7A" w:rsidRPr="00B85D62" w:rsidRDefault="003F1F7A" w:rsidP="0066232B">
            <w:pPr>
              <w:rPr>
                <w:rFonts w:cs="Arial"/>
              </w:rPr>
            </w:pPr>
          </w:p>
        </w:tc>
      </w:tr>
      <w:tr w:rsidR="3341BD48" w:rsidRPr="00B85D62" w14:paraId="5F356A8D" w14:textId="77777777" w:rsidTr="00B85D62">
        <w:trPr>
          <w:cantSplit/>
        </w:trPr>
        <w:tc>
          <w:tcPr>
            <w:tcW w:w="0" w:type="auto"/>
            <w:vMerge/>
            <w:vAlign w:val="center"/>
          </w:tcPr>
          <w:p w14:paraId="6A2A56CC" w14:textId="77777777" w:rsidR="003F1F7A" w:rsidRPr="00B85D62" w:rsidRDefault="003F1F7A" w:rsidP="0066232B">
            <w:pPr>
              <w:rPr>
                <w:rFonts w:cs="Arial"/>
              </w:rPr>
            </w:pPr>
          </w:p>
        </w:tc>
        <w:tc>
          <w:tcPr>
            <w:tcW w:w="0" w:type="auto"/>
          </w:tcPr>
          <w:p w14:paraId="76ECF5B0" w14:textId="2BA47B28" w:rsidR="3341BD48" w:rsidRPr="00B85D62" w:rsidRDefault="3341BD48" w:rsidP="0066232B">
            <w:pPr>
              <w:rPr>
                <w:rFonts w:eastAsia="Calibri" w:cs="Arial"/>
              </w:rPr>
            </w:pPr>
            <w:r w:rsidRPr="00B85D62">
              <w:rPr>
                <w:rFonts w:eastAsia="Calibri" w:cs="Arial"/>
              </w:rPr>
              <w:t xml:space="preserve">WDLCN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12</w:t>
            </w:r>
          </w:p>
        </w:tc>
        <w:tc>
          <w:tcPr>
            <w:tcW w:w="0" w:type="auto"/>
            <w:vAlign w:val="bottom"/>
          </w:tcPr>
          <w:p w14:paraId="23676F6E" w14:textId="24C9591F" w:rsidR="3341BD48" w:rsidRPr="00B85D62" w:rsidRDefault="3341BD48" w:rsidP="0066232B">
            <w:pPr>
              <w:jc w:val="right"/>
              <w:rPr>
                <w:rFonts w:eastAsia="Calibri" w:cs="Arial"/>
              </w:rPr>
            </w:pPr>
            <w:r w:rsidRPr="00B85D62">
              <w:rPr>
                <w:rFonts w:eastAsia="Calibri" w:cs="Arial"/>
              </w:rPr>
              <w:t>64%</w:t>
            </w:r>
          </w:p>
        </w:tc>
        <w:tc>
          <w:tcPr>
            <w:tcW w:w="0" w:type="auto"/>
            <w:vMerge/>
            <w:vAlign w:val="center"/>
          </w:tcPr>
          <w:p w14:paraId="56758ADE" w14:textId="77777777" w:rsidR="003F1F7A" w:rsidRPr="00B85D62" w:rsidRDefault="003F1F7A" w:rsidP="0066232B">
            <w:pPr>
              <w:rPr>
                <w:rFonts w:cs="Arial"/>
              </w:rPr>
            </w:pPr>
          </w:p>
        </w:tc>
      </w:tr>
      <w:tr w:rsidR="3341BD48" w:rsidRPr="00B85D62" w14:paraId="711D3631" w14:textId="77777777" w:rsidTr="00B85D62">
        <w:trPr>
          <w:cantSplit/>
        </w:trPr>
        <w:tc>
          <w:tcPr>
            <w:tcW w:w="0" w:type="auto"/>
            <w:vMerge w:val="restart"/>
          </w:tcPr>
          <w:p w14:paraId="06941C6C" w14:textId="5DAA94A7" w:rsidR="3341BD48" w:rsidRPr="00B85D62" w:rsidRDefault="3341BD48" w:rsidP="0066232B">
            <w:pPr>
              <w:rPr>
                <w:rFonts w:eastAsia="Calibri" w:cs="Arial"/>
              </w:rPr>
            </w:pPr>
            <w:r w:rsidRPr="00B85D62">
              <w:rPr>
                <w:rFonts w:eastAsia="Calibri" w:cs="Arial"/>
              </w:rPr>
              <w:t>Variance of unknown significance</w:t>
            </w:r>
          </w:p>
        </w:tc>
        <w:tc>
          <w:tcPr>
            <w:tcW w:w="0" w:type="auto"/>
          </w:tcPr>
          <w:p w14:paraId="7BEB189F" w14:textId="4B7C0A2B" w:rsidR="3341BD48" w:rsidRPr="00B85D62" w:rsidRDefault="3341BD48" w:rsidP="0066232B">
            <w:pPr>
              <w:rPr>
                <w:rFonts w:eastAsia="Calibri" w:cs="Arial"/>
              </w:rPr>
            </w:pPr>
            <w:r w:rsidRPr="00B85D62">
              <w:rPr>
                <w:rFonts w:eastAsia="Calibri" w:cs="Arial"/>
              </w:rPr>
              <w:t xml:space="preserve">Proportion of indexes with VUS </w:t>
            </w:r>
          </w:p>
        </w:tc>
        <w:tc>
          <w:tcPr>
            <w:tcW w:w="0" w:type="auto"/>
            <w:vAlign w:val="bottom"/>
          </w:tcPr>
          <w:p w14:paraId="1C1CED81" w14:textId="669A9D52" w:rsidR="3341BD48" w:rsidRPr="00B85D62" w:rsidRDefault="3341BD48" w:rsidP="0066232B">
            <w:pPr>
              <w:jc w:val="right"/>
              <w:rPr>
                <w:rFonts w:eastAsia="Calibri" w:cs="Arial"/>
                <w:color w:val="000000" w:themeColor="text1"/>
              </w:rPr>
            </w:pPr>
            <w:r w:rsidRPr="00B85D62">
              <w:rPr>
                <w:rFonts w:eastAsia="Calibri" w:cs="Arial"/>
                <w:color w:val="000000" w:themeColor="text1"/>
              </w:rPr>
              <w:t>4%</w:t>
            </w:r>
          </w:p>
        </w:tc>
        <w:tc>
          <w:tcPr>
            <w:tcW w:w="0" w:type="auto"/>
            <w:vMerge w:val="restart"/>
          </w:tcPr>
          <w:p w14:paraId="17FE522B" w14:textId="5CC8DB8E" w:rsidR="3341BD48" w:rsidRPr="00B85D62" w:rsidRDefault="3341BD48" w:rsidP="0066232B">
            <w:pPr>
              <w:rPr>
                <w:rFonts w:eastAsia="Calibri" w:cs="Arial"/>
              </w:rPr>
            </w:pPr>
            <w:r w:rsidRPr="00B85D62">
              <w:rPr>
                <w:rFonts w:eastAsia="Calibri" w:cs="Arial"/>
              </w:rPr>
              <w:t>PASS Wales and Wessex</w:t>
            </w:r>
          </w:p>
          <w:p w14:paraId="2090F1EE" w14:textId="7FED7669" w:rsidR="3341BD48" w:rsidRPr="00B85D62" w:rsidRDefault="269D3CBE">
            <w:pPr>
              <w:rPr>
                <w:rFonts w:eastAsia="Calibri" w:cs="Arial"/>
              </w:rPr>
            </w:pPr>
            <w:r w:rsidRPr="00B85D62">
              <w:rPr>
                <w:rFonts w:eastAsia="Calibri" w:cs="Arial"/>
              </w:rPr>
              <w:t xml:space="preserve">See </w:t>
            </w:r>
            <w:r w:rsidR="758B44D7" w:rsidRPr="00B85D62">
              <w:rPr>
                <w:rFonts w:eastAsia="Calibri" w:cs="Arial"/>
              </w:rPr>
              <w:t xml:space="preserve">Section </w:t>
            </w:r>
            <w:r w:rsidR="00502AA3" w:rsidRPr="00B85D62">
              <w:rPr>
                <w:rFonts w:eastAsia="Calibri" w:cs="Arial"/>
              </w:rPr>
              <w:t>8</w:t>
            </w:r>
            <w:r w:rsidR="758B44D7" w:rsidRPr="00B85D62">
              <w:rPr>
                <w:rFonts w:eastAsia="Calibri" w:cs="Arial"/>
              </w:rPr>
              <w:t>.3</w:t>
            </w:r>
            <w:r w:rsidRPr="00B85D62">
              <w:rPr>
                <w:rFonts w:eastAsia="Calibri" w:cs="Arial"/>
              </w:rPr>
              <w:t xml:space="preserve"> </w:t>
            </w:r>
            <w:r w:rsidR="00B85D62" w:rsidRPr="00B85D62">
              <w:rPr>
                <w:rFonts w:eastAsia="Calibri" w:cs="Arial"/>
                <w:i/>
                <w:color w:val="FF0000"/>
              </w:rPr>
              <w:t>T</w:t>
            </w:r>
            <w:r w:rsidR="00B85D62" w:rsidRPr="00B85D62">
              <w:rPr>
                <w:rFonts w:eastAsia="Calibri" w:cs="Arial"/>
                <w:i/>
                <w:color w:val="FF0000"/>
              </w:rPr>
              <w:t>able</w:t>
            </w:r>
            <w:r w:rsidR="00B85D62" w:rsidRPr="00B85D62">
              <w:rPr>
                <w:rFonts w:eastAsia="Calibri" w:cs="Arial"/>
                <w:i/>
                <w:color w:val="FF0000"/>
              </w:rPr>
              <w:t xml:space="preserve"> </w:t>
            </w:r>
            <w:r w:rsidR="00B85D62" w:rsidRPr="00B85D62">
              <w:rPr>
                <w:rFonts w:eastAsia="Calibri" w:cs="Arial"/>
                <w:i/>
                <w:color w:val="FF0000"/>
              </w:rPr>
              <w:t>11</w:t>
            </w:r>
            <w:r w:rsidRPr="00B85D62">
              <w:rPr>
                <w:rFonts w:eastAsia="Calibri" w:cs="Arial"/>
              </w:rPr>
              <w:t xml:space="preserve"> and</w:t>
            </w:r>
            <w:r w:rsidR="00895586" w:rsidRPr="00B85D62">
              <w:rPr>
                <w:rFonts w:eastAsia="Calibri" w:cs="Arial"/>
              </w:rPr>
              <w:t xml:space="preserve"> </w:t>
            </w:r>
            <w:r w:rsidR="00484270" w:rsidRPr="00B85D62">
              <w:rPr>
                <w:rFonts w:eastAsia="Arial" w:cs="Arial"/>
                <w:i/>
                <w:color w:val="000000" w:themeColor="text1"/>
              </w:rPr>
              <w:t xml:space="preserve">Online Supplementary file </w:t>
            </w:r>
            <w:r w:rsidR="00046373" w:rsidRPr="00B85D62">
              <w:rPr>
                <w:rFonts w:eastAsia="Arial" w:cs="Arial"/>
                <w:i/>
                <w:color w:val="000000" w:themeColor="text1"/>
              </w:rPr>
              <w:t>5</w:t>
            </w:r>
            <w:r w:rsidR="00484270" w:rsidRPr="00B85D62">
              <w:rPr>
                <w:rFonts w:eastAsia="Arial" w:cs="Arial"/>
                <w:i/>
                <w:color w:val="000000" w:themeColor="text1"/>
              </w:rPr>
              <w:t xml:space="preserve"> </w:t>
            </w:r>
            <w:r w:rsidR="00B85D62" w:rsidRPr="00B85D62">
              <w:rPr>
                <w:rFonts w:eastAsia="Calibri" w:cs="Arial"/>
                <w:i/>
                <w:color w:val="FF0000"/>
              </w:rPr>
              <w:t>T</w:t>
            </w:r>
            <w:r w:rsidR="00B85D62" w:rsidRPr="00B85D62">
              <w:rPr>
                <w:rFonts w:eastAsia="Calibri" w:cs="Arial"/>
                <w:i/>
                <w:color w:val="FF0000"/>
              </w:rPr>
              <w:t>able</w:t>
            </w:r>
            <w:r w:rsidR="00B85D62" w:rsidRPr="00B85D62">
              <w:rPr>
                <w:rFonts w:eastAsia="Calibri" w:cs="Arial"/>
                <w:i/>
                <w:color w:val="FF0000"/>
              </w:rPr>
              <w:t xml:space="preserve"> </w:t>
            </w:r>
            <w:r w:rsidR="00B85D62" w:rsidRPr="00B85D62">
              <w:rPr>
                <w:rFonts w:eastAsia="Calibri" w:cs="Arial"/>
                <w:i/>
                <w:color w:val="FF0000"/>
              </w:rPr>
              <w:t>1</w:t>
            </w:r>
            <w:r w:rsidRPr="00B85D62">
              <w:rPr>
                <w:rFonts w:eastAsia="Calibri" w:cs="Arial"/>
              </w:rPr>
              <w:t xml:space="preserve"> for more details.</w:t>
            </w:r>
          </w:p>
        </w:tc>
      </w:tr>
      <w:tr w:rsidR="3341BD48" w:rsidRPr="00B85D62" w14:paraId="77455AB2" w14:textId="77777777" w:rsidTr="00B85D62">
        <w:trPr>
          <w:cantSplit/>
        </w:trPr>
        <w:tc>
          <w:tcPr>
            <w:tcW w:w="0" w:type="auto"/>
            <w:vMerge/>
            <w:vAlign w:val="center"/>
          </w:tcPr>
          <w:p w14:paraId="07FED841" w14:textId="77777777" w:rsidR="003F1F7A" w:rsidRPr="00B85D62" w:rsidRDefault="003F1F7A" w:rsidP="0066232B">
            <w:pPr>
              <w:rPr>
                <w:rFonts w:cs="Arial"/>
              </w:rPr>
            </w:pPr>
          </w:p>
        </w:tc>
        <w:tc>
          <w:tcPr>
            <w:tcW w:w="0" w:type="auto"/>
          </w:tcPr>
          <w:p w14:paraId="636EC680" w14:textId="78CDF4E1" w:rsidR="3341BD48" w:rsidRPr="00B85D62" w:rsidRDefault="3341BD48" w:rsidP="0066232B">
            <w:pPr>
              <w:rPr>
                <w:rFonts w:eastAsia="Calibri" w:cs="Arial"/>
              </w:rPr>
            </w:pPr>
            <w:r w:rsidRPr="00B85D62">
              <w:rPr>
                <w:rFonts w:eastAsia="Calibri" w:cs="Arial"/>
              </w:rPr>
              <w:t>Proportion of VUS reclassified to pathogenic out of those reclassified</w:t>
            </w:r>
          </w:p>
        </w:tc>
        <w:tc>
          <w:tcPr>
            <w:tcW w:w="0" w:type="auto"/>
            <w:vAlign w:val="bottom"/>
          </w:tcPr>
          <w:p w14:paraId="4B9133A3" w14:textId="197F040A" w:rsidR="3341BD48" w:rsidRPr="00B85D62" w:rsidRDefault="3341BD48" w:rsidP="0066232B">
            <w:pPr>
              <w:jc w:val="right"/>
              <w:rPr>
                <w:rFonts w:eastAsia="Calibri" w:cs="Arial"/>
                <w:color w:val="000000" w:themeColor="text1"/>
              </w:rPr>
            </w:pPr>
            <w:r w:rsidRPr="00B85D62">
              <w:rPr>
                <w:rFonts w:eastAsia="Calibri" w:cs="Arial"/>
                <w:color w:val="000000" w:themeColor="text1"/>
              </w:rPr>
              <w:t>75%</w:t>
            </w:r>
          </w:p>
        </w:tc>
        <w:tc>
          <w:tcPr>
            <w:tcW w:w="0" w:type="auto"/>
            <w:vMerge/>
            <w:vAlign w:val="center"/>
          </w:tcPr>
          <w:p w14:paraId="02134CF9" w14:textId="77777777" w:rsidR="003F1F7A" w:rsidRPr="00B85D62" w:rsidRDefault="003F1F7A" w:rsidP="0066232B">
            <w:pPr>
              <w:rPr>
                <w:rFonts w:cs="Arial"/>
              </w:rPr>
            </w:pPr>
          </w:p>
        </w:tc>
      </w:tr>
      <w:tr w:rsidR="3341BD48" w:rsidRPr="00B85D62" w14:paraId="2E9E1C52" w14:textId="77777777" w:rsidTr="00B85D62">
        <w:trPr>
          <w:cantSplit/>
        </w:trPr>
        <w:tc>
          <w:tcPr>
            <w:tcW w:w="0" w:type="auto"/>
            <w:gridSpan w:val="4"/>
            <w:shd w:val="clear" w:color="auto" w:fill="E7E6E6" w:themeFill="background2"/>
          </w:tcPr>
          <w:p w14:paraId="5306AF48" w14:textId="4B60CBFF" w:rsidR="3341BD48" w:rsidRPr="00B85D62" w:rsidRDefault="3341BD48" w:rsidP="0066232B">
            <w:pPr>
              <w:rPr>
                <w:rFonts w:eastAsia="Calibri" w:cs="Arial"/>
              </w:rPr>
            </w:pPr>
            <w:r w:rsidRPr="00B85D62">
              <w:rPr>
                <w:rFonts w:eastAsia="Calibri" w:cs="Arial"/>
              </w:rPr>
              <w:t>Relatives</w:t>
            </w:r>
            <w:r w:rsidR="00B85D62" w:rsidRPr="00B85D62">
              <w:rPr>
                <w:rFonts w:eastAsia="Calibri" w:cs="Arial"/>
              </w:rPr>
              <w:t>’</w:t>
            </w:r>
            <w:r w:rsidRPr="00B85D62">
              <w:rPr>
                <w:rFonts w:eastAsia="Calibri" w:cs="Arial"/>
              </w:rPr>
              <w:t xml:space="preserve"> characteristics</w:t>
            </w:r>
          </w:p>
        </w:tc>
      </w:tr>
      <w:tr w:rsidR="3341BD48" w:rsidRPr="00B85D62" w14:paraId="44806A3B" w14:textId="77777777" w:rsidTr="00B85D62">
        <w:trPr>
          <w:cantSplit/>
        </w:trPr>
        <w:tc>
          <w:tcPr>
            <w:tcW w:w="0" w:type="auto"/>
            <w:vMerge w:val="restart"/>
          </w:tcPr>
          <w:p w14:paraId="3DC1A7C0" w14:textId="022E584D" w:rsidR="3341BD48" w:rsidRPr="00B85D62" w:rsidRDefault="3341BD48" w:rsidP="0066232B">
            <w:pPr>
              <w:rPr>
                <w:rFonts w:eastAsia="Calibri" w:cs="Arial"/>
              </w:rPr>
            </w:pPr>
            <w:r w:rsidRPr="00B85D62">
              <w:rPr>
                <w:rFonts w:eastAsia="Calibri" w:cs="Arial"/>
              </w:rPr>
              <w:t>Relatives who were contacted by age</w:t>
            </w:r>
          </w:p>
        </w:tc>
        <w:tc>
          <w:tcPr>
            <w:tcW w:w="0" w:type="auto"/>
          </w:tcPr>
          <w:p w14:paraId="41FAA3FF" w14:textId="69B34F39" w:rsidR="3341BD48" w:rsidRPr="00B85D62" w:rsidRDefault="3341BD48" w:rsidP="0066232B">
            <w:pPr>
              <w:rPr>
                <w:rFonts w:eastAsia="Calibri" w:cs="Arial"/>
              </w:rPr>
            </w:pPr>
            <w:r w:rsidRPr="00B85D62">
              <w:rPr>
                <w:rFonts w:eastAsia="Calibri" w:cs="Arial"/>
              </w:rPr>
              <w:t>Proportion of females</w:t>
            </w:r>
          </w:p>
        </w:tc>
        <w:tc>
          <w:tcPr>
            <w:tcW w:w="0" w:type="auto"/>
            <w:vAlign w:val="bottom"/>
          </w:tcPr>
          <w:p w14:paraId="279F221C" w14:textId="19F6ACBE" w:rsidR="3341BD48" w:rsidRPr="00B85D62" w:rsidRDefault="3341BD48" w:rsidP="0066232B">
            <w:pPr>
              <w:jc w:val="right"/>
              <w:rPr>
                <w:rFonts w:eastAsia="Calibri" w:cs="Arial"/>
                <w:color w:val="000000" w:themeColor="text1"/>
              </w:rPr>
            </w:pPr>
            <w:r w:rsidRPr="00B85D62">
              <w:rPr>
                <w:rFonts w:eastAsia="Calibri" w:cs="Arial"/>
                <w:color w:val="000000" w:themeColor="text1"/>
              </w:rPr>
              <w:t>53%</w:t>
            </w:r>
          </w:p>
        </w:tc>
        <w:tc>
          <w:tcPr>
            <w:tcW w:w="0" w:type="auto"/>
            <w:vMerge w:val="restart"/>
          </w:tcPr>
          <w:p w14:paraId="5FE679BD" w14:textId="77777777" w:rsidR="00B85D62" w:rsidRPr="00B85D62" w:rsidRDefault="3341BD48" w:rsidP="0066232B">
            <w:pPr>
              <w:rPr>
                <w:rFonts w:eastAsia="Calibri" w:cs="Arial"/>
              </w:rPr>
            </w:pPr>
            <w:r w:rsidRPr="00B85D62">
              <w:rPr>
                <w:rFonts w:eastAsia="Calibri" w:cs="Arial"/>
              </w:rPr>
              <w:t xml:space="preserve">Analysis of PASS Wales </w:t>
            </w:r>
            <w:r w:rsidRPr="00B85D62">
              <w:rPr>
                <w:rFonts w:eastAsia="Calibri" w:cs="Arial"/>
                <w:highlight w:val="magenta"/>
              </w:rPr>
              <w:t>data</w:t>
            </w:r>
          </w:p>
          <w:p w14:paraId="60D0BE8C" w14:textId="21981351" w:rsidR="3341BD48" w:rsidRPr="00B85D62" w:rsidRDefault="269D3CBE">
            <w:pPr>
              <w:rPr>
                <w:rFonts w:eastAsia="Calibri" w:cs="Arial"/>
              </w:rPr>
            </w:pPr>
            <w:r w:rsidRPr="00B85D62">
              <w:rPr>
                <w:rFonts w:eastAsia="Calibri" w:cs="Arial"/>
              </w:rPr>
              <w:t xml:space="preserve">See </w:t>
            </w:r>
            <w:r w:rsidR="65ADAC6F" w:rsidRPr="00B85D62">
              <w:rPr>
                <w:rFonts w:eastAsia="Calibri" w:cs="Arial"/>
              </w:rPr>
              <w:t xml:space="preserve">Section </w:t>
            </w:r>
            <w:r w:rsidR="00502AA3" w:rsidRPr="00B85D62">
              <w:rPr>
                <w:rFonts w:eastAsia="Calibri" w:cs="Arial"/>
              </w:rPr>
              <w:t>8</w:t>
            </w:r>
            <w:r w:rsidR="65ADAC6F" w:rsidRPr="00B85D62">
              <w:rPr>
                <w:rFonts w:eastAsia="Calibri" w:cs="Arial"/>
              </w:rPr>
              <w:t>.3</w:t>
            </w:r>
            <w:r w:rsidRPr="00B85D62">
              <w:rPr>
                <w:rFonts w:eastAsia="Calibri" w:cs="Arial"/>
              </w:rPr>
              <w:t xml:space="preserve"> </w:t>
            </w:r>
            <w:r w:rsidR="00B85D62" w:rsidRPr="00B85D62">
              <w:rPr>
                <w:rFonts w:eastAsia="Calibri" w:cs="Arial"/>
                <w:i/>
                <w:color w:val="FF0000"/>
              </w:rPr>
              <w:t>T</w:t>
            </w:r>
            <w:r w:rsidR="00B85D62" w:rsidRPr="00B85D62">
              <w:rPr>
                <w:rFonts w:eastAsia="Calibri" w:cs="Arial"/>
                <w:i/>
                <w:color w:val="FF0000"/>
              </w:rPr>
              <w:t>ables</w:t>
            </w:r>
            <w:r w:rsidR="00B85D62" w:rsidRPr="00B85D62">
              <w:rPr>
                <w:rFonts w:eastAsia="Calibri" w:cs="Arial"/>
                <w:i/>
                <w:color w:val="FF0000"/>
              </w:rPr>
              <w:t xml:space="preserve"> </w:t>
            </w:r>
            <w:r w:rsidR="00B85D62" w:rsidRPr="00B85D62">
              <w:rPr>
                <w:rFonts w:eastAsia="Calibri" w:cs="Arial"/>
                <w:i/>
                <w:color w:val="FF0000"/>
              </w:rPr>
              <w:t>11</w:t>
            </w:r>
            <w:r w:rsidR="00B85D62" w:rsidRPr="00B85D62">
              <w:rPr>
                <w:rFonts w:eastAsia="Calibri" w:cs="Arial"/>
                <w:i/>
                <w:color w:val="FF0000"/>
              </w:rPr>
              <w:t>–</w:t>
            </w:r>
            <w:r w:rsidR="00B85D62" w:rsidRPr="00B85D62">
              <w:rPr>
                <w:rFonts w:eastAsia="Calibri" w:cs="Arial"/>
                <w:i/>
                <w:color w:val="FF0000"/>
              </w:rPr>
              <w:t>12</w:t>
            </w:r>
            <w:r w:rsidRPr="00B85D62">
              <w:rPr>
                <w:rFonts w:eastAsia="Calibri" w:cs="Arial"/>
              </w:rPr>
              <w:t xml:space="preserve"> and </w:t>
            </w:r>
            <w:r w:rsidR="00484270" w:rsidRPr="00B85D62">
              <w:rPr>
                <w:rFonts w:eastAsia="Arial" w:cs="Arial"/>
                <w:i/>
                <w:color w:val="000000" w:themeColor="text1"/>
              </w:rPr>
              <w:t>Online Supplementary file</w:t>
            </w:r>
            <w:r w:rsidR="00123031" w:rsidRPr="00B85D62">
              <w:rPr>
                <w:rFonts w:eastAsia="Arial" w:cs="Arial"/>
                <w:i/>
                <w:color w:val="000000" w:themeColor="text1"/>
              </w:rPr>
              <w:t xml:space="preserve"> 5</w:t>
            </w:r>
            <w:r w:rsidRPr="00B85D62">
              <w:rPr>
                <w:rFonts w:eastAsia="Calibri" w:cs="Arial"/>
              </w:rPr>
              <w:t>Tables 2</w:t>
            </w:r>
            <w:r w:rsidR="00B85D62" w:rsidRPr="00B85D62">
              <w:rPr>
                <w:rFonts w:eastAsia="Calibri" w:cs="Arial"/>
                <w:color w:val="00B0F0"/>
              </w:rPr>
              <w:t>–</w:t>
            </w:r>
            <w:r w:rsidR="00B85D62" w:rsidRPr="00B85D62">
              <w:rPr>
                <w:rFonts w:eastAsia="Calibri" w:cs="Arial"/>
                <w:color w:val="00B0F0"/>
              </w:rPr>
              <w:t>4</w:t>
            </w:r>
            <w:r w:rsidRPr="00B85D62">
              <w:rPr>
                <w:rFonts w:eastAsia="Calibri" w:cs="Arial"/>
              </w:rPr>
              <w:t xml:space="preserve"> for more details</w:t>
            </w:r>
          </w:p>
        </w:tc>
      </w:tr>
      <w:tr w:rsidR="3341BD48" w:rsidRPr="00B85D62" w14:paraId="3A46E0A1" w14:textId="77777777" w:rsidTr="00B85D62">
        <w:trPr>
          <w:cantSplit/>
        </w:trPr>
        <w:tc>
          <w:tcPr>
            <w:tcW w:w="0" w:type="auto"/>
            <w:vMerge/>
            <w:vAlign w:val="center"/>
          </w:tcPr>
          <w:p w14:paraId="66379EFC" w14:textId="77777777" w:rsidR="003F1F7A" w:rsidRPr="00B85D62" w:rsidRDefault="003F1F7A" w:rsidP="0066232B">
            <w:pPr>
              <w:rPr>
                <w:rFonts w:cs="Arial"/>
              </w:rPr>
            </w:pPr>
          </w:p>
        </w:tc>
        <w:tc>
          <w:tcPr>
            <w:tcW w:w="0" w:type="auto"/>
          </w:tcPr>
          <w:p w14:paraId="312B301A" w14:textId="7A5332D4" w:rsidR="3341BD48" w:rsidRPr="00B85D62" w:rsidRDefault="3341BD48" w:rsidP="0066232B">
            <w:pPr>
              <w:rPr>
                <w:rFonts w:eastAsia="Calibri" w:cs="Arial"/>
              </w:rPr>
            </w:pPr>
            <w:r w:rsidRPr="00B85D62">
              <w:rPr>
                <w:rFonts w:eastAsia="Calibri" w:cs="Arial"/>
              </w:rPr>
              <w:t>Age 0 to 9</w:t>
            </w:r>
          </w:p>
        </w:tc>
        <w:tc>
          <w:tcPr>
            <w:tcW w:w="0" w:type="auto"/>
          </w:tcPr>
          <w:p w14:paraId="32604423" w14:textId="5C4B44E2" w:rsidR="3341BD48" w:rsidRPr="00B85D62" w:rsidRDefault="3341BD48" w:rsidP="0066232B">
            <w:pPr>
              <w:jc w:val="right"/>
              <w:rPr>
                <w:rFonts w:eastAsia="Calibri" w:cs="Arial"/>
                <w:color w:val="000000" w:themeColor="text1"/>
              </w:rPr>
            </w:pPr>
            <w:r w:rsidRPr="00B85D62">
              <w:rPr>
                <w:rFonts w:eastAsia="Calibri" w:cs="Arial"/>
                <w:color w:val="000000" w:themeColor="text1"/>
              </w:rPr>
              <w:t>9%</w:t>
            </w:r>
          </w:p>
        </w:tc>
        <w:tc>
          <w:tcPr>
            <w:tcW w:w="0" w:type="auto"/>
            <w:vMerge/>
            <w:vAlign w:val="center"/>
          </w:tcPr>
          <w:p w14:paraId="12E0F293" w14:textId="77777777" w:rsidR="003F1F7A" w:rsidRPr="00B85D62" w:rsidRDefault="003F1F7A" w:rsidP="0066232B">
            <w:pPr>
              <w:rPr>
                <w:rFonts w:cs="Arial"/>
              </w:rPr>
            </w:pPr>
          </w:p>
        </w:tc>
      </w:tr>
      <w:tr w:rsidR="3341BD48" w:rsidRPr="00B85D62" w14:paraId="039717FB" w14:textId="77777777" w:rsidTr="00B85D62">
        <w:trPr>
          <w:cantSplit/>
        </w:trPr>
        <w:tc>
          <w:tcPr>
            <w:tcW w:w="0" w:type="auto"/>
            <w:vMerge/>
            <w:vAlign w:val="center"/>
          </w:tcPr>
          <w:p w14:paraId="77900E49" w14:textId="77777777" w:rsidR="003F1F7A" w:rsidRPr="00B85D62" w:rsidRDefault="003F1F7A" w:rsidP="0066232B">
            <w:pPr>
              <w:rPr>
                <w:rFonts w:cs="Arial"/>
              </w:rPr>
            </w:pPr>
          </w:p>
        </w:tc>
        <w:tc>
          <w:tcPr>
            <w:tcW w:w="0" w:type="auto"/>
          </w:tcPr>
          <w:p w14:paraId="5565B5F8" w14:textId="1ADB7601" w:rsidR="3341BD48" w:rsidRPr="00B85D62" w:rsidRDefault="3341BD48" w:rsidP="0066232B">
            <w:pPr>
              <w:rPr>
                <w:rFonts w:eastAsia="Calibri" w:cs="Arial"/>
              </w:rPr>
            </w:pPr>
            <w:r w:rsidRPr="00B85D62">
              <w:rPr>
                <w:rFonts w:eastAsia="Calibri" w:cs="Arial"/>
              </w:rPr>
              <w:t>Age 10 to 17</w:t>
            </w:r>
          </w:p>
        </w:tc>
        <w:tc>
          <w:tcPr>
            <w:tcW w:w="0" w:type="auto"/>
          </w:tcPr>
          <w:p w14:paraId="22958DB0" w14:textId="47195346" w:rsidR="3341BD48" w:rsidRPr="00B85D62" w:rsidRDefault="3341BD48" w:rsidP="0066232B">
            <w:pPr>
              <w:jc w:val="right"/>
              <w:rPr>
                <w:rFonts w:eastAsia="Calibri" w:cs="Arial"/>
                <w:color w:val="000000" w:themeColor="text1"/>
              </w:rPr>
            </w:pPr>
            <w:r w:rsidRPr="00B85D62">
              <w:rPr>
                <w:rFonts w:eastAsia="Calibri" w:cs="Arial"/>
                <w:color w:val="000000" w:themeColor="text1"/>
              </w:rPr>
              <w:t>15%</w:t>
            </w:r>
          </w:p>
        </w:tc>
        <w:tc>
          <w:tcPr>
            <w:tcW w:w="0" w:type="auto"/>
            <w:vMerge/>
            <w:vAlign w:val="center"/>
          </w:tcPr>
          <w:p w14:paraId="6E0650E1" w14:textId="77777777" w:rsidR="003F1F7A" w:rsidRPr="00B85D62" w:rsidRDefault="003F1F7A" w:rsidP="0066232B">
            <w:pPr>
              <w:rPr>
                <w:rFonts w:cs="Arial"/>
              </w:rPr>
            </w:pPr>
          </w:p>
        </w:tc>
      </w:tr>
      <w:tr w:rsidR="3341BD48" w:rsidRPr="00B85D62" w14:paraId="334B8415" w14:textId="77777777" w:rsidTr="00B85D62">
        <w:trPr>
          <w:cantSplit/>
        </w:trPr>
        <w:tc>
          <w:tcPr>
            <w:tcW w:w="0" w:type="auto"/>
            <w:vMerge/>
            <w:vAlign w:val="center"/>
          </w:tcPr>
          <w:p w14:paraId="73A77178" w14:textId="77777777" w:rsidR="003F1F7A" w:rsidRPr="00B85D62" w:rsidRDefault="003F1F7A" w:rsidP="0066232B">
            <w:pPr>
              <w:rPr>
                <w:rFonts w:cs="Arial"/>
              </w:rPr>
            </w:pPr>
          </w:p>
        </w:tc>
        <w:tc>
          <w:tcPr>
            <w:tcW w:w="0" w:type="auto"/>
          </w:tcPr>
          <w:p w14:paraId="21382638" w14:textId="098F259C" w:rsidR="3341BD48" w:rsidRPr="00B85D62" w:rsidRDefault="3341BD48" w:rsidP="0066232B">
            <w:pPr>
              <w:rPr>
                <w:rFonts w:eastAsia="Calibri" w:cs="Arial"/>
              </w:rPr>
            </w:pPr>
            <w:r w:rsidRPr="00B85D62">
              <w:rPr>
                <w:rFonts w:eastAsia="Calibri" w:cs="Arial"/>
              </w:rPr>
              <w:t>Age 18</w:t>
            </w:r>
            <w:r w:rsidR="00B85D62" w:rsidRPr="00B85D62">
              <w:rPr>
                <w:rFonts w:eastAsia="Calibri" w:cs="Arial"/>
                <w:color w:val="00B0F0"/>
              </w:rPr>
              <w:t>–</w:t>
            </w:r>
            <w:r w:rsidR="00B85D62" w:rsidRPr="00B85D62">
              <w:rPr>
                <w:rFonts w:eastAsia="Calibri" w:cs="Arial"/>
                <w:color w:val="00B0F0"/>
              </w:rPr>
              <w:t>3</w:t>
            </w:r>
            <w:r w:rsidRPr="00B85D62">
              <w:rPr>
                <w:rFonts w:eastAsia="Calibri" w:cs="Arial"/>
              </w:rPr>
              <w:t>9</w:t>
            </w:r>
          </w:p>
        </w:tc>
        <w:tc>
          <w:tcPr>
            <w:tcW w:w="0" w:type="auto"/>
          </w:tcPr>
          <w:p w14:paraId="35E0966C" w14:textId="3C975A23" w:rsidR="3341BD48" w:rsidRPr="00B85D62" w:rsidRDefault="3341BD48" w:rsidP="0066232B">
            <w:pPr>
              <w:jc w:val="right"/>
              <w:rPr>
                <w:rFonts w:eastAsia="Calibri" w:cs="Arial"/>
                <w:color w:val="000000" w:themeColor="text1"/>
              </w:rPr>
            </w:pPr>
            <w:r w:rsidRPr="00B85D62">
              <w:rPr>
                <w:rFonts w:eastAsia="Calibri" w:cs="Arial"/>
                <w:color w:val="000000" w:themeColor="text1"/>
              </w:rPr>
              <w:t>35%</w:t>
            </w:r>
          </w:p>
        </w:tc>
        <w:tc>
          <w:tcPr>
            <w:tcW w:w="0" w:type="auto"/>
            <w:vMerge/>
            <w:vAlign w:val="center"/>
          </w:tcPr>
          <w:p w14:paraId="44349299" w14:textId="77777777" w:rsidR="003F1F7A" w:rsidRPr="00B85D62" w:rsidRDefault="003F1F7A" w:rsidP="0066232B">
            <w:pPr>
              <w:rPr>
                <w:rFonts w:cs="Arial"/>
              </w:rPr>
            </w:pPr>
          </w:p>
        </w:tc>
      </w:tr>
      <w:tr w:rsidR="3341BD48" w:rsidRPr="00B85D62" w14:paraId="4234D5E6" w14:textId="77777777" w:rsidTr="00B85D62">
        <w:trPr>
          <w:cantSplit/>
        </w:trPr>
        <w:tc>
          <w:tcPr>
            <w:tcW w:w="0" w:type="auto"/>
            <w:vMerge/>
            <w:vAlign w:val="center"/>
          </w:tcPr>
          <w:p w14:paraId="7A76088F" w14:textId="77777777" w:rsidR="003F1F7A" w:rsidRPr="00B85D62" w:rsidRDefault="003F1F7A" w:rsidP="0066232B">
            <w:pPr>
              <w:rPr>
                <w:rFonts w:cs="Arial"/>
              </w:rPr>
            </w:pPr>
          </w:p>
        </w:tc>
        <w:tc>
          <w:tcPr>
            <w:tcW w:w="0" w:type="auto"/>
          </w:tcPr>
          <w:p w14:paraId="19961C73" w14:textId="54E014A0" w:rsidR="3341BD48" w:rsidRPr="00B85D62" w:rsidRDefault="3341BD48" w:rsidP="0066232B">
            <w:pPr>
              <w:rPr>
                <w:rFonts w:eastAsia="Calibri" w:cs="Arial"/>
              </w:rPr>
            </w:pPr>
            <w:r w:rsidRPr="00B85D62">
              <w:rPr>
                <w:rFonts w:eastAsia="Calibri" w:cs="Arial"/>
              </w:rPr>
              <w:t>Age 40</w:t>
            </w:r>
            <w:r w:rsidR="00B85D62" w:rsidRPr="00B85D62">
              <w:rPr>
                <w:rFonts w:eastAsia="Calibri" w:cs="Arial"/>
                <w:color w:val="00B0F0"/>
              </w:rPr>
              <w:t>–</w:t>
            </w:r>
            <w:r w:rsidR="00B85D62" w:rsidRPr="00B85D62">
              <w:rPr>
                <w:rFonts w:eastAsia="Calibri" w:cs="Arial"/>
                <w:color w:val="00B0F0"/>
              </w:rPr>
              <w:t>5</w:t>
            </w:r>
            <w:r w:rsidRPr="00B85D62">
              <w:rPr>
                <w:rFonts w:eastAsia="Calibri" w:cs="Arial"/>
              </w:rPr>
              <w:t>9</w:t>
            </w:r>
          </w:p>
        </w:tc>
        <w:tc>
          <w:tcPr>
            <w:tcW w:w="0" w:type="auto"/>
          </w:tcPr>
          <w:p w14:paraId="57670686" w14:textId="0B8B2C31" w:rsidR="3341BD48" w:rsidRPr="00B85D62" w:rsidRDefault="3341BD48" w:rsidP="0066232B">
            <w:pPr>
              <w:jc w:val="right"/>
              <w:rPr>
                <w:rFonts w:eastAsia="Calibri" w:cs="Arial"/>
                <w:color w:val="000000" w:themeColor="text1"/>
              </w:rPr>
            </w:pPr>
            <w:r w:rsidRPr="00B85D62">
              <w:rPr>
                <w:rFonts w:eastAsia="Calibri" w:cs="Arial"/>
                <w:color w:val="000000" w:themeColor="text1"/>
              </w:rPr>
              <w:t>26%</w:t>
            </w:r>
          </w:p>
        </w:tc>
        <w:tc>
          <w:tcPr>
            <w:tcW w:w="0" w:type="auto"/>
            <w:vMerge/>
            <w:vAlign w:val="center"/>
          </w:tcPr>
          <w:p w14:paraId="684EEA5F" w14:textId="77777777" w:rsidR="003F1F7A" w:rsidRPr="00B85D62" w:rsidRDefault="003F1F7A" w:rsidP="0066232B">
            <w:pPr>
              <w:rPr>
                <w:rFonts w:cs="Arial"/>
              </w:rPr>
            </w:pPr>
          </w:p>
        </w:tc>
      </w:tr>
      <w:tr w:rsidR="3341BD48" w:rsidRPr="00B85D62" w14:paraId="1C80D5DC" w14:textId="77777777" w:rsidTr="00B85D62">
        <w:trPr>
          <w:cantSplit/>
        </w:trPr>
        <w:tc>
          <w:tcPr>
            <w:tcW w:w="0" w:type="auto"/>
            <w:vMerge/>
            <w:vAlign w:val="center"/>
          </w:tcPr>
          <w:p w14:paraId="69480DEE" w14:textId="77777777" w:rsidR="003F1F7A" w:rsidRPr="00B85D62" w:rsidRDefault="003F1F7A" w:rsidP="0066232B">
            <w:pPr>
              <w:rPr>
                <w:rFonts w:cs="Arial"/>
              </w:rPr>
            </w:pPr>
          </w:p>
        </w:tc>
        <w:tc>
          <w:tcPr>
            <w:tcW w:w="0" w:type="auto"/>
          </w:tcPr>
          <w:p w14:paraId="18B6EC3B" w14:textId="31D54A28" w:rsidR="3341BD48" w:rsidRPr="00B85D62" w:rsidRDefault="3341BD48" w:rsidP="0066232B">
            <w:pPr>
              <w:rPr>
                <w:rFonts w:eastAsia="Calibri" w:cs="Arial"/>
              </w:rPr>
            </w:pPr>
            <w:r w:rsidRPr="00B85D62">
              <w:rPr>
                <w:rFonts w:eastAsia="Calibri" w:cs="Arial"/>
              </w:rPr>
              <w:t>Age 6</w:t>
            </w:r>
            <w:r w:rsidR="00B85D62" w:rsidRPr="00B85D62">
              <w:rPr>
                <w:rFonts w:eastAsia="Calibri" w:cs="Arial"/>
                <w:color w:val="00B0F0"/>
              </w:rPr>
              <w:t>0</w:t>
            </w:r>
            <w:r w:rsidR="00B85D62" w:rsidRPr="00B85D62">
              <w:rPr>
                <w:rFonts w:eastAsia="Calibri" w:cs="Arial"/>
                <w:color w:val="00B0F0"/>
              </w:rPr>
              <w:t> </w:t>
            </w:r>
            <w:r w:rsidR="00B85D62" w:rsidRPr="00B85D62">
              <w:rPr>
                <w:rFonts w:eastAsia="Calibri" w:cs="Arial"/>
                <w:color w:val="00B0F0"/>
              </w:rPr>
              <w:t>+</w:t>
            </w:r>
          </w:p>
        </w:tc>
        <w:tc>
          <w:tcPr>
            <w:tcW w:w="0" w:type="auto"/>
          </w:tcPr>
          <w:p w14:paraId="336A3574" w14:textId="78F84D77" w:rsidR="3341BD48" w:rsidRPr="00B85D62" w:rsidRDefault="3341BD48" w:rsidP="0066232B">
            <w:pPr>
              <w:jc w:val="right"/>
              <w:rPr>
                <w:rFonts w:eastAsia="Calibri" w:cs="Arial"/>
                <w:color w:val="000000" w:themeColor="text1"/>
              </w:rPr>
            </w:pPr>
            <w:r w:rsidRPr="00B85D62">
              <w:rPr>
                <w:rFonts w:eastAsia="Calibri" w:cs="Arial"/>
                <w:color w:val="000000" w:themeColor="text1"/>
              </w:rPr>
              <w:t>15%</w:t>
            </w:r>
          </w:p>
        </w:tc>
        <w:tc>
          <w:tcPr>
            <w:tcW w:w="0" w:type="auto"/>
            <w:vMerge/>
            <w:vAlign w:val="center"/>
          </w:tcPr>
          <w:p w14:paraId="69139163" w14:textId="77777777" w:rsidR="003F1F7A" w:rsidRPr="00B85D62" w:rsidRDefault="003F1F7A" w:rsidP="0066232B">
            <w:pPr>
              <w:rPr>
                <w:rFonts w:cs="Arial"/>
              </w:rPr>
            </w:pPr>
          </w:p>
        </w:tc>
      </w:tr>
      <w:tr w:rsidR="3341BD48" w:rsidRPr="00B85D62" w14:paraId="27F68FF3" w14:textId="77777777" w:rsidTr="00B85D62">
        <w:trPr>
          <w:cantSplit/>
        </w:trPr>
        <w:tc>
          <w:tcPr>
            <w:tcW w:w="0" w:type="auto"/>
            <w:vMerge w:val="restart"/>
          </w:tcPr>
          <w:p w14:paraId="2607DCD9" w14:textId="072850BF" w:rsidR="3341BD48" w:rsidRPr="00B85D62" w:rsidRDefault="3341BD48" w:rsidP="0066232B">
            <w:pPr>
              <w:rPr>
                <w:rFonts w:eastAsia="Calibri" w:cs="Arial"/>
              </w:rPr>
            </w:pPr>
            <w:r w:rsidRPr="00B85D62">
              <w:rPr>
                <w:rFonts w:eastAsia="Calibri" w:cs="Arial"/>
              </w:rPr>
              <w:t>Odds ratios to calculate the probability that relatives are tested given they were contacted</w:t>
            </w:r>
          </w:p>
        </w:tc>
        <w:tc>
          <w:tcPr>
            <w:tcW w:w="0" w:type="auto"/>
          </w:tcPr>
          <w:p w14:paraId="31F68508" w14:textId="233C2575" w:rsidR="3341BD48" w:rsidRPr="00B85D62" w:rsidRDefault="3341BD48" w:rsidP="0066232B">
            <w:pPr>
              <w:rPr>
                <w:rFonts w:eastAsia="Calibri" w:cs="Arial"/>
              </w:rPr>
            </w:pPr>
            <w:r w:rsidRPr="00B85D62">
              <w:rPr>
                <w:rFonts w:eastAsia="Calibri" w:cs="Arial"/>
              </w:rPr>
              <w:t>Females vs males</w:t>
            </w:r>
          </w:p>
        </w:tc>
        <w:tc>
          <w:tcPr>
            <w:tcW w:w="0" w:type="auto"/>
            <w:vAlign w:val="bottom"/>
          </w:tcPr>
          <w:p w14:paraId="13E62DE2" w14:textId="49BABC89" w:rsidR="3341BD48" w:rsidRPr="00B85D62" w:rsidRDefault="3341BD48" w:rsidP="0066232B">
            <w:pPr>
              <w:jc w:val="right"/>
              <w:rPr>
                <w:rFonts w:eastAsia="Calibri" w:cs="Arial"/>
                <w:color w:val="000000" w:themeColor="text1"/>
              </w:rPr>
            </w:pPr>
            <w:r w:rsidRPr="00B85D62">
              <w:rPr>
                <w:rFonts w:eastAsia="Calibri" w:cs="Arial"/>
                <w:color w:val="000000" w:themeColor="text1"/>
              </w:rPr>
              <w:t>1.55</w:t>
            </w:r>
          </w:p>
        </w:tc>
        <w:tc>
          <w:tcPr>
            <w:tcW w:w="0" w:type="auto"/>
            <w:vMerge/>
            <w:vAlign w:val="center"/>
          </w:tcPr>
          <w:p w14:paraId="278A6885" w14:textId="77777777" w:rsidR="003F1F7A" w:rsidRPr="00B85D62" w:rsidRDefault="003F1F7A" w:rsidP="0066232B">
            <w:pPr>
              <w:rPr>
                <w:rFonts w:cs="Arial"/>
              </w:rPr>
            </w:pPr>
          </w:p>
        </w:tc>
      </w:tr>
      <w:tr w:rsidR="3341BD48" w:rsidRPr="00B85D62" w14:paraId="77D92C99" w14:textId="77777777" w:rsidTr="00B85D62">
        <w:trPr>
          <w:cantSplit/>
        </w:trPr>
        <w:tc>
          <w:tcPr>
            <w:tcW w:w="0" w:type="auto"/>
            <w:vMerge/>
            <w:vAlign w:val="center"/>
          </w:tcPr>
          <w:p w14:paraId="43042055" w14:textId="77777777" w:rsidR="003F1F7A" w:rsidRPr="00B85D62" w:rsidRDefault="003F1F7A" w:rsidP="0066232B">
            <w:pPr>
              <w:rPr>
                <w:rFonts w:cs="Arial"/>
              </w:rPr>
            </w:pPr>
          </w:p>
        </w:tc>
        <w:tc>
          <w:tcPr>
            <w:tcW w:w="0" w:type="auto"/>
          </w:tcPr>
          <w:p w14:paraId="4731821D" w14:textId="7BEFE9ED" w:rsidR="3341BD48" w:rsidRPr="00B85D62" w:rsidRDefault="00B85D62" w:rsidP="0066232B">
            <w:pPr>
              <w:rPr>
                <w:rFonts w:eastAsia="Calibri" w:cs="Arial"/>
              </w:rPr>
            </w:pPr>
            <w:r w:rsidRPr="00B85D62">
              <w:rPr>
                <w:rFonts w:eastAsia="Calibri" w:cs="Arial"/>
                <w:color w:val="00B0F0"/>
              </w:rPr>
              <w:t>1st</w:t>
            </w:r>
            <w:r w:rsidR="3341BD48" w:rsidRPr="00B85D62">
              <w:rPr>
                <w:rFonts w:eastAsia="Calibri" w:cs="Arial"/>
              </w:rPr>
              <w:t xml:space="preserve"> degree vs </w:t>
            </w:r>
            <w:r w:rsidRPr="00B85D62">
              <w:rPr>
                <w:rFonts w:eastAsia="Calibri" w:cs="Arial"/>
                <w:color w:val="00B0F0"/>
              </w:rPr>
              <w:t>2nd</w:t>
            </w:r>
            <w:r w:rsidR="3341BD48" w:rsidRPr="00B85D62">
              <w:rPr>
                <w:rFonts w:eastAsia="Calibri" w:cs="Arial"/>
              </w:rPr>
              <w:t>+ degree</w:t>
            </w:r>
          </w:p>
        </w:tc>
        <w:tc>
          <w:tcPr>
            <w:tcW w:w="0" w:type="auto"/>
            <w:vAlign w:val="bottom"/>
          </w:tcPr>
          <w:p w14:paraId="62170E60" w14:textId="7FF6ACC1" w:rsidR="3341BD48" w:rsidRPr="00B85D62" w:rsidRDefault="3341BD48" w:rsidP="0066232B">
            <w:pPr>
              <w:jc w:val="right"/>
              <w:rPr>
                <w:rFonts w:eastAsia="Calibri" w:cs="Arial"/>
                <w:color w:val="000000" w:themeColor="text1"/>
              </w:rPr>
            </w:pPr>
            <w:r w:rsidRPr="00B85D62">
              <w:rPr>
                <w:rFonts w:eastAsia="Calibri" w:cs="Arial"/>
                <w:color w:val="000000" w:themeColor="text1"/>
              </w:rPr>
              <w:t>1.55</w:t>
            </w:r>
          </w:p>
        </w:tc>
        <w:tc>
          <w:tcPr>
            <w:tcW w:w="0" w:type="auto"/>
            <w:vMerge/>
            <w:vAlign w:val="center"/>
          </w:tcPr>
          <w:p w14:paraId="69C8FDC3" w14:textId="77777777" w:rsidR="003F1F7A" w:rsidRPr="00B85D62" w:rsidRDefault="003F1F7A" w:rsidP="0066232B">
            <w:pPr>
              <w:rPr>
                <w:rFonts w:cs="Arial"/>
              </w:rPr>
            </w:pPr>
          </w:p>
        </w:tc>
      </w:tr>
      <w:tr w:rsidR="3341BD48" w:rsidRPr="00B85D62" w14:paraId="5DF01D1C" w14:textId="77777777" w:rsidTr="00B85D62">
        <w:trPr>
          <w:cantSplit/>
        </w:trPr>
        <w:tc>
          <w:tcPr>
            <w:tcW w:w="0" w:type="auto"/>
            <w:vMerge/>
            <w:vAlign w:val="center"/>
          </w:tcPr>
          <w:p w14:paraId="56E42B2D" w14:textId="77777777" w:rsidR="003F1F7A" w:rsidRPr="00B85D62" w:rsidRDefault="003F1F7A" w:rsidP="0066232B">
            <w:pPr>
              <w:rPr>
                <w:rFonts w:cs="Arial"/>
              </w:rPr>
            </w:pPr>
          </w:p>
        </w:tc>
        <w:tc>
          <w:tcPr>
            <w:tcW w:w="0" w:type="auto"/>
          </w:tcPr>
          <w:p w14:paraId="4474D6DA" w14:textId="1ECD4360" w:rsidR="3341BD48" w:rsidRPr="00B85D62" w:rsidRDefault="3341BD48" w:rsidP="0066232B">
            <w:pPr>
              <w:rPr>
                <w:rFonts w:eastAsia="Calibri" w:cs="Arial"/>
              </w:rPr>
            </w:pPr>
            <w:r w:rsidRPr="00B85D62">
              <w:rPr>
                <w:rFonts w:eastAsia="Calibri" w:cs="Arial"/>
              </w:rPr>
              <w:t>Direct vs indirect</w:t>
            </w:r>
          </w:p>
        </w:tc>
        <w:tc>
          <w:tcPr>
            <w:tcW w:w="0" w:type="auto"/>
            <w:vAlign w:val="bottom"/>
          </w:tcPr>
          <w:p w14:paraId="60BBD14A" w14:textId="26EB7EFD" w:rsidR="3341BD48" w:rsidRPr="00B85D62" w:rsidRDefault="3341BD48" w:rsidP="0066232B">
            <w:pPr>
              <w:jc w:val="right"/>
              <w:rPr>
                <w:rFonts w:eastAsia="Calibri" w:cs="Arial"/>
                <w:color w:val="000000" w:themeColor="text1"/>
              </w:rPr>
            </w:pPr>
            <w:r w:rsidRPr="00B85D62">
              <w:rPr>
                <w:rFonts w:eastAsia="Calibri" w:cs="Arial"/>
                <w:color w:val="000000" w:themeColor="text1"/>
              </w:rPr>
              <w:t>2.11</w:t>
            </w:r>
          </w:p>
        </w:tc>
        <w:tc>
          <w:tcPr>
            <w:tcW w:w="0" w:type="auto"/>
            <w:vMerge/>
            <w:vAlign w:val="center"/>
          </w:tcPr>
          <w:p w14:paraId="78211FA4" w14:textId="77777777" w:rsidR="003F1F7A" w:rsidRPr="00B85D62" w:rsidRDefault="003F1F7A" w:rsidP="0066232B">
            <w:pPr>
              <w:rPr>
                <w:rFonts w:cs="Arial"/>
              </w:rPr>
            </w:pPr>
          </w:p>
        </w:tc>
      </w:tr>
      <w:tr w:rsidR="3341BD48" w:rsidRPr="00B85D62" w14:paraId="26B45A19" w14:textId="77777777" w:rsidTr="00B85D62">
        <w:trPr>
          <w:cantSplit/>
        </w:trPr>
        <w:tc>
          <w:tcPr>
            <w:tcW w:w="0" w:type="auto"/>
            <w:vMerge/>
            <w:vAlign w:val="center"/>
          </w:tcPr>
          <w:p w14:paraId="14C40418" w14:textId="77777777" w:rsidR="003F1F7A" w:rsidRPr="00B85D62" w:rsidRDefault="003F1F7A" w:rsidP="0066232B">
            <w:pPr>
              <w:rPr>
                <w:rFonts w:cs="Arial"/>
              </w:rPr>
            </w:pPr>
          </w:p>
        </w:tc>
        <w:tc>
          <w:tcPr>
            <w:tcW w:w="0" w:type="auto"/>
          </w:tcPr>
          <w:p w14:paraId="04415779" w14:textId="32705648" w:rsidR="3341BD48" w:rsidRPr="00B85D62" w:rsidRDefault="3341BD48" w:rsidP="0066232B">
            <w:pPr>
              <w:rPr>
                <w:rFonts w:eastAsia="Calibri" w:cs="Arial"/>
              </w:rPr>
            </w:pPr>
            <w:r w:rsidRPr="00B85D62">
              <w:rPr>
                <w:rFonts w:eastAsia="Calibri" w:cs="Arial"/>
              </w:rPr>
              <w:t xml:space="preserve">Relatives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rPr>
              <w:t>18 vs &gt;= 18 years of age</w:t>
            </w:r>
          </w:p>
        </w:tc>
        <w:tc>
          <w:tcPr>
            <w:tcW w:w="0" w:type="auto"/>
            <w:vAlign w:val="bottom"/>
          </w:tcPr>
          <w:p w14:paraId="191EA33D" w14:textId="096E56B6" w:rsidR="3341BD48" w:rsidRPr="00B85D62" w:rsidRDefault="3341BD48" w:rsidP="0066232B">
            <w:pPr>
              <w:jc w:val="right"/>
              <w:rPr>
                <w:rFonts w:eastAsia="Calibri" w:cs="Arial"/>
                <w:color w:val="000000" w:themeColor="text1"/>
              </w:rPr>
            </w:pPr>
            <w:r w:rsidRPr="00B85D62">
              <w:rPr>
                <w:rFonts w:eastAsia="Calibri" w:cs="Arial"/>
                <w:color w:val="000000" w:themeColor="text1"/>
              </w:rPr>
              <w:t>2.67</w:t>
            </w:r>
          </w:p>
        </w:tc>
        <w:tc>
          <w:tcPr>
            <w:tcW w:w="0" w:type="auto"/>
            <w:vMerge/>
            <w:vAlign w:val="center"/>
          </w:tcPr>
          <w:p w14:paraId="6E51925B" w14:textId="77777777" w:rsidR="003F1F7A" w:rsidRPr="00B85D62" w:rsidRDefault="003F1F7A" w:rsidP="0066232B">
            <w:pPr>
              <w:rPr>
                <w:rFonts w:cs="Arial"/>
              </w:rPr>
            </w:pPr>
          </w:p>
        </w:tc>
      </w:tr>
      <w:tr w:rsidR="3341BD48" w:rsidRPr="00B85D62" w14:paraId="5DDE734D" w14:textId="77777777" w:rsidTr="00B85D62">
        <w:trPr>
          <w:cantSplit/>
        </w:trPr>
        <w:tc>
          <w:tcPr>
            <w:tcW w:w="0" w:type="auto"/>
            <w:vMerge w:val="restart"/>
          </w:tcPr>
          <w:p w14:paraId="2E038726" w14:textId="16F06F4D" w:rsidR="3341BD48" w:rsidRPr="00B85D62" w:rsidRDefault="3341BD48" w:rsidP="0066232B">
            <w:pPr>
              <w:rPr>
                <w:rFonts w:eastAsia="Calibri" w:cs="Arial"/>
              </w:rPr>
            </w:pPr>
            <w:r w:rsidRPr="00B85D62">
              <w:rPr>
                <w:rFonts w:eastAsia="Calibri" w:cs="Arial"/>
              </w:rPr>
              <w:t>Number of relatives</w:t>
            </w:r>
          </w:p>
        </w:tc>
        <w:tc>
          <w:tcPr>
            <w:tcW w:w="0" w:type="auto"/>
          </w:tcPr>
          <w:p w14:paraId="4D5CC711" w14:textId="6F43AF4E" w:rsidR="3341BD48" w:rsidRPr="00B85D62" w:rsidRDefault="3341BD48" w:rsidP="0066232B">
            <w:pPr>
              <w:rPr>
                <w:rFonts w:eastAsia="Calibri" w:cs="Arial"/>
              </w:rPr>
            </w:pPr>
            <w:r w:rsidRPr="00B85D62">
              <w:rPr>
                <w:rFonts w:eastAsia="Calibri" w:cs="Arial"/>
              </w:rPr>
              <w:t xml:space="preserve">Number of </w:t>
            </w:r>
            <w:r w:rsidR="00B85D62" w:rsidRPr="00B85D62">
              <w:rPr>
                <w:rFonts w:eastAsia="Calibri" w:cs="Arial"/>
                <w:color w:val="00B0F0"/>
              </w:rPr>
              <w:t>1st</w:t>
            </w:r>
            <w:r w:rsidRPr="00B85D62">
              <w:rPr>
                <w:rFonts w:eastAsia="Calibri" w:cs="Arial"/>
              </w:rPr>
              <w:t xml:space="preserve"> degree relatives contacted per index selected to the cascade</w:t>
            </w:r>
          </w:p>
        </w:tc>
        <w:tc>
          <w:tcPr>
            <w:tcW w:w="0" w:type="auto"/>
            <w:vAlign w:val="bottom"/>
          </w:tcPr>
          <w:p w14:paraId="645BD39D" w14:textId="31C3AA28" w:rsidR="3341BD48" w:rsidRPr="00B85D62" w:rsidRDefault="3341BD48" w:rsidP="0066232B">
            <w:pPr>
              <w:jc w:val="right"/>
              <w:rPr>
                <w:rFonts w:eastAsia="Calibri" w:cs="Arial"/>
                <w:color w:val="000000" w:themeColor="text1"/>
              </w:rPr>
            </w:pPr>
            <w:r w:rsidRPr="00B85D62">
              <w:rPr>
                <w:rFonts w:eastAsia="Calibri" w:cs="Arial"/>
                <w:color w:val="000000" w:themeColor="text1"/>
              </w:rPr>
              <w:t>2.20</w:t>
            </w:r>
          </w:p>
        </w:tc>
        <w:tc>
          <w:tcPr>
            <w:tcW w:w="0" w:type="auto"/>
            <w:vMerge/>
            <w:vAlign w:val="center"/>
          </w:tcPr>
          <w:p w14:paraId="15BE35B3" w14:textId="77777777" w:rsidR="003F1F7A" w:rsidRPr="00B85D62" w:rsidRDefault="003F1F7A" w:rsidP="0066232B">
            <w:pPr>
              <w:rPr>
                <w:rFonts w:cs="Arial"/>
              </w:rPr>
            </w:pPr>
          </w:p>
        </w:tc>
      </w:tr>
      <w:tr w:rsidR="3341BD48" w:rsidRPr="00B85D62" w14:paraId="44EB907F" w14:textId="77777777" w:rsidTr="00B85D62">
        <w:trPr>
          <w:cantSplit/>
        </w:trPr>
        <w:tc>
          <w:tcPr>
            <w:tcW w:w="0" w:type="auto"/>
            <w:vMerge/>
            <w:vAlign w:val="center"/>
          </w:tcPr>
          <w:p w14:paraId="4FBE689C" w14:textId="77777777" w:rsidR="003F1F7A" w:rsidRPr="00B85D62" w:rsidRDefault="003F1F7A" w:rsidP="0066232B">
            <w:pPr>
              <w:rPr>
                <w:rFonts w:cs="Arial"/>
              </w:rPr>
            </w:pPr>
          </w:p>
        </w:tc>
        <w:tc>
          <w:tcPr>
            <w:tcW w:w="0" w:type="auto"/>
          </w:tcPr>
          <w:p w14:paraId="2C58CE9E" w14:textId="6D781A54" w:rsidR="3341BD48" w:rsidRPr="00B85D62" w:rsidRDefault="3341BD48" w:rsidP="0066232B">
            <w:pPr>
              <w:rPr>
                <w:rFonts w:eastAsia="Calibri" w:cs="Arial"/>
              </w:rPr>
            </w:pPr>
            <w:r w:rsidRPr="00B85D62">
              <w:rPr>
                <w:rFonts w:eastAsia="Calibri" w:cs="Arial"/>
              </w:rPr>
              <w:t xml:space="preserve">Number of </w:t>
            </w:r>
            <w:r w:rsidR="00B85D62" w:rsidRPr="00B85D62">
              <w:rPr>
                <w:rFonts w:eastAsia="Calibri" w:cs="Arial"/>
                <w:color w:val="00B0F0"/>
              </w:rPr>
              <w:t>2nd</w:t>
            </w:r>
            <w:r w:rsidRPr="00B85D62">
              <w:rPr>
                <w:rFonts w:eastAsia="Calibri" w:cs="Arial"/>
              </w:rPr>
              <w:t xml:space="preserve"> degree relatives contacted per </w:t>
            </w:r>
            <w:r w:rsidR="00B85D62" w:rsidRPr="00B85D62">
              <w:rPr>
                <w:rFonts w:eastAsia="Calibri" w:cs="Arial"/>
                <w:color w:val="00B0F0"/>
              </w:rPr>
              <w:t>1st</w:t>
            </w:r>
            <w:r w:rsidRPr="00B85D62">
              <w:rPr>
                <w:rFonts w:eastAsia="Calibri" w:cs="Arial"/>
              </w:rPr>
              <w:t xml:space="preserve"> degree relative diagnosed with FH</w:t>
            </w:r>
          </w:p>
        </w:tc>
        <w:tc>
          <w:tcPr>
            <w:tcW w:w="0" w:type="auto"/>
            <w:vAlign w:val="bottom"/>
          </w:tcPr>
          <w:p w14:paraId="4F0999E4" w14:textId="7C93401C" w:rsidR="3341BD48" w:rsidRPr="00B85D62" w:rsidRDefault="3341BD48" w:rsidP="0066232B">
            <w:pPr>
              <w:jc w:val="right"/>
              <w:rPr>
                <w:rFonts w:eastAsia="Calibri" w:cs="Arial"/>
                <w:color w:val="000000" w:themeColor="text1"/>
              </w:rPr>
            </w:pPr>
            <w:r w:rsidRPr="00B85D62">
              <w:rPr>
                <w:rFonts w:eastAsia="Calibri" w:cs="Arial"/>
                <w:color w:val="000000" w:themeColor="text1"/>
              </w:rPr>
              <w:t>1.79</w:t>
            </w:r>
          </w:p>
        </w:tc>
        <w:tc>
          <w:tcPr>
            <w:tcW w:w="0" w:type="auto"/>
            <w:vMerge/>
            <w:vAlign w:val="center"/>
          </w:tcPr>
          <w:p w14:paraId="2267989C" w14:textId="77777777" w:rsidR="003F1F7A" w:rsidRPr="00B85D62" w:rsidRDefault="003F1F7A" w:rsidP="0066232B">
            <w:pPr>
              <w:rPr>
                <w:rFonts w:cs="Arial"/>
              </w:rPr>
            </w:pPr>
          </w:p>
        </w:tc>
      </w:tr>
      <w:tr w:rsidR="3341BD48" w:rsidRPr="00B85D62" w14:paraId="4BD45EA6" w14:textId="77777777" w:rsidTr="00B85D62">
        <w:trPr>
          <w:cantSplit/>
        </w:trPr>
        <w:tc>
          <w:tcPr>
            <w:tcW w:w="0" w:type="auto"/>
            <w:vMerge w:val="restart"/>
          </w:tcPr>
          <w:p w14:paraId="2600F22B" w14:textId="50F0F3A3" w:rsidR="3341BD48" w:rsidRPr="00B85D62" w:rsidRDefault="269D3CBE" w:rsidP="0066232B">
            <w:pPr>
              <w:rPr>
                <w:rFonts w:eastAsia="Calibri" w:cs="Arial"/>
              </w:rPr>
            </w:pPr>
            <w:r w:rsidRPr="00B85D62">
              <w:rPr>
                <w:rFonts w:eastAsia="Calibri" w:cs="Arial"/>
              </w:rPr>
              <w:t>Probability that FH relatives have prior CV</w:t>
            </w:r>
            <w:r w:rsidR="128024A9" w:rsidRPr="00B85D62">
              <w:rPr>
                <w:rFonts w:eastAsia="Calibri" w:cs="Arial"/>
              </w:rPr>
              <w:t>D</w:t>
            </w:r>
            <w:r w:rsidRPr="00B85D62">
              <w:rPr>
                <w:rFonts w:eastAsia="Calibri" w:cs="Arial"/>
              </w:rPr>
              <w:t xml:space="preserve"> history</w:t>
            </w:r>
          </w:p>
        </w:tc>
        <w:tc>
          <w:tcPr>
            <w:tcW w:w="0" w:type="auto"/>
            <w:vAlign w:val="bottom"/>
          </w:tcPr>
          <w:p w14:paraId="5F98F740" w14:textId="2A121EC1" w:rsidR="3341BD48" w:rsidRPr="00B85D62" w:rsidRDefault="3341BD48" w:rsidP="0066232B">
            <w:pPr>
              <w:rPr>
                <w:rFonts w:eastAsia="Calibri" w:cs="Arial"/>
                <w:color w:val="000000" w:themeColor="text1"/>
              </w:rPr>
            </w:pPr>
            <w:r w:rsidRPr="00B85D62">
              <w:rPr>
                <w:rFonts w:eastAsia="Calibri" w:cs="Arial"/>
                <w:color w:val="000000" w:themeColor="text1"/>
              </w:rPr>
              <w:t>Age 0 to 9</w:t>
            </w:r>
          </w:p>
        </w:tc>
        <w:tc>
          <w:tcPr>
            <w:tcW w:w="0" w:type="auto"/>
            <w:vAlign w:val="bottom"/>
          </w:tcPr>
          <w:p w14:paraId="0AC6C268" w14:textId="25678722" w:rsidR="3341BD48" w:rsidRPr="00B85D62" w:rsidRDefault="3341BD48" w:rsidP="0066232B">
            <w:pPr>
              <w:jc w:val="right"/>
              <w:rPr>
                <w:rFonts w:eastAsia="Calibri" w:cs="Arial"/>
                <w:color w:val="000000" w:themeColor="text1"/>
              </w:rPr>
            </w:pPr>
            <w:r w:rsidRPr="00B85D62">
              <w:rPr>
                <w:rFonts w:eastAsia="Calibri" w:cs="Arial"/>
                <w:color w:val="000000" w:themeColor="text1"/>
              </w:rPr>
              <w:t>0%</w:t>
            </w:r>
          </w:p>
        </w:tc>
        <w:tc>
          <w:tcPr>
            <w:tcW w:w="0" w:type="auto"/>
            <w:vMerge/>
            <w:vAlign w:val="center"/>
          </w:tcPr>
          <w:p w14:paraId="60DCB9B9" w14:textId="77777777" w:rsidR="003F1F7A" w:rsidRPr="00B85D62" w:rsidRDefault="003F1F7A" w:rsidP="0066232B">
            <w:pPr>
              <w:rPr>
                <w:rFonts w:cs="Arial"/>
              </w:rPr>
            </w:pPr>
          </w:p>
        </w:tc>
      </w:tr>
      <w:tr w:rsidR="3341BD48" w:rsidRPr="00B85D62" w14:paraId="7E1542E2" w14:textId="77777777" w:rsidTr="00B85D62">
        <w:trPr>
          <w:cantSplit/>
        </w:trPr>
        <w:tc>
          <w:tcPr>
            <w:tcW w:w="0" w:type="auto"/>
            <w:vMerge/>
            <w:vAlign w:val="center"/>
          </w:tcPr>
          <w:p w14:paraId="00A36B89" w14:textId="77777777" w:rsidR="003F1F7A" w:rsidRPr="00B85D62" w:rsidRDefault="003F1F7A" w:rsidP="0066232B">
            <w:pPr>
              <w:rPr>
                <w:rFonts w:cs="Arial"/>
              </w:rPr>
            </w:pPr>
          </w:p>
        </w:tc>
        <w:tc>
          <w:tcPr>
            <w:tcW w:w="0" w:type="auto"/>
            <w:vAlign w:val="bottom"/>
          </w:tcPr>
          <w:p w14:paraId="0D29DBDD" w14:textId="29271512" w:rsidR="3341BD48" w:rsidRPr="00B85D62" w:rsidRDefault="3341BD48" w:rsidP="0066232B">
            <w:pPr>
              <w:rPr>
                <w:rFonts w:eastAsia="Calibri" w:cs="Arial"/>
                <w:color w:val="000000" w:themeColor="text1"/>
              </w:rPr>
            </w:pPr>
            <w:r w:rsidRPr="00B85D62">
              <w:rPr>
                <w:rFonts w:eastAsia="Calibri" w:cs="Arial"/>
                <w:color w:val="000000" w:themeColor="text1"/>
              </w:rPr>
              <w:t>Age 10 to 17</w:t>
            </w:r>
          </w:p>
        </w:tc>
        <w:tc>
          <w:tcPr>
            <w:tcW w:w="0" w:type="auto"/>
            <w:vAlign w:val="bottom"/>
          </w:tcPr>
          <w:p w14:paraId="0E4E4ED9" w14:textId="778FAE0A" w:rsidR="3341BD48" w:rsidRPr="00B85D62" w:rsidRDefault="3341BD48" w:rsidP="0066232B">
            <w:pPr>
              <w:jc w:val="right"/>
              <w:rPr>
                <w:rFonts w:eastAsia="Calibri" w:cs="Arial"/>
                <w:color w:val="000000" w:themeColor="text1"/>
              </w:rPr>
            </w:pPr>
            <w:r w:rsidRPr="00B85D62">
              <w:rPr>
                <w:rFonts w:eastAsia="Calibri" w:cs="Arial"/>
                <w:color w:val="000000" w:themeColor="text1"/>
              </w:rPr>
              <w:t>0%</w:t>
            </w:r>
          </w:p>
        </w:tc>
        <w:tc>
          <w:tcPr>
            <w:tcW w:w="0" w:type="auto"/>
            <w:vMerge/>
            <w:vAlign w:val="center"/>
          </w:tcPr>
          <w:p w14:paraId="4664A9D6" w14:textId="77777777" w:rsidR="003F1F7A" w:rsidRPr="00B85D62" w:rsidRDefault="003F1F7A" w:rsidP="0066232B">
            <w:pPr>
              <w:rPr>
                <w:rFonts w:cs="Arial"/>
              </w:rPr>
            </w:pPr>
          </w:p>
        </w:tc>
      </w:tr>
      <w:tr w:rsidR="3341BD48" w:rsidRPr="00B85D62" w14:paraId="017D9A6A" w14:textId="77777777" w:rsidTr="00B85D62">
        <w:trPr>
          <w:cantSplit/>
        </w:trPr>
        <w:tc>
          <w:tcPr>
            <w:tcW w:w="0" w:type="auto"/>
            <w:vMerge/>
            <w:vAlign w:val="center"/>
          </w:tcPr>
          <w:p w14:paraId="45346E71" w14:textId="77777777" w:rsidR="003F1F7A" w:rsidRPr="00B85D62" w:rsidRDefault="003F1F7A" w:rsidP="0066232B">
            <w:pPr>
              <w:rPr>
                <w:rFonts w:cs="Arial"/>
              </w:rPr>
            </w:pPr>
          </w:p>
        </w:tc>
        <w:tc>
          <w:tcPr>
            <w:tcW w:w="0" w:type="auto"/>
            <w:vAlign w:val="bottom"/>
          </w:tcPr>
          <w:p w14:paraId="6F7E8CBB" w14:textId="7DF7EC9B" w:rsidR="3341BD48" w:rsidRPr="00B85D62" w:rsidRDefault="3341BD48" w:rsidP="0066232B">
            <w:pPr>
              <w:rPr>
                <w:rFonts w:eastAsia="Calibri" w:cs="Arial"/>
                <w:color w:val="000000" w:themeColor="text1"/>
              </w:rPr>
            </w:pPr>
            <w:r w:rsidRPr="00B85D62">
              <w:rPr>
                <w:rFonts w:eastAsia="Calibri" w:cs="Arial"/>
                <w:color w:val="000000" w:themeColor="text1"/>
              </w:rPr>
              <w:t>Age 18</w:t>
            </w:r>
            <w:r w:rsidR="00B85D62" w:rsidRPr="00B85D62">
              <w:rPr>
                <w:rFonts w:eastAsia="Calibri" w:cs="Arial"/>
                <w:color w:val="00B0F0"/>
              </w:rPr>
              <w:t>–</w:t>
            </w:r>
            <w:r w:rsidR="00B85D62" w:rsidRPr="00B85D62">
              <w:rPr>
                <w:rFonts w:eastAsia="Calibri" w:cs="Arial"/>
                <w:color w:val="00B0F0"/>
              </w:rPr>
              <w:t>3</w:t>
            </w:r>
            <w:r w:rsidRPr="00B85D62">
              <w:rPr>
                <w:rFonts w:eastAsia="Calibri" w:cs="Arial"/>
                <w:color w:val="000000" w:themeColor="text1"/>
              </w:rPr>
              <w:t>9</w:t>
            </w:r>
          </w:p>
        </w:tc>
        <w:tc>
          <w:tcPr>
            <w:tcW w:w="0" w:type="auto"/>
            <w:vAlign w:val="bottom"/>
          </w:tcPr>
          <w:p w14:paraId="5C369E79" w14:textId="592295DE" w:rsidR="3341BD48" w:rsidRPr="00B85D62" w:rsidRDefault="3341BD48" w:rsidP="0066232B">
            <w:pPr>
              <w:jc w:val="right"/>
              <w:rPr>
                <w:rFonts w:eastAsia="Calibri" w:cs="Arial"/>
                <w:color w:val="000000" w:themeColor="text1"/>
              </w:rPr>
            </w:pPr>
            <w:r w:rsidRPr="00B85D62">
              <w:rPr>
                <w:rFonts w:eastAsia="Calibri" w:cs="Arial"/>
                <w:color w:val="000000" w:themeColor="text1"/>
              </w:rPr>
              <w:t>2%</w:t>
            </w:r>
          </w:p>
        </w:tc>
        <w:tc>
          <w:tcPr>
            <w:tcW w:w="0" w:type="auto"/>
            <w:vMerge/>
            <w:vAlign w:val="center"/>
          </w:tcPr>
          <w:p w14:paraId="5AD41386" w14:textId="77777777" w:rsidR="003F1F7A" w:rsidRPr="00B85D62" w:rsidRDefault="003F1F7A" w:rsidP="0066232B">
            <w:pPr>
              <w:rPr>
                <w:rFonts w:cs="Arial"/>
              </w:rPr>
            </w:pPr>
          </w:p>
        </w:tc>
      </w:tr>
      <w:tr w:rsidR="3341BD48" w:rsidRPr="00B85D62" w14:paraId="14532CD7" w14:textId="77777777" w:rsidTr="00B85D62">
        <w:trPr>
          <w:cantSplit/>
        </w:trPr>
        <w:tc>
          <w:tcPr>
            <w:tcW w:w="0" w:type="auto"/>
            <w:vMerge/>
            <w:vAlign w:val="center"/>
          </w:tcPr>
          <w:p w14:paraId="08F5FE31" w14:textId="77777777" w:rsidR="003F1F7A" w:rsidRPr="00B85D62" w:rsidRDefault="003F1F7A" w:rsidP="0066232B">
            <w:pPr>
              <w:rPr>
                <w:rFonts w:cs="Arial"/>
              </w:rPr>
            </w:pPr>
          </w:p>
        </w:tc>
        <w:tc>
          <w:tcPr>
            <w:tcW w:w="0" w:type="auto"/>
            <w:vAlign w:val="bottom"/>
          </w:tcPr>
          <w:p w14:paraId="3FB20598" w14:textId="2E405C04" w:rsidR="3341BD48" w:rsidRPr="00B85D62" w:rsidRDefault="3341BD48" w:rsidP="0066232B">
            <w:pPr>
              <w:rPr>
                <w:rFonts w:eastAsia="Calibri" w:cs="Arial"/>
                <w:color w:val="000000" w:themeColor="text1"/>
              </w:rPr>
            </w:pPr>
            <w:r w:rsidRPr="00B85D62">
              <w:rPr>
                <w:rFonts w:eastAsia="Calibri" w:cs="Arial"/>
                <w:color w:val="000000" w:themeColor="text1"/>
              </w:rPr>
              <w:t>Age 40</w:t>
            </w:r>
            <w:r w:rsidR="00B85D62" w:rsidRPr="00B85D62">
              <w:rPr>
                <w:rFonts w:eastAsia="Calibri" w:cs="Arial"/>
                <w:color w:val="00B0F0"/>
              </w:rPr>
              <w:t>–</w:t>
            </w:r>
            <w:r w:rsidR="00B85D62" w:rsidRPr="00B85D62">
              <w:rPr>
                <w:rFonts w:eastAsia="Calibri" w:cs="Arial"/>
                <w:color w:val="00B0F0"/>
              </w:rPr>
              <w:t>5</w:t>
            </w:r>
            <w:r w:rsidRPr="00B85D62">
              <w:rPr>
                <w:rFonts w:eastAsia="Calibri" w:cs="Arial"/>
                <w:color w:val="000000" w:themeColor="text1"/>
              </w:rPr>
              <w:t>9</w:t>
            </w:r>
          </w:p>
        </w:tc>
        <w:tc>
          <w:tcPr>
            <w:tcW w:w="0" w:type="auto"/>
            <w:vAlign w:val="bottom"/>
          </w:tcPr>
          <w:p w14:paraId="37D4EAF1" w14:textId="5FABD0FF" w:rsidR="3341BD48" w:rsidRPr="00B85D62" w:rsidRDefault="3341BD48" w:rsidP="0066232B">
            <w:pPr>
              <w:jc w:val="right"/>
              <w:rPr>
                <w:rFonts w:eastAsia="Calibri" w:cs="Arial"/>
                <w:color w:val="000000" w:themeColor="text1"/>
              </w:rPr>
            </w:pPr>
            <w:r w:rsidRPr="00B85D62">
              <w:rPr>
                <w:rFonts w:eastAsia="Calibri" w:cs="Arial"/>
                <w:color w:val="000000" w:themeColor="text1"/>
              </w:rPr>
              <w:t>14%</w:t>
            </w:r>
          </w:p>
        </w:tc>
        <w:tc>
          <w:tcPr>
            <w:tcW w:w="0" w:type="auto"/>
            <w:vMerge/>
            <w:vAlign w:val="center"/>
          </w:tcPr>
          <w:p w14:paraId="1C2E92F1" w14:textId="77777777" w:rsidR="003F1F7A" w:rsidRPr="00B85D62" w:rsidRDefault="003F1F7A" w:rsidP="0066232B">
            <w:pPr>
              <w:rPr>
                <w:rFonts w:cs="Arial"/>
              </w:rPr>
            </w:pPr>
          </w:p>
        </w:tc>
      </w:tr>
      <w:tr w:rsidR="3341BD48" w:rsidRPr="00B85D62" w14:paraId="7A2A85DE" w14:textId="77777777" w:rsidTr="00B85D62">
        <w:trPr>
          <w:cantSplit/>
        </w:trPr>
        <w:tc>
          <w:tcPr>
            <w:tcW w:w="0" w:type="auto"/>
            <w:vMerge/>
            <w:vAlign w:val="center"/>
          </w:tcPr>
          <w:p w14:paraId="07B21C46" w14:textId="77777777" w:rsidR="003F1F7A" w:rsidRPr="00B85D62" w:rsidRDefault="003F1F7A" w:rsidP="0066232B">
            <w:pPr>
              <w:rPr>
                <w:rFonts w:cs="Arial"/>
              </w:rPr>
            </w:pPr>
          </w:p>
        </w:tc>
        <w:tc>
          <w:tcPr>
            <w:tcW w:w="0" w:type="auto"/>
            <w:vAlign w:val="bottom"/>
          </w:tcPr>
          <w:p w14:paraId="2A6BC906" w14:textId="37815A3D" w:rsidR="3341BD48" w:rsidRPr="00B85D62" w:rsidRDefault="3341BD48" w:rsidP="0066232B">
            <w:pPr>
              <w:rPr>
                <w:rFonts w:eastAsia="Calibri" w:cs="Arial"/>
                <w:color w:val="000000" w:themeColor="text1"/>
              </w:rPr>
            </w:pPr>
            <w:r w:rsidRPr="00B85D62">
              <w:rPr>
                <w:rFonts w:eastAsia="Calibri" w:cs="Arial"/>
                <w:color w:val="000000" w:themeColor="text1"/>
              </w:rPr>
              <w:t>Age 6</w:t>
            </w:r>
            <w:r w:rsidR="00B85D62" w:rsidRPr="00B85D62">
              <w:rPr>
                <w:rFonts w:eastAsia="Calibri" w:cs="Arial"/>
                <w:color w:val="00B0F0"/>
              </w:rPr>
              <w:t>0</w:t>
            </w:r>
            <w:r w:rsidR="00B85D62" w:rsidRPr="00B85D62">
              <w:rPr>
                <w:rFonts w:eastAsia="Calibri" w:cs="Arial"/>
                <w:color w:val="00B0F0"/>
              </w:rPr>
              <w:t> </w:t>
            </w:r>
            <w:r w:rsidR="00B85D62" w:rsidRPr="00B85D62">
              <w:rPr>
                <w:rFonts w:eastAsia="Calibri" w:cs="Arial"/>
                <w:color w:val="00B0F0"/>
              </w:rPr>
              <w:t>+</w:t>
            </w:r>
          </w:p>
        </w:tc>
        <w:tc>
          <w:tcPr>
            <w:tcW w:w="0" w:type="auto"/>
            <w:vAlign w:val="bottom"/>
          </w:tcPr>
          <w:p w14:paraId="23247862" w14:textId="21D0A304" w:rsidR="3341BD48" w:rsidRPr="00B85D62" w:rsidRDefault="3341BD48" w:rsidP="0066232B">
            <w:pPr>
              <w:jc w:val="right"/>
              <w:rPr>
                <w:rFonts w:eastAsia="Calibri" w:cs="Arial"/>
                <w:color w:val="000000" w:themeColor="text1"/>
              </w:rPr>
            </w:pPr>
            <w:r w:rsidRPr="00B85D62">
              <w:rPr>
                <w:rFonts w:eastAsia="Calibri" w:cs="Arial"/>
                <w:color w:val="000000" w:themeColor="text1"/>
              </w:rPr>
              <w:t>31%</w:t>
            </w:r>
          </w:p>
        </w:tc>
        <w:tc>
          <w:tcPr>
            <w:tcW w:w="0" w:type="auto"/>
            <w:vMerge/>
            <w:vAlign w:val="center"/>
          </w:tcPr>
          <w:p w14:paraId="7F10FDF9" w14:textId="77777777" w:rsidR="003F1F7A" w:rsidRPr="00B85D62" w:rsidRDefault="003F1F7A" w:rsidP="0066232B">
            <w:pPr>
              <w:rPr>
                <w:rFonts w:cs="Arial"/>
              </w:rPr>
            </w:pPr>
          </w:p>
        </w:tc>
      </w:tr>
      <w:tr w:rsidR="3341BD48" w:rsidRPr="00B85D62" w14:paraId="6CD39605" w14:textId="77777777" w:rsidTr="00B85D62">
        <w:trPr>
          <w:cantSplit/>
        </w:trPr>
        <w:tc>
          <w:tcPr>
            <w:tcW w:w="0" w:type="auto"/>
            <w:gridSpan w:val="2"/>
          </w:tcPr>
          <w:p w14:paraId="1CB77912" w14:textId="77777777" w:rsidR="00B85D62" w:rsidRPr="00B85D62" w:rsidRDefault="269D3CBE" w:rsidP="0066232B">
            <w:pPr>
              <w:rPr>
                <w:rFonts w:eastAsia="Calibri" w:cs="Arial"/>
              </w:rPr>
            </w:pPr>
            <w:r w:rsidRPr="00B85D62">
              <w:rPr>
                <w:rFonts w:eastAsia="Calibri" w:cs="Arial"/>
              </w:rPr>
              <w:t>Probability that FH relatives with prior CV history are on LLT</w:t>
            </w:r>
          </w:p>
          <w:p w14:paraId="7F345AD0" w14:textId="35E491BB" w:rsidR="3341BD48" w:rsidRPr="00B85D62" w:rsidRDefault="3341BD48" w:rsidP="0066232B">
            <w:pPr>
              <w:rPr>
                <w:rFonts w:eastAsia="Calibri" w:cs="Arial"/>
              </w:rPr>
            </w:pPr>
            <w:r w:rsidRPr="00B85D62">
              <w:rPr>
                <w:rFonts w:eastAsia="Calibri" w:cs="Arial"/>
              </w:rPr>
              <w:t>(all ages)</w:t>
            </w:r>
          </w:p>
        </w:tc>
        <w:tc>
          <w:tcPr>
            <w:tcW w:w="0" w:type="auto"/>
            <w:vAlign w:val="bottom"/>
          </w:tcPr>
          <w:p w14:paraId="05F47E49" w14:textId="6A5A55C1" w:rsidR="3341BD48" w:rsidRPr="00B85D62" w:rsidRDefault="3341BD48" w:rsidP="0066232B">
            <w:pPr>
              <w:jc w:val="right"/>
              <w:rPr>
                <w:rFonts w:eastAsia="Calibri" w:cs="Arial"/>
                <w:color w:val="000000" w:themeColor="text1"/>
              </w:rPr>
            </w:pPr>
            <w:r w:rsidRPr="00B85D62">
              <w:rPr>
                <w:rFonts w:eastAsia="Calibri" w:cs="Arial"/>
                <w:color w:val="000000" w:themeColor="text1"/>
              </w:rPr>
              <w:t>86%</w:t>
            </w:r>
          </w:p>
        </w:tc>
        <w:tc>
          <w:tcPr>
            <w:tcW w:w="0" w:type="auto"/>
            <w:vMerge/>
            <w:vAlign w:val="center"/>
          </w:tcPr>
          <w:p w14:paraId="61A152E1" w14:textId="77777777" w:rsidR="003F1F7A" w:rsidRPr="00B85D62" w:rsidRDefault="003F1F7A" w:rsidP="0066232B">
            <w:pPr>
              <w:rPr>
                <w:rFonts w:cs="Arial"/>
              </w:rPr>
            </w:pPr>
          </w:p>
        </w:tc>
      </w:tr>
      <w:tr w:rsidR="3341BD48" w:rsidRPr="00B85D62" w14:paraId="5A541499" w14:textId="77777777" w:rsidTr="00B85D62">
        <w:trPr>
          <w:cantSplit/>
        </w:trPr>
        <w:tc>
          <w:tcPr>
            <w:tcW w:w="0" w:type="auto"/>
            <w:vMerge w:val="restart"/>
          </w:tcPr>
          <w:p w14:paraId="047038A1" w14:textId="3902B1FF" w:rsidR="3341BD48" w:rsidRPr="00B85D62" w:rsidRDefault="269D3CBE" w:rsidP="0066232B">
            <w:pPr>
              <w:rPr>
                <w:rFonts w:eastAsia="Calibri" w:cs="Arial"/>
              </w:rPr>
            </w:pPr>
            <w:r w:rsidRPr="00B85D62">
              <w:rPr>
                <w:rFonts w:eastAsia="Calibri" w:cs="Arial"/>
              </w:rPr>
              <w:t>Probability that FH relatives with no prior CV</w:t>
            </w:r>
            <w:r w:rsidR="6A723206" w:rsidRPr="00B85D62">
              <w:rPr>
                <w:rFonts w:eastAsia="Calibri" w:cs="Arial"/>
              </w:rPr>
              <w:t>D</w:t>
            </w:r>
            <w:r w:rsidRPr="00B85D62">
              <w:rPr>
                <w:rFonts w:eastAsia="Calibri" w:cs="Arial"/>
              </w:rPr>
              <w:t xml:space="preserve"> history are on LLT</w:t>
            </w:r>
          </w:p>
        </w:tc>
        <w:tc>
          <w:tcPr>
            <w:tcW w:w="0" w:type="auto"/>
            <w:vAlign w:val="bottom"/>
          </w:tcPr>
          <w:p w14:paraId="0923471B" w14:textId="14155EDA" w:rsidR="3341BD48" w:rsidRPr="00B85D62" w:rsidRDefault="3341BD48" w:rsidP="0066232B">
            <w:pPr>
              <w:rPr>
                <w:rFonts w:eastAsia="Calibri" w:cs="Arial"/>
                <w:color w:val="000000" w:themeColor="text1"/>
              </w:rPr>
            </w:pPr>
            <w:r w:rsidRPr="00B85D62">
              <w:rPr>
                <w:rFonts w:eastAsia="Calibri" w:cs="Arial"/>
                <w:color w:val="000000" w:themeColor="text1"/>
              </w:rPr>
              <w:t>Age 0 to 9</w:t>
            </w:r>
          </w:p>
        </w:tc>
        <w:tc>
          <w:tcPr>
            <w:tcW w:w="0" w:type="auto"/>
            <w:vAlign w:val="bottom"/>
          </w:tcPr>
          <w:p w14:paraId="62486176" w14:textId="0EEDCEBF" w:rsidR="3341BD48" w:rsidRPr="00B85D62" w:rsidRDefault="3341BD48" w:rsidP="0066232B">
            <w:pPr>
              <w:jc w:val="right"/>
              <w:rPr>
                <w:rFonts w:eastAsia="Calibri" w:cs="Arial"/>
                <w:color w:val="000000" w:themeColor="text1"/>
              </w:rPr>
            </w:pPr>
            <w:r w:rsidRPr="00B85D62">
              <w:rPr>
                <w:rFonts w:eastAsia="Calibri" w:cs="Arial"/>
                <w:color w:val="000000" w:themeColor="text1"/>
              </w:rPr>
              <w:t>0%</w:t>
            </w:r>
          </w:p>
        </w:tc>
        <w:tc>
          <w:tcPr>
            <w:tcW w:w="0" w:type="auto"/>
            <w:vMerge w:val="restart"/>
          </w:tcPr>
          <w:p w14:paraId="41C2861C" w14:textId="139F9CCD" w:rsidR="3341BD48" w:rsidRPr="00B85D62" w:rsidRDefault="3341BD48" w:rsidP="0066232B">
            <w:pPr>
              <w:rPr>
                <w:rFonts w:eastAsia="Calibri" w:cs="Arial"/>
              </w:rPr>
            </w:pPr>
            <w:r w:rsidRPr="00B85D62">
              <w:rPr>
                <w:rFonts w:eastAsia="Calibri" w:cs="Arial"/>
              </w:rPr>
              <w:t xml:space="preserve">Analysis of PASS Wessex </w:t>
            </w:r>
            <w:r w:rsidRPr="00B85D62">
              <w:rPr>
                <w:rFonts w:eastAsia="Calibri" w:cs="Arial"/>
                <w:highlight w:val="magenta"/>
              </w:rPr>
              <w:t>data</w:t>
            </w:r>
          </w:p>
          <w:p w14:paraId="44E13A82" w14:textId="4E5CD1C0" w:rsidR="3341BD48" w:rsidRPr="00B85D62" w:rsidRDefault="269D3CBE">
            <w:pPr>
              <w:rPr>
                <w:rFonts w:eastAsia="Calibri" w:cs="Arial"/>
              </w:rPr>
            </w:pPr>
            <w:r w:rsidRPr="00B85D62">
              <w:rPr>
                <w:rFonts w:eastAsia="Calibri" w:cs="Arial"/>
              </w:rPr>
              <w:t xml:space="preserve">See </w:t>
            </w:r>
            <w:r w:rsidR="3937FD0C" w:rsidRPr="00B85D62">
              <w:rPr>
                <w:rFonts w:eastAsia="Calibri" w:cs="Arial"/>
              </w:rPr>
              <w:t xml:space="preserve">Section </w:t>
            </w:r>
            <w:r w:rsidR="00502AA3" w:rsidRPr="00B85D62">
              <w:rPr>
                <w:rFonts w:eastAsia="Calibri" w:cs="Arial"/>
              </w:rPr>
              <w:t>8</w:t>
            </w:r>
            <w:r w:rsidR="3937FD0C" w:rsidRPr="00B85D62">
              <w:rPr>
                <w:rFonts w:eastAsia="Calibri" w:cs="Arial"/>
              </w:rPr>
              <w:t xml:space="preserve">.3 </w:t>
            </w:r>
            <w:r w:rsidR="00B85D62" w:rsidRPr="00B85D62">
              <w:rPr>
                <w:rFonts w:eastAsia="Calibri" w:cs="Arial"/>
                <w:i/>
                <w:color w:val="FF0000"/>
              </w:rPr>
              <w:t>T</w:t>
            </w:r>
            <w:r w:rsidR="00B85D62" w:rsidRPr="00B85D62">
              <w:rPr>
                <w:rFonts w:eastAsia="Calibri" w:cs="Arial"/>
                <w:i/>
                <w:color w:val="FF0000"/>
              </w:rPr>
              <w:t>able</w:t>
            </w:r>
            <w:r w:rsidR="00B85D62" w:rsidRPr="00B85D62">
              <w:rPr>
                <w:rFonts w:eastAsia="Calibri" w:cs="Arial"/>
                <w:i/>
                <w:color w:val="FF0000"/>
              </w:rPr>
              <w:t xml:space="preserve"> </w:t>
            </w:r>
            <w:r w:rsidR="00B85D62" w:rsidRPr="00B85D62">
              <w:rPr>
                <w:rFonts w:eastAsia="Calibri" w:cs="Arial"/>
                <w:i/>
                <w:color w:val="FF0000"/>
              </w:rPr>
              <w:t>13</w:t>
            </w:r>
            <w:r w:rsidRPr="00B85D62">
              <w:rPr>
                <w:rFonts w:eastAsia="Calibri" w:cs="Arial"/>
              </w:rPr>
              <w:t xml:space="preserve"> and </w:t>
            </w:r>
            <w:r w:rsidR="00484270" w:rsidRPr="00B85D62">
              <w:rPr>
                <w:rFonts w:eastAsia="Arial" w:cs="Arial"/>
                <w:i/>
                <w:color w:val="000000" w:themeColor="text1"/>
              </w:rPr>
              <w:t xml:space="preserve">Online Supplementary file </w:t>
            </w:r>
            <w:r w:rsidR="00123031" w:rsidRPr="00B85D62">
              <w:rPr>
                <w:rFonts w:eastAsia="Arial" w:cs="Arial"/>
                <w:i/>
                <w:color w:val="000000" w:themeColor="text1"/>
              </w:rPr>
              <w:t>5</w:t>
            </w:r>
            <w:r w:rsidR="00484270" w:rsidRPr="00B85D62">
              <w:rPr>
                <w:rFonts w:eastAsia="Arial" w:cs="Arial"/>
                <w:i/>
                <w:color w:val="000000" w:themeColor="text1"/>
              </w:rPr>
              <w:t xml:space="preserve"> </w:t>
            </w:r>
            <w:r w:rsidR="00B85D62" w:rsidRPr="00B85D62">
              <w:rPr>
                <w:rFonts w:eastAsia="Calibri" w:cs="Arial"/>
                <w:i/>
                <w:color w:val="FF0000"/>
              </w:rPr>
              <w:t>T</w:t>
            </w:r>
            <w:r w:rsidR="00B85D62" w:rsidRPr="00B85D62">
              <w:rPr>
                <w:rFonts w:eastAsia="Calibri" w:cs="Arial"/>
                <w:i/>
                <w:color w:val="FF0000"/>
              </w:rPr>
              <w:t>able</w:t>
            </w:r>
            <w:r w:rsidR="00B85D62" w:rsidRPr="00B85D62">
              <w:rPr>
                <w:rFonts w:eastAsia="Calibri" w:cs="Arial"/>
                <w:i/>
                <w:color w:val="FF0000"/>
              </w:rPr>
              <w:t xml:space="preserve"> </w:t>
            </w:r>
            <w:r w:rsidR="00B85D62" w:rsidRPr="00B85D62">
              <w:rPr>
                <w:rFonts w:eastAsia="Calibri" w:cs="Arial"/>
                <w:i/>
                <w:color w:val="FF0000"/>
              </w:rPr>
              <w:t>2</w:t>
            </w:r>
            <w:r w:rsidRPr="00B85D62">
              <w:rPr>
                <w:rFonts w:eastAsia="Calibri" w:cs="Arial"/>
              </w:rPr>
              <w:t xml:space="preserve"> for more details</w:t>
            </w:r>
          </w:p>
        </w:tc>
      </w:tr>
      <w:tr w:rsidR="3341BD48" w:rsidRPr="00B85D62" w14:paraId="342CAD05" w14:textId="77777777" w:rsidTr="00B85D62">
        <w:trPr>
          <w:cantSplit/>
        </w:trPr>
        <w:tc>
          <w:tcPr>
            <w:tcW w:w="0" w:type="auto"/>
            <w:vMerge/>
            <w:vAlign w:val="center"/>
          </w:tcPr>
          <w:p w14:paraId="76C1F714" w14:textId="77777777" w:rsidR="003F1F7A" w:rsidRPr="00B85D62" w:rsidRDefault="003F1F7A" w:rsidP="0066232B">
            <w:pPr>
              <w:rPr>
                <w:rFonts w:cs="Arial"/>
              </w:rPr>
            </w:pPr>
          </w:p>
        </w:tc>
        <w:tc>
          <w:tcPr>
            <w:tcW w:w="0" w:type="auto"/>
            <w:vAlign w:val="bottom"/>
          </w:tcPr>
          <w:p w14:paraId="01FEED57" w14:textId="61E14460" w:rsidR="3341BD48" w:rsidRPr="00B85D62" w:rsidRDefault="3341BD48" w:rsidP="0066232B">
            <w:pPr>
              <w:rPr>
                <w:rFonts w:eastAsia="Calibri" w:cs="Arial"/>
                <w:color w:val="000000" w:themeColor="text1"/>
              </w:rPr>
            </w:pPr>
            <w:r w:rsidRPr="00B85D62">
              <w:rPr>
                <w:rFonts w:eastAsia="Calibri" w:cs="Arial"/>
                <w:color w:val="000000" w:themeColor="text1"/>
              </w:rPr>
              <w:t>Age 10 to 17</w:t>
            </w:r>
          </w:p>
        </w:tc>
        <w:tc>
          <w:tcPr>
            <w:tcW w:w="0" w:type="auto"/>
            <w:vAlign w:val="bottom"/>
          </w:tcPr>
          <w:p w14:paraId="28221CAB" w14:textId="5CED2EAD" w:rsidR="3341BD48" w:rsidRPr="00B85D62" w:rsidRDefault="3341BD48" w:rsidP="0066232B">
            <w:pPr>
              <w:jc w:val="right"/>
              <w:rPr>
                <w:rFonts w:eastAsia="Calibri" w:cs="Arial"/>
                <w:color w:val="000000" w:themeColor="text1"/>
              </w:rPr>
            </w:pPr>
            <w:r w:rsidRPr="00B85D62">
              <w:rPr>
                <w:rFonts w:eastAsia="Calibri" w:cs="Arial"/>
                <w:color w:val="000000" w:themeColor="text1"/>
              </w:rPr>
              <w:t>0%</w:t>
            </w:r>
          </w:p>
        </w:tc>
        <w:tc>
          <w:tcPr>
            <w:tcW w:w="0" w:type="auto"/>
            <w:vMerge/>
            <w:vAlign w:val="center"/>
          </w:tcPr>
          <w:p w14:paraId="6B20740B" w14:textId="77777777" w:rsidR="003F1F7A" w:rsidRPr="00B85D62" w:rsidRDefault="003F1F7A" w:rsidP="0066232B">
            <w:pPr>
              <w:rPr>
                <w:rFonts w:cs="Arial"/>
              </w:rPr>
            </w:pPr>
          </w:p>
        </w:tc>
      </w:tr>
      <w:tr w:rsidR="3341BD48" w:rsidRPr="00B85D62" w14:paraId="3453C8B4" w14:textId="77777777" w:rsidTr="00B85D62">
        <w:trPr>
          <w:cantSplit/>
        </w:trPr>
        <w:tc>
          <w:tcPr>
            <w:tcW w:w="0" w:type="auto"/>
            <w:vMerge/>
            <w:vAlign w:val="center"/>
          </w:tcPr>
          <w:p w14:paraId="507B2DA3" w14:textId="77777777" w:rsidR="003F1F7A" w:rsidRPr="00B85D62" w:rsidRDefault="003F1F7A" w:rsidP="0066232B">
            <w:pPr>
              <w:rPr>
                <w:rFonts w:cs="Arial"/>
              </w:rPr>
            </w:pPr>
          </w:p>
        </w:tc>
        <w:tc>
          <w:tcPr>
            <w:tcW w:w="0" w:type="auto"/>
            <w:vAlign w:val="bottom"/>
          </w:tcPr>
          <w:p w14:paraId="2FA5359C" w14:textId="30838F18" w:rsidR="3341BD48" w:rsidRPr="00B85D62" w:rsidRDefault="3341BD48" w:rsidP="0066232B">
            <w:pPr>
              <w:rPr>
                <w:rFonts w:eastAsia="Calibri" w:cs="Arial"/>
                <w:color w:val="000000" w:themeColor="text1"/>
              </w:rPr>
            </w:pPr>
            <w:r w:rsidRPr="00B85D62">
              <w:rPr>
                <w:rFonts w:eastAsia="Calibri" w:cs="Arial"/>
                <w:color w:val="000000" w:themeColor="text1"/>
              </w:rPr>
              <w:t>Age 18</w:t>
            </w:r>
            <w:r w:rsidR="00B85D62" w:rsidRPr="00B85D62">
              <w:rPr>
                <w:rFonts w:eastAsia="Calibri" w:cs="Arial"/>
                <w:color w:val="00B0F0"/>
              </w:rPr>
              <w:t>–</w:t>
            </w:r>
            <w:r w:rsidR="00B85D62" w:rsidRPr="00B85D62">
              <w:rPr>
                <w:rFonts w:eastAsia="Calibri" w:cs="Arial"/>
                <w:color w:val="00B0F0"/>
              </w:rPr>
              <w:t>3</w:t>
            </w:r>
            <w:r w:rsidRPr="00B85D62">
              <w:rPr>
                <w:rFonts w:eastAsia="Calibri" w:cs="Arial"/>
                <w:color w:val="000000" w:themeColor="text1"/>
              </w:rPr>
              <w:t>9</w:t>
            </w:r>
          </w:p>
        </w:tc>
        <w:tc>
          <w:tcPr>
            <w:tcW w:w="0" w:type="auto"/>
            <w:vAlign w:val="bottom"/>
          </w:tcPr>
          <w:p w14:paraId="73EC5F36" w14:textId="7D0A3DB0" w:rsidR="3341BD48" w:rsidRPr="00B85D62" w:rsidRDefault="3341BD48" w:rsidP="0066232B">
            <w:pPr>
              <w:jc w:val="right"/>
              <w:rPr>
                <w:rFonts w:eastAsia="Calibri" w:cs="Arial"/>
                <w:color w:val="000000" w:themeColor="text1"/>
              </w:rPr>
            </w:pPr>
            <w:r w:rsidRPr="00B85D62">
              <w:rPr>
                <w:rFonts w:eastAsia="Calibri" w:cs="Arial"/>
                <w:color w:val="000000" w:themeColor="text1"/>
              </w:rPr>
              <w:t>8%</w:t>
            </w:r>
          </w:p>
        </w:tc>
        <w:tc>
          <w:tcPr>
            <w:tcW w:w="0" w:type="auto"/>
            <w:vMerge/>
            <w:vAlign w:val="center"/>
          </w:tcPr>
          <w:p w14:paraId="6E8EACF3" w14:textId="77777777" w:rsidR="003F1F7A" w:rsidRPr="00B85D62" w:rsidRDefault="003F1F7A" w:rsidP="0066232B">
            <w:pPr>
              <w:rPr>
                <w:rFonts w:cs="Arial"/>
              </w:rPr>
            </w:pPr>
          </w:p>
        </w:tc>
      </w:tr>
      <w:tr w:rsidR="3341BD48" w:rsidRPr="00B85D62" w14:paraId="54B82EA9" w14:textId="77777777" w:rsidTr="00B85D62">
        <w:trPr>
          <w:cantSplit/>
        </w:trPr>
        <w:tc>
          <w:tcPr>
            <w:tcW w:w="0" w:type="auto"/>
            <w:vMerge/>
            <w:vAlign w:val="center"/>
          </w:tcPr>
          <w:p w14:paraId="5E04EA63" w14:textId="77777777" w:rsidR="003F1F7A" w:rsidRPr="00B85D62" w:rsidRDefault="003F1F7A" w:rsidP="0066232B">
            <w:pPr>
              <w:rPr>
                <w:rFonts w:cs="Arial"/>
              </w:rPr>
            </w:pPr>
          </w:p>
        </w:tc>
        <w:tc>
          <w:tcPr>
            <w:tcW w:w="0" w:type="auto"/>
            <w:vAlign w:val="bottom"/>
          </w:tcPr>
          <w:p w14:paraId="759E1B84" w14:textId="255C12F4" w:rsidR="3341BD48" w:rsidRPr="00B85D62" w:rsidRDefault="3341BD48" w:rsidP="0066232B">
            <w:pPr>
              <w:rPr>
                <w:rFonts w:eastAsia="Calibri" w:cs="Arial"/>
                <w:color w:val="000000" w:themeColor="text1"/>
              </w:rPr>
            </w:pPr>
            <w:r w:rsidRPr="00B85D62">
              <w:rPr>
                <w:rFonts w:eastAsia="Calibri" w:cs="Arial"/>
                <w:color w:val="000000" w:themeColor="text1"/>
              </w:rPr>
              <w:t>Age 40</w:t>
            </w:r>
            <w:r w:rsidR="00B85D62" w:rsidRPr="00B85D62">
              <w:rPr>
                <w:rFonts w:eastAsia="Calibri" w:cs="Arial"/>
                <w:color w:val="00B0F0"/>
              </w:rPr>
              <w:t>–</w:t>
            </w:r>
            <w:r w:rsidR="00B85D62" w:rsidRPr="00B85D62">
              <w:rPr>
                <w:rFonts w:eastAsia="Calibri" w:cs="Arial"/>
                <w:color w:val="00B0F0"/>
              </w:rPr>
              <w:t>5</w:t>
            </w:r>
            <w:r w:rsidRPr="00B85D62">
              <w:rPr>
                <w:rFonts w:eastAsia="Calibri" w:cs="Arial"/>
                <w:color w:val="000000" w:themeColor="text1"/>
              </w:rPr>
              <w:t>9</w:t>
            </w:r>
          </w:p>
        </w:tc>
        <w:tc>
          <w:tcPr>
            <w:tcW w:w="0" w:type="auto"/>
            <w:vAlign w:val="bottom"/>
          </w:tcPr>
          <w:p w14:paraId="17ED232D" w14:textId="02F3163E" w:rsidR="3341BD48" w:rsidRPr="00B85D62" w:rsidRDefault="3341BD48" w:rsidP="0066232B">
            <w:pPr>
              <w:jc w:val="right"/>
              <w:rPr>
                <w:rFonts w:eastAsia="Calibri" w:cs="Arial"/>
                <w:color w:val="000000" w:themeColor="text1"/>
              </w:rPr>
            </w:pPr>
            <w:r w:rsidRPr="00B85D62">
              <w:rPr>
                <w:rFonts w:eastAsia="Calibri" w:cs="Arial"/>
                <w:color w:val="000000" w:themeColor="text1"/>
              </w:rPr>
              <w:t>27%</w:t>
            </w:r>
          </w:p>
        </w:tc>
        <w:tc>
          <w:tcPr>
            <w:tcW w:w="0" w:type="auto"/>
            <w:vMerge/>
            <w:vAlign w:val="center"/>
          </w:tcPr>
          <w:p w14:paraId="3696A227" w14:textId="77777777" w:rsidR="003F1F7A" w:rsidRPr="00B85D62" w:rsidRDefault="003F1F7A" w:rsidP="0066232B">
            <w:pPr>
              <w:rPr>
                <w:rFonts w:cs="Arial"/>
              </w:rPr>
            </w:pPr>
          </w:p>
        </w:tc>
      </w:tr>
      <w:tr w:rsidR="3341BD48" w:rsidRPr="00B85D62" w14:paraId="0EC721DD" w14:textId="77777777" w:rsidTr="00B85D62">
        <w:trPr>
          <w:cantSplit/>
        </w:trPr>
        <w:tc>
          <w:tcPr>
            <w:tcW w:w="0" w:type="auto"/>
            <w:vMerge/>
            <w:vAlign w:val="center"/>
          </w:tcPr>
          <w:p w14:paraId="3E774AB1" w14:textId="77777777" w:rsidR="003F1F7A" w:rsidRPr="00B85D62" w:rsidRDefault="003F1F7A" w:rsidP="0066232B">
            <w:pPr>
              <w:rPr>
                <w:rFonts w:cs="Arial"/>
              </w:rPr>
            </w:pPr>
          </w:p>
        </w:tc>
        <w:tc>
          <w:tcPr>
            <w:tcW w:w="0" w:type="auto"/>
            <w:vAlign w:val="bottom"/>
          </w:tcPr>
          <w:p w14:paraId="4E320C44" w14:textId="3DE2BD9B" w:rsidR="3341BD48" w:rsidRPr="00B85D62" w:rsidRDefault="3341BD48" w:rsidP="0066232B">
            <w:pPr>
              <w:rPr>
                <w:rFonts w:eastAsia="Calibri" w:cs="Arial"/>
                <w:color w:val="000000" w:themeColor="text1"/>
              </w:rPr>
            </w:pPr>
            <w:r w:rsidRPr="00B85D62">
              <w:rPr>
                <w:rFonts w:eastAsia="Calibri" w:cs="Arial"/>
                <w:color w:val="000000" w:themeColor="text1"/>
              </w:rPr>
              <w:t>Age 6</w:t>
            </w:r>
            <w:r w:rsidR="00B85D62" w:rsidRPr="00B85D62">
              <w:rPr>
                <w:rFonts w:eastAsia="Calibri" w:cs="Arial"/>
                <w:color w:val="00B0F0"/>
              </w:rPr>
              <w:t>0</w:t>
            </w:r>
            <w:r w:rsidR="00B85D62" w:rsidRPr="00B85D62">
              <w:rPr>
                <w:rFonts w:eastAsia="Calibri" w:cs="Arial"/>
                <w:color w:val="00B0F0"/>
              </w:rPr>
              <w:t> </w:t>
            </w:r>
            <w:r w:rsidR="00B85D62" w:rsidRPr="00B85D62">
              <w:rPr>
                <w:rFonts w:eastAsia="Calibri" w:cs="Arial"/>
                <w:color w:val="00B0F0"/>
              </w:rPr>
              <w:t>+</w:t>
            </w:r>
          </w:p>
        </w:tc>
        <w:tc>
          <w:tcPr>
            <w:tcW w:w="0" w:type="auto"/>
            <w:vAlign w:val="bottom"/>
          </w:tcPr>
          <w:p w14:paraId="1F339FA0" w14:textId="7702C550" w:rsidR="3341BD48" w:rsidRPr="00B85D62" w:rsidRDefault="3341BD48" w:rsidP="0066232B">
            <w:pPr>
              <w:jc w:val="right"/>
              <w:rPr>
                <w:rFonts w:eastAsia="Calibri" w:cs="Arial"/>
                <w:color w:val="000000" w:themeColor="text1"/>
              </w:rPr>
            </w:pPr>
            <w:r w:rsidRPr="00B85D62">
              <w:rPr>
                <w:rFonts w:eastAsia="Calibri" w:cs="Arial"/>
                <w:color w:val="000000" w:themeColor="text1"/>
              </w:rPr>
              <w:t>50%</w:t>
            </w:r>
          </w:p>
        </w:tc>
        <w:tc>
          <w:tcPr>
            <w:tcW w:w="0" w:type="auto"/>
            <w:vMerge/>
            <w:vAlign w:val="center"/>
          </w:tcPr>
          <w:p w14:paraId="4F9DD462" w14:textId="77777777" w:rsidR="003F1F7A" w:rsidRPr="00B85D62" w:rsidRDefault="003F1F7A" w:rsidP="0066232B">
            <w:pPr>
              <w:rPr>
                <w:rFonts w:cs="Arial"/>
              </w:rPr>
            </w:pPr>
          </w:p>
        </w:tc>
      </w:tr>
      <w:tr w:rsidR="3341BD48" w:rsidRPr="00B85D62" w14:paraId="05F87A8D" w14:textId="77777777" w:rsidTr="00B85D62">
        <w:trPr>
          <w:cantSplit/>
        </w:trPr>
        <w:tc>
          <w:tcPr>
            <w:tcW w:w="0" w:type="auto"/>
            <w:vMerge w:val="restart"/>
          </w:tcPr>
          <w:p w14:paraId="5F7FBFF2" w14:textId="5CC33228" w:rsidR="3341BD48" w:rsidRPr="00B85D62" w:rsidRDefault="269D3CBE" w:rsidP="0066232B">
            <w:pPr>
              <w:rPr>
                <w:rFonts w:eastAsia="Calibri" w:cs="Arial"/>
              </w:rPr>
            </w:pPr>
            <w:r w:rsidRPr="00B85D62">
              <w:rPr>
                <w:rFonts w:eastAsia="Calibri" w:cs="Arial"/>
              </w:rPr>
              <w:t>Probability that Non-FH relatives have prior CV</w:t>
            </w:r>
            <w:r w:rsidR="054F9F54" w:rsidRPr="00B85D62">
              <w:rPr>
                <w:rFonts w:eastAsia="Calibri" w:cs="Arial"/>
              </w:rPr>
              <w:t>D</w:t>
            </w:r>
            <w:r w:rsidRPr="00B85D62">
              <w:rPr>
                <w:rFonts w:eastAsia="Calibri" w:cs="Arial"/>
              </w:rPr>
              <w:t xml:space="preserve"> history</w:t>
            </w:r>
          </w:p>
        </w:tc>
        <w:tc>
          <w:tcPr>
            <w:tcW w:w="0" w:type="auto"/>
            <w:vAlign w:val="bottom"/>
          </w:tcPr>
          <w:p w14:paraId="068946C5" w14:textId="6B26D09A" w:rsidR="3341BD48" w:rsidRPr="00B85D62" w:rsidRDefault="3341BD48" w:rsidP="0066232B">
            <w:pPr>
              <w:rPr>
                <w:rFonts w:eastAsia="Calibri" w:cs="Arial"/>
                <w:color w:val="000000" w:themeColor="text1"/>
              </w:rPr>
            </w:pPr>
            <w:r w:rsidRPr="00B85D62">
              <w:rPr>
                <w:rFonts w:eastAsia="Calibri" w:cs="Arial"/>
                <w:color w:val="000000" w:themeColor="text1"/>
              </w:rPr>
              <w:t>Age 0 to 39</w:t>
            </w:r>
          </w:p>
        </w:tc>
        <w:tc>
          <w:tcPr>
            <w:tcW w:w="0" w:type="auto"/>
            <w:vAlign w:val="bottom"/>
          </w:tcPr>
          <w:p w14:paraId="7BAB322B" w14:textId="6F09FC94" w:rsidR="3341BD48" w:rsidRPr="00B85D62" w:rsidRDefault="3341BD48" w:rsidP="0066232B">
            <w:pPr>
              <w:jc w:val="right"/>
              <w:rPr>
                <w:rFonts w:eastAsia="Calibri" w:cs="Arial"/>
                <w:color w:val="000000" w:themeColor="text1"/>
              </w:rPr>
            </w:pPr>
            <w:r w:rsidRPr="00B85D62">
              <w:rPr>
                <w:rFonts w:eastAsia="Calibri" w:cs="Arial"/>
                <w:color w:val="000000" w:themeColor="text1"/>
              </w:rPr>
              <w:t>0%</w:t>
            </w:r>
          </w:p>
        </w:tc>
        <w:tc>
          <w:tcPr>
            <w:tcW w:w="0" w:type="auto"/>
          </w:tcPr>
          <w:p w14:paraId="73D554BC" w14:textId="0FC5F8D7" w:rsidR="3341BD48" w:rsidRPr="00B85D62" w:rsidRDefault="3341BD48" w:rsidP="0066232B">
            <w:pPr>
              <w:rPr>
                <w:rFonts w:eastAsia="Calibri" w:cs="Arial"/>
              </w:rPr>
            </w:pPr>
            <w:r w:rsidRPr="00B85D62">
              <w:rPr>
                <w:rFonts w:eastAsia="Calibri" w:cs="Arial"/>
              </w:rPr>
              <w:t>Assumption</w:t>
            </w:r>
          </w:p>
        </w:tc>
      </w:tr>
      <w:tr w:rsidR="3341BD48" w:rsidRPr="00B85D62" w14:paraId="10CCA1D8" w14:textId="77777777" w:rsidTr="00B85D62">
        <w:trPr>
          <w:cantSplit/>
        </w:trPr>
        <w:tc>
          <w:tcPr>
            <w:tcW w:w="0" w:type="auto"/>
            <w:vMerge/>
            <w:vAlign w:val="center"/>
          </w:tcPr>
          <w:p w14:paraId="42B6E9A3" w14:textId="77777777" w:rsidR="003F1F7A" w:rsidRPr="00B85D62" w:rsidRDefault="003F1F7A" w:rsidP="0066232B">
            <w:pPr>
              <w:rPr>
                <w:rFonts w:cs="Arial"/>
              </w:rPr>
            </w:pPr>
          </w:p>
        </w:tc>
        <w:tc>
          <w:tcPr>
            <w:tcW w:w="0" w:type="auto"/>
            <w:vAlign w:val="bottom"/>
          </w:tcPr>
          <w:p w14:paraId="40EB8EE6" w14:textId="11A28C81" w:rsidR="3341BD48" w:rsidRPr="00B85D62" w:rsidRDefault="3341BD48" w:rsidP="0066232B">
            <w:pPr>
              <w:rPr>
                <w:rFonts w:eastAsia="Calibri" w:cs="Arial"/>
                <w:color w:val="000000" w:themeColor="text1"/>
              </w:rPr>
            </w:pPr>
            <w:r w:rsidRPr="00B85D62">
              <w:rPr>
                <w:rFonts w:eastAsia="Calibri" w:cs="Arial"/>
                <w:color w:val="000000" w:themeColor="text1"/>
              </w:rPr>
              <w:t>Age 40</w:t>
            </w:r>
            <w:r w:rsidR="00B85D62" w:rsidRPr="00B85D62">
              <w:rPr>
                <w:rFonts w:eastAsia="Calibri" w:cs="Arial"/>
                <w:color w:val="00B0F0"/>
              </w:rPr>
              <w:t>–</w:t>
            </w:r>
            <w:r w:rsidR="00B85D62" w:rsidRPr="00B85D62">
              <w:rPr>
                <w:rFonts w:eastAsia="Calibri" w:cs="Arial"/>
                <w:color w:val="00B0F0"/>
              </w:rPr>
              <w:t>5</w:t>
            </w:r>
            <w:r w:rsidRPr="00B85D62">
              <w:rPr>
                <w:rFonts w:eastAsia="Calibri" w:cs="Arial"/>
                <w:color w:val="000000" w:themeColor="text1"/>
              </w:rPr>
              <w:t>9</w:t>
            </w:r>
          </w:p>
        </w:tc>
        <w:tc>
          <w:tcPr>
            <w:tcW w:w="0" w:type="auto"/>
            <w:vAlign w:val="bottom"/>
          </w:tcPr>
          <w:p w14:paraId="2761E1FD" w14:textId="5C2E99D8" w:rsidR="3341BD48" w:rsidRPr="00B85D62" w:rsidRDefault="3341BD48" w:rsidP="0066232B">
            <w:pPr>
              <w:jc w:val="right"/>
              <w:rPr>
                <w:rFonts w:eastAsia="Calibri" w:cs="Arial"/>
                <w:color w:val="000000" w:themeColor="text1"/>
              </w:rPr>
            </w:pPr>
            <w:r w:rsidRPr="00B85D62">
              <w:rPr>
                <w:rFonts w:eastAsia="Calibri" w:cs="Arial"/>
                <w:color w:val="000000" w:themeColor="text1"/>
              </w:rPr>
              <w:t>11%</w:t>
            </w:r>
          </w:p>
        </w:tc>
        <w:tc>
          <w:tcPr>
            <w:tcW w:w="0" w:type="auto"/>
            <w:vMerge w:val="restart"/>
          </w:tcPr>
          <w:p w14:paraId="5F8268A3" w14:textId="3CBB74D3" w:rsidR="3341BD48" w:rsidRPr="00B85D62" w:rsidRDefault="269D3CBE" w:rsidP="0066232B">
            <w:pPr>
              <w:rPr>
                <w:rFonts w:eastAsia="Calibri" w:cs="Arial"/>
              </w:rPr>
            </w:pPr>
            <w:r w:rsidRPr="00B85D62">
              <w:rPr>
                <w:rFonts w:eastAsia="Calibri" w:cs="Arial"/>
              </w:rPr>
              <w:t xml:space="preserve">Health Survey for England 2017 </w:t>
            </w:r>
            <w:r w:rsidRPr="00B85D62">
              <w:rPr>
                <w:rFonts w:eastAsia="Calibri" w:cs="Arial"/>
                <w:color w:val="000000" w:themeColor="text1"/>
                <w:vertAlign w:val="superscript"/>
              </w:rPr>
              <w:t>20</w:t>
            </w:r>
            <w:r w:rsidRPr="00B85D62">
              <w:rPr>
                <w:rFonts w:eastAsia="Calibri" w:cs="Arial"/>
              </w:rPr>
              <w:t xml:space="preserve">, calculated from its </w:t>
            </w:r>
            <w:r w:rsidR="00B85D62" w:rsidRPr="00B85D62">
              <w:rPr>
                <w:rFonts w:eastAsia="Calibri" w:cs="Arial"/>
                <w:i/>
                <w:color w:val="FF0000"/>
              </w:rPr>
              <w:t>T</w:t>
            </w:r>
            <w:r w:rsidR="00B85D62" w:rsidRPr="00B85D62">
              <w:rPr>
                <w:rFonts w:eastAsia="Calibri" w:cs="Arial"/>
                <w:i/>
                <w:color w:val="FF0000"/>
              </w:rPr>
              <w:t>able</w:t>
            </w:r>
            <w:r w:rsidR="00B85D62" w:rsidRPr="00B85D62">
              <w:rPr>
                <w:rFonts w:eastAsia="Calibri" w:cs="Arial"/>
                <w:i/>
                <w:color w:val="FF0000"/>
              </w:rPr>
              <w:t xml:space="preserve"> </w:t>
            </w:r>
            <w:r w:rsidR="00B85D62" w:rsidRPr="00B85D62">
              <w:rPr>
                <w:rFonts w:eastAsia="Calibri" w:cs="Arial"/>
                <w:i/>
                <w:color w:val="FF0000"/>
              </w:rPr>
              <w:t>1</w:t>
            </w:r>
          </w:p>
        </w:tc>
      </w:tr>
      <w:tr w:rsidR="3341BD48" w:rsidRPr="00B85D62" w14:paraId="28D9387C" w14:textId="77777777" w:rsidTr="00B85D62">
        <w:trPr>
          <w:cantSplit/>
        </w:trPr>
        <w:tc>
          <w:tcPr>
            <w:tcW w:w="0" w:type="auto"/>
            <w:vMerge/>
            <w:vAlign w:val="center"/>
          </w:tcPr>
          <w:p w14:paraId="21321970" w14:textId="77777777" w:rsidR="003F1F7A" w:rsidRPr="00B85D62" w:rsidRDefault="003F1F7A" w:rsidP="0066232B">
            <w:pPr>
              <w:rPr>
                <w:rFonts w:cs="Arial"/>
              </w:rPr>
            </w:pPr>
          </w:p>
        </w:tc>
        <w:tc>
          <w:tcPr>
            <w:tcW w:w="0" w:type="auto"/>
            <w:vAlign w:val="bottom"/>
          </w:tcPr>
          <w:p w14:paraId="235FE873" w14:textId="7804418D" w:rsidR="3341BD48" w:rsidRPr="00B85D62" w:rsidRDefault="3341BD48" w:rsidP="0066232B">
            <w:pPr>
              <w:rPr>
                <w:rFonts w:eastAsia="Calibri" w:cs="Arial"/>
                <w:color w:val="000000" w:themeColor="text1"/>
              </w:rPr>
            </w:pPr>
            <w:r w:rsidRPr="00B85D62">
              <w:rPr>
                <w:rFonts w:eastAsia="Calibri" w:cs="Arial"/>
                <w:color w:val="000000" w:themeColor="text1"/>
              </w:rPr>
              <w:t>Age 6</w:t>
            </w:r>
            <w:r w:rsidR="00B85D62" w:rsidRPr="00B85D62">
              <w:rPr>
                <w:rFonts w:eastAsia="Calibri" w:cs="Arial"/>
                <w:color w:val="00B0F0"/>
              </w:rPr>
              <w:t>0</w:t>
            </w:r>
            <w:r w:rsidR="00B85D62" w:rsidRPr="00B85D62">
              <w:rPr>
                <w:rFonts w:eastAsia="Calibri" w:cs="Arial"/>
                <w:color w:val="00B0F0"/>
              </w:rPr>
              <w:t> </w:t>
            </w:r>
            <w:r w:rsidR="00B85D62" w:rsidRPr="00B85D62">
              <w:rPr>
                <w:rFonts w:eastAsia="Calibri" w:cs="Arial"/>
                <w:color w:val="00B0F0"/>
              </w:rPr>
              <w:t>+</w:t>
            </w:r>
          </w:p>
        </w:tc>
        <w:tc>
          <w:tcPr>
            <w:tcW w:w="0" w:type="auto"/>
            <w:vAlign w:val="bottom"/>
          </w:tcPr>
          <w:p w14:paraId="36FA4CD2" w14:textId="1809E8DC" w:rsidR="3341BD48" w:rsidRPr="00B85D62" w:rsidRDefault="3341BD48" w:rsidP="0066232B">
            <w:pPr>
              <w:jc w:val="right"/>
              <w:rPr>
                <w:rFonts w:eastAsia="Calibri" w:cs="Arial"/>
                <w:color w:val="000000" w:themeColor="text1"/>
              </w:rPr>
            </w:pPr>
            <w:r w:rsidRPr="00B85D62">
              <w:rPr>
                <w:rFonts w:eastAsia="Calibri" w:cs="Arial"/>
                <w:color w:val="000000" w:themeColor="text1"/>
              </w:rPr>
              <w:t>32%</w:t>
            </w:r>
          </w:p>
        </w:tc>
        <w:tc>
          <w:tcPr>
            <w:tcW w:w="0" w:type="auto"/>
            <w:vMerge/>
            <w:vAlign w:val="center"/>
          </w:tcPr>
          <w:p w14:paraId="5AB3C20F" w14:textId="77777777" w:rsidR="003F1F7A" w:rsidRPr="00B85D62" w:rsidRDefault="003F1F7A" w:rsidP="0066232B">
            <w:pPr>
              <w:rPr>
                <w:rFonts w:cs="Arial"/>
              </w:rPr>
            </w:pPr>
          </w:p>
        </w:tc>
      </w:tr>
      <w:tr w:rsidR="3341BD48" w:rsidRPr="00B85D62" w14:paraId="5209E9D4" w14:textId="77777777" w:rsidTr="00B85D62">
        <w:trPr>
          <w:cantSplit/>
        </w:trPr>
        <w:tc>
          <w:tcPr>
            <w:tcW w:w="0" w:type="auto"/>
            <w:gridSpan w:val="2"/>
          </w:tcPr>
          <w:p w14:paraId="7D949B33" w14:textId="31300E88" w:rsidR="3341BD48" w:rsidRPr="00B85D62" w:rsidRDefault="269D3CBE" w:rsidP="0066232B">
            <w:pPr>
              <w:rPr>
                <w:rFonts w:eastAsia="Calibri" w:cs="Arial"/>
              </w:rPr>
            </w:pPr>
            <w:r w:rsidRPr="00B85D62">
              <w:rPr>
                <w:rFonts w:eastAsia="Calibri" w:cs="Arial"/>
              </w:rPr>
              <w:t>Probability that Non-FH relatives with prior CV history are on LLT (all ages)</w:t>
            </w:r>
          </w:p>
        </w:tc>
        <w:tc>
          <w:tcPr>
            <w:tcW w:w="0" w:type="auto"/>
            <w:vAlign w:val="bottom"/>
          </w:tcPr>
          <w:p w14:paraId="386C9127" w14:textId="3F5B0506" w:rsidR="3341BD48" w:rsidRPr="00B85D62" w:rsidRDefault="3341BD48" w:rsidP="0066232B">
            <w:pPr>
              <w:jc w:val="right"/>
              <w:rPr>
                <w:rFonts w:eastAsia="Calibri" w:cs="Arial"/>
                <w:color w:val="000000" w:themeColor="text1"/>
              </w:rPr>
            </w:pPr>
            <w:r w:rsidRPr="00B85D62">
              <w:rPr>
                <w:rFonts w:eastAsia="Calibri" w:cs="Arial"/>
                <w:color w:val="000000" w:themeColor="text1"/>
              </w:rPr>
              <w:t>81%</w:t>
            </w:r>
          </w:p>
        </w:tc>
        <w:tc>
          <w:tcPr>
            <w:tcW w:w="0" w:type="auto"/>
          </w:tcPr>
          <w:p w14:paraId="539B9D2F" w14:textId="2C2FA86C" w:rsidR="3341BD48" w:rsidRPr="00B85D62" w:rsidRDefault="269D3CBE" w:rsidP="0066232B">
            <w:pPr>
              <w:rPr>
                <w:rFonts w:eastAsia="Calibri" w:cs="Arial"/>
              </w:rPr>
            </w:pPr>
            <w:r w:rsidRPr="00B85D62">
              <w:rPr>
                <w:rFonts w:eastAsia="Calibri" w:cs="Arial"/>
              </w:rPr>
              <w:t>Steen</w:t>
            </w:r>
            <w:r w:rsidRPr="00B85D62">
              <w:rPr>
                <w:rFonts w:eastAsia="Calibri" w:cs="Arial"/>
                <w:i/>
                <w:color w:val="00B0F0"/>
              </w:rPr>
              <w:t xml:space="preserve"> et al</w:t>
            </w:r>
            <w:r w:rsidRPr="00B85D62">
              <w:rPr>
                <w:rFonts w:eastAsia="Calibri" w:cs="Arial"/>
              </w:rPr>
              <w:t xml:space="preserve">, 2017 </w:t>
            </w:r>
            <w:r w:rsidRPr="00B85D62">
              <w:rPr>
                <w:rFonts w:eastAsia="Calibri" w:cs="Arial"/>
                <w:color w:val="000000" w:themeColor="text1"/>
                <w:vertAlign w:val="superscript"/>
              </w:rPr>
              <w:t>21</w:t>
            </w:r>
          </w:p>
          <w:p w14:paraId="51DF915A" w14:textId="0E5E92CA" w:rsidR="3341BD48" w:rsidRPr="00B85D62" w:rsidRDefault="715FD45E" w:rsidP="0066232B">
            <w:pPr>
              <w:rPr>
                <w:rFonts w:eastAsia="Calibri" w:cs="Arial"/>
              </w:rPr>
            </w:pPr>
            <w:r w:rsidRPr="00B85D62">
              <w:rPr>
                <w:rFonts w:eastAsia="Calibri" w:cs="Arial"/>
              </w:rPr>
              <w:t xml:space="preserve">calculated from </w:t>
            </w:r>
            <w:r w:rsidR="00B85D62" w:rsidRPr="00B85D62">
              <w:rPr>
                <w:rFonts w:eastAsia="Calibri" w:cs="Arial"/>
                <w:i/>
                <w:color w:val="FF0000"/>
              </w:rPr>
              <w:t>T</w:t>
            </w:r>
            <w:r w:rsidR="00B85D62" w:rsidRPr="00B85D62">
              <w:rPr>
                <w:rFonts w:eastAsia="Calibri" w:cs="Arial"/>
                <w:i/>
                <w:color w:val="FF0000"/>
              </w:rPr>
              <w:t>able</w:t>
            </w:r>
            <w:r w:rsidR="00B85D62" w:rsidRPr="00B85D62">
              <w:rPr>
                <w:rFonts w:eastAsia="Calibri" w:cs="Arial"/>
                <w:i/>
                <w:color w:val="FF0000"/>
              </w:rPr>
              <w:t xml:space="preserve"> </w:t>
            </w:r>
            <w:r w:rsidR="00B85D62" w:rsidRPr="00B85D62">
              <w:rPr>
                <w:rFonts w:eastAsia="Calibri" w:cs="Arial"/>
                <w:i/>
                <w:color w:val="FF0000"/>
              </w:rPr>
              <w:t>2</w:t>
            </w:r>
          </w:p>
        </w:tc>
      </w:tr>
      <w:tr w:rsidR="3341BD48" w:rsidRPr="00B85D62" w14:paraId="0FDE80EA" w14:textId="77777777" w:rsidTr="00B85D62">
        <w:trPr>
          <w:cantSplit/>
        </w:trPr>
        <w:tc>
          <w:tcPr>
            <w:tcW w:w="0" w:type="auto"/>
            <w:vMerge w:val="restart"/>
          </w:tcPr>
          <w:p w14:paraId="6E86CFBC" w14:textId="2F5D7AFA" w:rsidR="3341BD48" w:rsidRPr="00B85D62" w:rsidRDefault="269D3CBE" w:rsidP="0066232B">
            <w:pPr>
              <w:rPr>
                <w:rFonts w:eastAsia="Calibri" w:cs="Arial"/>
              </w:rPr>
            </w:pPr>
            <w:r w:rsidRPr="00B85D62">
              <w:rPr>
                <w:rFonts w:eastAsia="Calibri" w:cs="Arial"/>
              </w:rPr>
              <w:t>Probability that Non-FH relatives with no prior CV</w:t>
            </w:r>
            <w:r w:rsidR="4B97349A" w:rsidRPr="00B85D62">
              <w:rPr>
                <w:rFonts w:eastAsia="Calibri" w:cs="Arial"/>
              </w:rPr>
              <w:t>D</w:t>
            </w:r>
            <w:r w:rsidRPr="00B85D62">
              <w:rPr>
                <w:rFonts w:eastAsia="Calibri" w:cs="Arial"/>
              </w:rPr>
              <w:t xml:space="preserve"> history are on LLT</w:t>
            </w:r>
          </w:p>
        </w:tc>
        <w:tc>
          <w:tcPr>
            <w:tcW w:w="0" w:type="auto"/>
            <w:vAlign w:val="bottom"/>
          </w:tcPr>
          <w:p w14:paraId="773342E1" w14:textId="6BF1B9FF" w:rsidR="3341BD48" w:rsidRPr="00B85D62" w:rsidRDefault="3341BD48" w:rsidP="0066232B">
            <w:pPr>
              <w:rPr>
                <w:rFonts w:eastAsia="Calibri" w:cs="Arial"/>
                <w:color w:val="000000" w:themeColor="text1"/>
              </w:rPr>
            </w:pPr>
            <w:r w:rsidRPr="00B85D62">
              <w:rPr>
                <w:rFonts w:eastAsia="Calibri" w:cs="Arial"/>
                <w:color w:val="000000" w:themeColor="text1"/>
              </w:rPr>
              <w:t>Age 0 to 39</w:t>
            </w:r>
          </w:p>
        </w:tc>
        <w:tc>
          <w:tcPr>
            <w:tcW w:w="0" w:type="auto"/>
            <w:vAlign w:val="bottom"/>
          </w:tcPr>
          <w:p w14:paraId="6F2A09A9" w14:textId="2E88231A" w:rsidR="3341BD48" w:rsidRPr="00B85D62" w:rsidRDefault="3341BD48" w:rsidP="0066232B">
            <w:pPr>
              <w:jc w:val="right"/>
              <w:rPr>
                <w:rFonts w:eastAsia="Calibri" w:cs="Arial"/>
                <w:color w:val="000000" w:themeColor="text1"/>
              </w:rPr>
            </w:pPr>
            <w:r w:rsidRPr="00B85D62">
              <w:rPr>
                <w:rFonts w:eastAsia="Calibri" w:cs="Arial"/>
                <w:color w:val="000000" w:themeColor="text1"/>
              </w:rPr>
              <w:t>0</w:t>
            </w:r>
          </w:p>
        </w:tc>
        <w:tc>
          <w:tcPr>
            <w:tcW w:w="0" w:type="auto"/>
          </w:tcPr>
          <w:p w14:paraId="3A62766D" w14:textId="360F4F84" w:rsidR="3341BD48" w:rsidRPr="00B85D62" w:rsidRDefault="3341BD48" w:rsidP="0066232B">
            <w:pPr>
              <w:rPr>
                <w:rFonts w:eastAsia="Calibri" w:cs="Arial"/>
              </w:rPr>
            </w:pPr>
            <w:r w:rsidRPr="00B85D62">
              <w:rPr>
                <w:rFonts w:eastAsia="Calibri" w:cs="Arial"/>
              </w:rPr>
              <w:t xml:space="preserve">Assumption </w:t>
            </w:r>
          </w:p>
        </w:tc>
      </w:tr>
      <w:tr w:rsidR="3341BD48" w:rsidRPr="00B85D62" w14:paraId="56DCA216" w14:textId="77777777" w:rsidTr="00B85D62">
        <w:trPr>
          <w:cantSplit/>
        </w:trPr>
        <w:tc>
          <w:tcPr>
            <w:tcW w:w="0" w:type="auto"/>
            <w:vMerge/>
            <w:vAlign w:val="center"/>
          </w:tcPr>
          <w:p w14:paraId="796C39C8" w14:textId="77777777" w:rsidR="003F1F7A" w:rsidRPr="00B85D62" w:rsidRDefault="003F1F7A" w:rsidP="0066232B">
            <w:pPr>
              <w:rPr>
                <w:rFonts w:cs="Arial"/>
              </w:rPr>
            </w:pPr>
          </w:p>
        </w:tc>
        <w:tc>
          <w:tcPr>
            <w:tcW w:w="0" w:type="auto"/>
            <w:vAlign w:val="bottom"/>
          </w:tcPr>
          <w:p w14:paraId="1065C84F" w14:textId="168875AE" w:rsidR="3341BD48" w:rsidRPr="00B85D62" w:rsidRDefault="3341BD48" w:rsidP="0066232B">
            <w:pPr>
              <w:rPr>
                <w:rFonts w:eastAsia="Calibri" w:cs="Arial"/>
                <w:color w:val="000000" w:themeColor="text1"/>
              </w:rPr>
            </w:pPr>
            <w:r w:rsidRPr="00B85D62">
              <w:rPr>
                <w:rFonts w:eastAsia="Calibri" w:cs="Arial"/>
                <w:color w:val="000000" w:themeColor="text1"/>
              </w:rPr>
              <w:t>Age 40</w:t>
            </w:r>
            <w:r w:rsidR="00B85D62" w:rsidRPr="00B85D62">
              <w:rPr>
                <w:rFonts w:eastAsia="Calibri" w:cs="Arial"/>
                <w:color w:val="00B0F0"/>
              </w:rPr>
              <w:t>–</w:t>
            </w:r>
            <w:r w:rsidR="00B85D62" w:rsidRPr="00B85D62">
              <w:rPr>
                <w:rFonts w:eastAsia="Calibri" w:cs="Arial"/>
                <w:color w:val="00B0F0"/>
              </w:rPr>
              <w:t>5</w:t>
            </w:r>
            <w:r w:rsidRPr="00B85D62">
              <w:rPr>
                <w:rFonts w:eastAsia="Calibri" w:cs="Arial"/>
                <w:color w:val="000000" w:themeColor="text1"/>
              </w:rPr>
              <w:t>9</w:t>
            </w:r>
          </w:p>
        </w:tc>
        <w:tc>
          <w:tcPr>
            <w:tcW w:w="0" w:type="auto"/>
            <w:vAlign w:val="bottom"/>
          </w:tcPr>
          <w:p w14:paraId="5A26635C" w14:textId="6BC53E29" w:rsidR="3341BD48" w:rsidRPr="00B85D62" w:rsidRDefault="3341BD48" w:rsidP="0066232B">
            <w:pPr>
              <w:jc w:val="right"/>
              <w:rPr>
                <w:rFonts w:eastAsia="Calibri" w:cs="Arial"/>
                <w:color w:val="000000" w:themeColor="text1"/>
              </w:rPr>
            </w:pPr>
            <w:r w:rsidRPr="00B85D62">
              <w:rPr>
                <w:rFonts w:eastAsia="Calibri" w:cs="Arial"/>
                <w:color w:val="000000" w:themeColor="text1"/>
              </w:rPr>
              <w:t>7%</w:t>
            </w:r>
          </w:p>
        </w:tc>
        <w:tc>
          <w:tcPr>
            <w:tcW w:w="0" w:type="auto"/>
            <w:vMerge w:val="restart"/>
          </w:tcPr>
          <w:p w14:paraId="49EAA2DE" w14:textId="11154D8F" w:rsidR="3341BD48" w:rsidRPr="00B85D62" w:rsidRDefault="269D3CBE" w:rsidP="0066232B">
            <w:pPr>
              <w:rPr>
                <w:rFonts w:eastAsia="Calibri" w:cs="Arial"/>
              </w:rPr>
            </w:pPr>
            <w:r w:rsidRPr="00B85D62">
              <w:rPr>
                <w:rFonts w:eastAsia="Calibri" w:cs="Arial"/>
              </w:rPr>
              <w:t xml:space="preserve">Health Survey for England 2017, </w:t>
            </w:r>
            <w:r w:rsidRPr="00B85D62">
              <w:rPr>
                <w:rFonts w:eastAsia="Calibri" w:cs="Arial"/>
                <w:color w:val="000000" w:themeColor="text1"/>
                <w:vertAlign w:val="superscript"/>
              </w:rPr>
              <w:t>20</w:t>
            </w:r>
            <w:r w:rsidRPr="00B85D62">
              <w:rPr>
                <w:rFonts w:eastAsia="Calibri" w:cs="Arial"/>
              </w:rPr>
              <w:t xml:space="preserve">, calculated from its </w:t>
            </w:r>
            <w:r w:rsidR="00B85D62" w:rsidRPr="00B85D62">
              <w:rPr>
                <w:rFonts w:eastAsia="Calibri" w:cs="Arial"/>
                <w:i/>
                <w:color w:val="FF0000"/>
              </w:rPr>
              <w:t>T</w:t>
            </w:r>
            <w:r w:rsidR="00B85D62" w:rsidRPr="00B85D62">
              <w:rPr>
                <w:rFonts w:eastAsia="Calibri" w:cs="Arial"/>
                <w:i/>
                <w:color w:val="FF0000"/>
              </w:rPr>
              <w:t>able</w:t>
            </w:r>
            <w:r w:rsidR="00B85D62" w:rsidRPr="00B85D62">
              <w:rPr>
                <w:rFonts w:eastAsia="Calibri" w:cs="Arial"/>
                <w:i/>
                <w:color w:val="FF0000"/>
              </w:rPr>
              <w:t xml:space="preserve"> </w:t>
            </w:r>
            <w:r w:rsidR="00B85D62" w:rsidRPr="00B85D62">
              <w:rPr>
                <w:rFonts w:eastAsia="Calibri" w:cs="Arial"/>
                <w:i/>
                <w:color w:val="FF0000"/>
              </w:rPr>
              <w:t>10</w:t>
            </w:r>
          </w:p>
        </w:tc>
      </w:tr>
      <w:tr w:rsidR="3341BD48" w:rsidRPr="00B85D62" w14:paraId="27E929FE" w14:textId="77777777" w:rsidTr="00B85D62">
        <w:trPr>
          <w:cantSplit/>
        </w:trPr>
        <w:tc>
          <w:tcPr>
            <w:tcW w:w="0" w:type="auto"/>
            <w:vMerge/>
            <w:vAlign w:val="center"/>
          </w:tcPr>
          <w:p w14:paraId="16FD0279" w14:textId="77777777" w:rsidR="003F1F7A" w:rsidRPr="00B85D62" w:rsidRDefault="003F1F7A" w:rsidP="0066232B">
            <w:pPr>
              <w:rPr>
                <w:rFonts w:cs="Arial"/>
              </w:rPr>
            </w:pPr>
          </w:p>
        </w:tc>
        <w:tc>
          <w:tcPr>
            <w:tcW w:w="0" w:type="auto"/>
            <w:vAlign w:val="bottom"/>
          </w:tcPr>
          <w:p w14:paraId="7DCDAAFC" w14:textId="5DE13DAC" w:rsidR="3341BD48" w:rsidRPr="00B85D62" w:rsidRDefault="3341BD48" w:rsidP="0066232B">
            <w:pPr>
              <w:rPr>
                <w:rFonts w:eastAsia="Calibri" w:cs="Arial"/>
                <w:color w:val="000000" w:themeColor="text1"/>
              </w:rPr>
            </w:pPr>
            <w:r w:rsidRPr="00B85D62">
              <w:rPr>
                <w:rFonts w:eastAsia="Calibri" w:cs="Arial"/>
                <w:color w:val="000000" w:themeColor="text1"/>
              </w:rPr>
              <w:t>Age 6</w:t>
            </w:r>
            <w:r w:rsidR="00B85D62" w:rsidRPr="00B85D62">
              <w:rPr>
                <w:rFonts w:eastAsia="Calibri" w:cs="Arial"/>
                <w:color w:val="00B0F0"/>
              </w:rPr>
              <w:t>0</w:t>
            </w:r>
            <w:r w:rsidR="00B85D62" w:rsidRPr="00B85D62">
              <w:rPr>
                <w:rFonts w:eastAsia="Calibri" w:cs="Arial"/>
                <w:color w:val="00B0F0"/>
              </w:rPr>
              <w:t> </w:t>
            </w:r>
            <w:r w:rsidR="00B85D62" w:rsidRPr="00B85D62">
              <w:rPr>
                <w:rFonts w:eastAsia="Calibri" w:cs="Arial"/>
                <w:color w:val="00B0F0"/>
              </w:rPr>
              <w:t>+</w:t>
            </w:r>
          </w:p>
        </w:tc>
        <w:tc>
          <w:tcPr>
            <w:tcW w:w="0" w:type="auto"/>
            <w:vAlign w:val="bottom"/>
          </w:tcPr>
          <w:p w14:paraId="0805A495" w14:textId="14A15AAA" w:rsidR="3341BD48" w:rsidRPr="00B85D62" w:rsidRDefault="3341BD48" w:rsidP="0066232B">
            <w:pPr>
              <w:jc w:val="right"/>
              <w:rPr>
                <w:rFonts w:eastAsia="Calibri" w:cs="Arial"/>
                <w:color w:val="000000" w:themeColor="text1"/>
              </w:rPr>
            </w:pPr>
            <w:r w:rsidRPr="00B85D62">
              <w:rPr>
                <w:rFonts w:eastAsia="Calibri" w:cs="Arial"/>
                <w:color w:val="000000" w:themeColor="text1"/>
              </w:rPr>
              <w:t>35%</w:t>
            </w:r>
          </w:p>
        </w:tc>
        <w:tc>
          <w:tcPr>
            <w:tcW w:w="0" w:type="auto"/>
            <w:vMerge/>
            <w:vAlign w:val="center"/>
          </w:tcPr>
          <w:p w14:paraId="2004A078" w14:textId="77777777" w:rsidR="003F1F7A" w:rsidRPr="00B85D62" w:rsidRDefault="003F1F7A" w:rsidP="0066232B">
            <w:pPr>
              <w:rPr>
                <w:rFonts w:cs="Arial"/>
              </w:rPr>
            </w:pPr>
          </w:p>
        </w:tc>
      </w:tr>
      <w:tr w:rsidR="3341BD48" w:rsidRPr="00B85D62" w14:paraId="6452CA2B" w14:textId="77777777" w:rsidTr="00B85D62">
        <w:trPr>
          <w:cantSplit/>
        </w:trPr>
        <w:tc>
          <w:tcPr>
            <w:tcW w:w="0" w:type="auto"/>
            <w:gridSpan w:val="2"/>
          </w:tcPr>
          <w:p w14:paraId="63579B66" w14:textId="11EBEAFB" w:rsidR="3341BD48" w:rsidRPr="00B85D62" w:rsidRDefault="3341BD48" w:rsidP="0066232B">
            <w:pPr>
              <w:rPr>
                <w:rFonts w:eastAsia="Calibri" w:cs="Arial"/>
              </w:rPr>
            </w:pPr>
            <w:r w:rsidRPr="00B85D62">
              <w:rPr>
                <w:rFonts w:eastAsia="Calibri" w:cs="Arial"/>
              </w:rPr>
              <w:t>Number of index families assessed to the cascade</w:t>
            </w:r>
          </w:p>
        </w:tc>
        <w:tc>
          <w:tcPr>
            <w:tcW w:w="0" w:type="auto"/>
            <w:vAlign w:val="bottom"/>
          </w:tcPr>
          <w:p w14:paraId="3D85DF47" w14:textId="1814ED3F" w:rsidR="3341BD48" w:rsidRPr="00B85D62" w:rsidRDefault="3341BD48" w:rsidP="0066232B">
            <w:pPr>
              <w:jc w:val="right"/>
              <w:rPr>
                <w:rFonts w:eastAsia="Calibri" w:cs="Arial"/>
                <w:color w:val="000000" w:themeColor="text1"/>
              </w:rPr>
            </w:pPr>
            <w:r w:rsidRPr="00B85D62">
              <w:rPr>
                <w:rFonts w:eastAsia="Calibri" w:cs="Arial"/>
                <w:color w:val="000000" w:themeColor="text1"/>
              </w:rPr>
              <w:t>2618</w:t>
            </w:r>
          </w:p>
        </w:tc>
        <w:tc>
          <w:tcPr>
            <w:tcW w:w="0" w:type="auto"/>
            <w:vMerge w:val="restart"/>
          </w:tcPr>
          <w:p w14:paraId="739157C6" w14:textId="542DDE0A" w:rsidR="3341BD48" w:rsidRPr="00B85D62" w:rsidRDefault="3341BD48" w:rsidP="0066232B">
            <w:pPr>
              <w:rPr>
                <w:rFonts w:eastAsia="Calibri" w:cs="Arial"/>
              </w:rPr>
            </w:pPr>
            <w:r w:rsidRPr="00B85D62">
              <w:rPr>
                <w:rFonts w:eastAsia="Calibri" w:cs="Arial"/>
              </w:rPr>
              <w:t>PASS Wales</w:t>
            </w:r>
          </w:p>
          <w:p w14:paraId="79FF69A7" w14:textId="76B4F3AA" w:rsidR="3341BD48" w:rsidRPr="00B85D62" w:rsidRDefault="16D57EDE">
            <w:pPr>
              <w:rPr>
                <w:rFonts w:eastAsia="Calibri" w:cs="Arial"/>
                <w:highlight w:val="green"/>
              </w:rPr>
            </w:pPr>
            <w:r w:rsidRPr="00B85D62">
              <w:rPr>
                <w:rFonts w:eastAsia="Calibri" w:cs="Arial"/>
              </w:rPr>
              <w:t xml:space="preserve">See Section </w:t>
            </w:r>
            <w:r w:rsidR="00502AA3" w:rsidRPr="00B85D62">
              <w:rPr>
                <w:rFonts w:eastAsia="Calibri" w:cs="Arial"/>
              </w:rPr>
              <w:t>8</w:t>
            </w:r>
            <w:r w:rsidRPr="00B85D62">
              <w:rPr>
                <w:rFonts w:eastAsia="Calibri" w:cs="Arial"/>
              </w:rPr>
              <w:t>.3</w:t>
            </w:r>
            <w:r w:rsidR="00895586" w:rsidRPr="00B85D62">
              <w:rPr>
                <w:rFonts w:eastAsia="Calibri" w:cs="Arial"/>
              </w:rPr>
              <w:t xml:space="preserve"> </w:t>
            </w:r>
            <w:r w:rsidR="00B85D62" w:rsidRPr="00B85D62">
              <w:rPr>
                <w:rFonts w:eastAsia="Calibri" w:cs="Arial"/>
                <w:i/>
                <w:color w:val="FF0000"/>
              </w:rPr>
              <w:t>F</w:t>
            </w:r>
            <w:r w:rsidR="00B85D62" w:rsidRPr="00B85D62">
              <w:rPr>
                <w:rFonts w:eastAsia="Calibri" w:cs="Arial"/>
                <w:i/>
                <w:color w:val="FF0000"/>
              </w:rPr>
              <w:t>igure</w:t>
            </w:r>
            <w:r w:rsidR="00B85D62" w:rsidRPr="00B85D62">
              <w:rPr>
                <w:rFonts w:eastAsia="Calibri" w:cs="Arial"/>
                <w:i/>
                <w:color w:val="FF0000"/>
              </w:rPr>
              <w:t xml:space="preserve"> </w:t>
            </w:r>
            <w:r w:rsidR="00B85D62" w:rsidRPr="00B85D62">
              <w:rPr>
                <w:rFonts w:eastAsia="Calibri" w:cs="Arial"/>
                <w:i/>
                <w:color w:val="FF0000"/>
              </w:rPr>
              <w:t>9</w:t>
            </w:r>
          </w:p>
        </w:tc>
      </w:tr>
      <w:tr w:rsidR="3341BD48" w:rsidRPr="00B85D62" w14:paraId="76E1816A" w14:textId="77777777" w:rsidTr="00B85D62">
        <w:trPr>
          <w:cantSplit/>
        </w:trPr>
        <w:tc>
          <w:tcPr>
            <w:tcW w:w="0" w:type="auto"/>
            <w:gridSpan w:val="2"/>
          </w:tcPr>
          <w:p w14:paraId="3E37811A" w14:textId="54A2228C" w:rsidR="3341BD48" w:rsidRPr="00B85D62" w:rsidRDefault="3341BD48" w:rsidP="0066232B">
            <w:pPr>
              <w:rPr>
                <w:rFonts w:eastAsia="Calibri" w:cs="Arial"/>
              </w:rPr>
            </w:pPr>
            <w:r w:rsidRPr="00B85D62">
              <w:rPr>
                <w:rFonts w:eastAsia="Calibri" w:cs="Arial"/>
              </w:rPr>
              <w:t xml:space="preserve">Years between </w:t>
            </w:r>
            <w:r w:rsidR="00B85D62" w:rsidRPr="00B85D62">
              <w:rPr>
                <w:rFonts w:eastAsia="Calibri" w:cs="Arial"/>
                <w:color w:val="00B0F0"/>
              </w:rPr>
              <w:t>1st</w:t>
            </w:r>
            <w:r w:rsidRPr="00B85D62">
              <w:rPr>
                <w:rFonts w:eastAsia="Calibri" w:cs="Arial"/>
              </w:rPr>
              <w:t xml:space="preserve"> and last genetic test of relative recorded in PASS Wales</w:t>
            </w:r>
          </w:p>
        </w:tc>
        <w:tc>
          <w:tcPr>
            <w:tcW w:w="0" w:type="auto"/>
            <w:vAlign w:val="bottom"/>
          </w:tcPr>
          <w:p w14:paraId="5EC74CC2" w14:textId="6382900C" w:rsidR="3341BD48" w:rsidRPr="00B85D62" w:rsidRDefault="3341BD48" w:rsidP="0066232B">
            <w:pPr>
              <w:jc w:val="right"/>
              <w:rPr>
                <w:rFonts w:eastAsia="Calibri" w:cs="Arial"/>
                <w:color w:val="000000" w:themeColor="text1"/>
              </w:rPr>
            </w:pPr>
            <w:r w:rsidRPr="00B85D62">
              <w:rPr>
                <w:rFonts w:eastAsia="Calibri" w:cs="Arial"/>
                <w:color w:val="000000" w:themeColor="text1"/>
              </w:rPr>
              <w:t>14.48</w:t>
            </w:r>
          </w:p>
        </w:tc>
        <w:tc>
          <w:tcPr>
            <w:tcW w:w="0" w:type="auto"/>
            <w:vMerge/>
            <w:vAlign w:val="center"/>
          </w:tcPr>
          <w:p w14:paraId="02B85E7D" w14:textId="77777777" w:rsidR="003F1F7A" w:rsidRPr="00B85D62" w:rsidRDefault="003F1F7A" w:rsidP="0066232B">
            <w:pPr>
              <w:rPr>
                <w:rFonts w:cs="Arial"/>
              </w:rPr>
            </w:pPr>
          </w:p>
        </w:tc>
      </w:tr>
      <w:tr w:rsidR="3341BD48" w:rsidRPr="00B85D62" w14:paraId="1FF1C91B" w14:textId="77777777" w:rsidTr="00B85D62">
        <w:trPr>
          <w:cantSplit/>
        </w:trPr>
        <w:tc>
          <w:tcPr>
            <w:tcW w:w="0" w:type="auto"/>
            <w:gridSpan w:val="4"/>
          </w:tcPr>
          <w:p w14:paraId="00437918" w14:textId="77777777" w:rsidR="00B85D62" w:rsidRPr="00B85D62" w:rsidRDefault="269D3CBE" w:rsidP="0066232B">
            <w:pPr>
              <w:rPr>
                <w:rFonts w:eastAsia="Calibri" w:cs="Arial"/>
                <w:sz w:val="18"/>
                <w:szCs w:val="18"/>
              </w:rPr>
            </w:pPr>
            <w:r w:rsidRPr="00B85D62">
              <w:rPr>
                <w:rFonts w:eastAsia="Calibri" w:cs="Arial"/>
                <w:sz w:val="18"/>
                <w:szCs w:val="18"/>
              </w:rPr>
              <w:t>CV</w:t>
            </w:r>
            <w:r w:rsidR="65E2CA41" w:rsidRPr="00B85D62">
              <w:rPr>
                <w:rFonts w:eastAsia="Calibri" w:cs="Arial"/>
                <w:sz w:val="18"/>
                <w:szCs w:val="18"/>
              </w:rPr>
              <w:t>D</w:t>
            </w:r>
            <w:r w:rsidRPr="00B85D62">
              <w:rPr>
                <w:rFonts w:eastAsia="Calibri" w:cs="Arial"/>
                <w:sz w:val="18"/>
                <w:szCs w:val="18"/>
              </w:rPr>
              <w:t>: Cardiovascular</w:t>
            </w:r>
            <w:r w:rsidR="6E62A858" w:rsidRPr="00B85D62">
              <w:rPr>
                <w:rFonts w:eastAsia="Calibri" w:cs="Arial"/>
                <w:sz w:val="18"/>
                <w:szCs w:val="18"/>
              </w:rPr>
              <w:t xml:space="preserve"> disease</w:t>
            </w:r>
            <w:r w:rsidRPr="00B85D62">
              <w:rPr>
                <w:rFonts w:eastAsia="Calibri" w:cs="Arial"/>
                <w:sz w:val="18"/>
                <w:szCs w:val="18"/>
              </w:rPr>
              <w:t>; FH: Familial Hypercholesterolaemia; LLT: Lipid Lowering Treatment; FH: Familial Hypercholesterolaemia; PASS:</w:t>
            </w:r>
          </w:p>
          <w:p w14:paraId="57C140CE" w14:textId="29959AD6" w:rsidR="3341BD48" w:rsidRPr="00B85D62" w:rsidRDefault="3341BD48" w:rsidP="0066232B">
            <w:pPr>
              <w:rPr>
                <w:rFonts w:eastAsia="Calibri" w:cs="Arial"/>
              </w:rPr>
            </w:pPr>
            <w:r w:rsidRPr="00B85D62">
              <w:rPr>
                <w:rFonts w:eastAsia="Calibri" w:cs="Arial"/>
                <w:sz w:val="18"/>
                <w:szCs w:val="18"/>
              </w:rPr>
              <w:t xml:space="preserve">[1] We assumed that relatives aged </w:t>
            </w:r>
            <w:r w:rsidR="00B85D62" w:rsidRPr="00B85D62">
              <w:rPr>
                <w:rFonts w:eastAsia="Calibri" w:cs="Arial"/>
                <w:color w:val="00B0F0"/>
                <w:sz w:val="18"/>
                <w:szCs w:val="18"/>
              </w:rPr>
              <w:t>&lt;</w:t>
            </w:r>
            <w:r w:rsidR="00B85D62" w:rsidRPr="00B85D62">
              <w:rPr>
                <w:rFonts w:eastAsia="Calibri" w:cs="Arial"/>
                <w:color w:val="00B0F0"/>
                <w:sz w:val="18"/>
                <w:szCs w:val="18"/>
              </w:rPr>
              <w:t> </w:t>
            </w:r>
            <w:r w:rsidRPr="00B85D62">
              <w:rPr>
                <w:rFonts w:eastAsia="Calibri" w:cs="Arial"/>
                <w:sz w:val="18"/>
                <w:szCs w:val="18"/>
              </w:rPr>
              <w:t>18 years were contacted via their parents, and with the same probability irrespective of the method of contact.</w:t>
            </w:r>
          </w:p>
        </w:tc>
      </w:tr>
    </w:tbl>
    <w:p w14:paraId="6A20265C" w14:textId="0B73072F" w:rsidR="3341BD48" w:rsidRPr="00B85D62" w:rsidRDefault="3341BD48" w:rsidP="0066232B">
      <w:pPr>
        <w:rPr>
          <w:rFonts w:eastAsia="Calibri" w:cs="Arial"/>
          <w:color w:val="000000" w:themeColor="text1"/>
        </w:rPr>
      </w:pPr>
    </w:p>
    <w:p w14:paraId="2D8F8BBF" w14:textId="654F2501" w:rsidR="4924D102" w:rsidRPr="00B85D62" w:rsidRDefault="4924D102" w:rsidP="0066232B">
      <w:pPr>
        <w:rPr>
          <w:rFonts w:cs="Arial"/>
          <w:i/>
          <w:iCs/>
        </w:rPr>
      </w:pPr>
      <w:r w:rsidRPr="00B85D62">
        <w:rPr>
          <w:rFonts w:cs="Arial"/>
          <w:i/>
          <w:iCs/>
        </w:rPr>
        <w:t>Costs</w:t>
      </w:r>
    </w:p>
    <w:p w14:paraId="2854A44E" w14:textId="0D18A0F5" w:rsidR="00B85D62" w:rsidRPr="00B85D62" w:rsidRDefault="0261FC2A" w:rsidP="0066232B">
      <w:pPr>
        <w:rPr>
          <w:rFonts w:eastAsia="Calibri" w:cs="Arial"/>
          <w:color w:val="000000" w:themeColor="text1"/>
        </w:rPr>
      </w:pPr>
      <w:r w:rsidRPr="00B85D62">
        <w:rPr>
          <w:rFonts w:eastAsia="Calibri" w:cs="Arial"/>
          <w:color w:val="000000" w:themeColor="text1"/>
        </w:rPr>
        <w:t>To calculate the costs, we reviewed the costing assumptions made for the NICE CG71</w:t>
      </w:r>
      <w:r w:rsidR="00F80015" w:rsidRPr="00B85D62">
        <w:rPr>
          <w:rFonts w:eastAsia="Calibri" w:cs="Arial"/>
          <w:noProof/>
          <w:color w:val="000000" w:themeColor="text1"/>
          <w:vertAlign w:val="superscript"/>
        </w:rPr>
        <w:t>9</w:t>
      </w:r>
      <w:r w:rsidRPr="00B85D62">
        <w:rPr>
          <w:rFonts w:eastAsia="Calibri" w:cs="Arial"/>
          <w:color w:val="000000" w:themeColor="text1"/>
        </w:rPr>
        <w:t>, asked nurses from five FH services across the UK about how their service operated and validated our assumptions with our Stakeholder Group</w:t>
      </w:r>
      <w:r w:rsidR="00502AA3" w:rsidRPr="00B85D62">
        <w:rPr>
          <w:rFonts w:eastAsia="Calibri" w:cs="Arial"/>
          <w:color w:val="000000" w:themeColor="text1"/>
        </w:rPr>
        <w:t xml:space="preserve"> (including PPIE representation)</w:t>
      </w:r>
      <w:r w:rsidRPr="00B85D62">
        <w:rPr>
          <w:rFonts w:eastAsia="Calibri" w:cs="Arial"/>
          <w:color w:val="000000" w:themeColor="text1"/>
        </w:rPr>
        <w:t>. The costs are summarised in</w:t>
      </w:r>
      <w:r w:rsidR="00B55E94" w:rsidRPr="00B85D62">
        <w:rPr>
          <w:rFonts w:eastAsia="Calibri" w:cs="Arial"/>
          <w:color w:val="000000" w:themeColor="text1"/>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18</w:t>
      </w:r>
      <w:r w:rsidR="00B55E94" w:rsidRPr="00B85D62">
        <w:rPr>
          <w:rFonts w:eastAsia="Calibri" w:cs="Arial"/>
          <w:color w:val="000000" w:themeColor="text1"/>
        </w:rPr>
        <w:t xml:space="preserve"> </w:t>
      </w:r>
      <w:r w:rsidRPr="00B85D62">
        <w:rPr>
          <w:rFonts w:eastAsia="Calibri" w:cs="Arial"/>
          <w:color w:val="000000" w:themeColor="text1"/>
        </w:rPr>
        <w:t xml:space="preserve">and detailed in </w:t>
      </w:r>
      <w:r w:rsidR="008269C8" w:rsidRPr="00B85D62">
        <w:rPr>
          <w:rFonts w:eastAsia="Calibri" w:cs="Arial"/>
          <w:i/>
          <w:color w:val="000000" w:themeColor="text1"/>
        </w:rPr>
        <w:t>Cascade costs</w:t>
      </w:r>
      <w:r w:rsidR="008269C8" w:rsidRPr="00B85D62">
        <w:rPr>
          <w:rFonts w:eastAsia="Calibri" w:cs="Arial"/>
          <w:color w:val="000000" w:themeColor="text1"/>
        </w:rPr>
        <w:t xml:space="preserve"> in </w:t>
      </w:r>
      <w:r w:rsidR="00E7401D" w:rsidRPr="00B85D62">
        <w:rPr>
          <w:rFonts w:eastAsia="Arial" w:cs="Arial"/>
          <w:i/>
          <w:color w:val="000000" w:themeColor="text1"/>
        </w:rPr>
        <w:t xml:space="preserve">Online Supplementary file 5 </w:t>
      </w:r>
      <w:r w:rsidR="00E7401D" w:rsidRPr="00B85D62">
        <w:rPr>
          <w:rFonts w:cs="Arial"/>
          <w:i/>
        </w:rPr>
        <w:t>(Cost-effectiveness</w:t>
      </w:r>
      <w:r w:rsidR="00E7401D" w:rsidRPr="00B85D62">
        <w:rPr>
          <w:rFonts w:cs="Arial"/>
        </w:rPr>
        <w:t>)</w:t>
      </w:r>
      <w:r w:rsidR="2FCD6748" w:rsidRPr="00B85D62">
        <w:rPr>
          <w:rFonts w:eastAsia="Calibri" w:cs="Arial"/>
          <w:color w:val="000000" w:themeColor="text1"/>
        </w:rPr>
        <w:t>)</w:t>
      </w:r>
      <w:r w:rsidRPr="00B85D62">
        <w:rPr>
          <w:rFonts w:eastAsia="Calibri" w:cs="Arial"/>
          <w:color w:val="000000" w:themeColor="text1"/>
        </w:rPr>
        <w:t>. Assuming that the index</w:t>
      </w:r>
      <w:r w:rsidR="00502AA3" w:rsidRPr="00B85D62">
        <w:rPr>
          <w:rFonts w:eastAsia="Calibri" w:cs="Arial"/>
          <w:color w:val="000000" w:themeColor="text1"/>
        </w:rPr>
        <w:t xml:space="preserve"> cas</w:t>
      </w:r>
      <w:r w:rsidRPr="00B85D62">
        <w:rPr>
          <w:rFonts w:eastAsia="Calibri" w:cs="Arial"/>
          <w:color w:val="000000" w:themeColor="text1"/>
        </w:rPr>
        <w:t>es were diagnosed clinically and known to the FH service, we estimated that selecting index</w:t>
      </w:r>
      <w:r w:rsidR="00502AA3" w:rsidRPr="00B85D62">
        <w:rPr>
          <w:rFonts w:eastAsia="Calibri" w:cs="Arial"/>
          <w:color w:val="000000" w:themeColor="text1"/>
        </w:rPr>
        <w:t xml:space="preserve"> cas</w:t>
      </w:r>
      <w:r w:rsidRPr="00B85D62">
        <w:rPr>
          <w:rFonts w:eastAsia="Calibri" w:cs="Arial"/>
          <w:color w:val="000000" w:themeColor="text1"/>
        </w:rPr>
        <w:t>es to be cascaded costed between £29 and £446 per index assessed, depending on the method and whether index</w:t>
      </w:r>
      <w:r w:rsidR="00502AA3" w:rsidRPr="00B85D62">
        <w:rPr>
          <w:rFonts w:eastAsia="Calibri" w:cs="Arial"/>
          <w:color w:val="000000" w:themeColor="text1"/>
        </w:rPr>
        <w:t xml:space="preserve"> cas</w:t>
      </w:r>
      <w:r w:rsidRPr="00B85D62">
        <w:rPr>
          <w:rFonts w:eastAsia="Calibri" w:cs="Arial"/>
          <w:color w:val="000000" w:themeColor="text1"/>
        </w:rPr>
        <w:t>es were selected; and that testing relatives costed between £61 and £184 per relative depending on the strategy and the test results.</w:t>
      </w:r>
    </w:p>
    <w:p w14:paraId="327EB317" w14:textId="6E97F0AA" w:rsidR="00B55E94" w:rsidRPr="00B85D62" w:rsidRDefault="00B85D62" w:rsidP="00B55E94">
      <w:pPr>
        <w:pStyle w:val="Caption"/>
        <w:keepNext/>
        <w:rPr>
          <w:rFonts w:cs="Arial"/>
        </w:rPr>
      </w:pPr>
      <w:bookmarkStart w:id="239" w:name="_Toc79740213"/>
      <w:bookmarkStart w:id="240" w:name="_Toc107157372"/>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18</w:t>
      </w:r>
      <w:r w:rsidR="00B55E94" w:rsidRPr="00B85D62">
        <w:rPr>
          <w:rFonts w:cs="Arial"/>
        </w:rPr>
        <w:t xml:space="preserve"> Resources and costs</w:t>
      </w:r>
      <w:bookmarkEnd w:id="239"/>
      <w:bookmarkEnd w:id="24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364"/>
        <w:gridCol w:w="3797"/>
        <w:gridCol w:w="865"/>
      </w:tblGrid>
      <w:tr w:rsidR="3341BD48" w:rsidRPr="00B85D62" w14:paraId="2B6D39F2" w14:textId="77777777" w:rsidTr="00B85D62">
        <w:trPr>
          <w:cantSplit/>
        </w:trPr>
        <w:tc>
          <w:tcPr>
            <w:tcW w:w="0" w:type="auto"/>
          </w:tcPr>
          <w:p w14:paraId="7AF69E3D" w14:textId="322BA95C" w:rsidR="3341BD48" w:rsidRPr="00B85D62" w:rsidRDefault="3341BD48" w:rsidP="0066232B">
            <w:pPr>
              <w:rPr>
                <w:rFonts w:eastAsia="Calibri" w:cs="Arial"/>
              </w:rPr>
            </w:pPr>
            <w:r w:rsidRPr="00B85D62">
              <w:rPr>
                <w:rFonts w:eastAsia="Calibri" w:cs="Arial"/>
                <w:b/>
                <w:bCs/>
              </w:rPr>
              <w:t>Activity</w:t>
            </w:r>
          </w:p>
        </w:tc>
        <w:tc>
          <w:tcPr>
            <w:tcW w:w="0" w:type="auto"/>
          </w:tcPr>
          <w:p w14:paraId="35B9DAB4" w14:textId="44CB28D6" w:rsidR="3341BD48" w:rsidRPr="00B85D62" w:rsidRDefault="3341BD48" w:rsidP="0066232B">
            <w:pPr>
              <w:rPr>
                <w:rFonts w:eastAsia="Calibri" w:cs="Arial"/>
              </w:rPr>
            </w:pPr>
            <w:r w:rsidRPr="00B85D62">
              <w:rPr>
                <w:rFonts w:eastAsia="Calibri" w:cs="Arial"/>
                <w:b/>
                <w:bCs/>
              </w:rPr>
              <w:t>Resource</w:t>
            </w:r>
          </w:p>
        </w:tc>
        <w:tc>
          <w:tcPr>
            <w:tcW w:w="0" w:type="auto"/>
          </w:tcPr>
          <w:p w14:paraId="5EB09CF0" w14:textId="1E7197F3" w:rsidR="3341BD48" w:rsidRPr="00B85D62" w:rsidRDefault="3341BD48" w:rsidP="0066232B">
            <w:pPr>
              <w:rPr>
                <w:rFonts w:eastAsia="Calibri" w:cs="Arial"/>
              </w:rPr>
            </w:pPr>
            <w:r w:rsidRPr="00B85D62">
              <w:rPr>
                <w:rFonts w:eastAsia="Calibri" w:cs="Arial"/>
                <w:b/>
                <w:bCs/>
              </w:rPr>
              <w:t>Cost, £</w:t>
            </w:r>
          </w:p>
        </w:tc>
      </w:tr>
      <w:tr w:rsidR="3341BD48" w:rsidRPr="00B85D62" w14:paraId="7EE8BB8D" w14:textId="77777777" w:rsidTr="00B85D62">
        <w:trPr>
          <w:cantSplit/>
        </w:trPr>
        <w:tc>
          <w:tcPr>
            <w:tcW w:w="0" w:type="auto"/>
            <w:gridSpan w:val="3"/>
            <w:shd w:val="clear" w:color="auto" w:fill="E7E6E6" w:themeFill="background2"/>
          </w:tcPr>
          <w:p w14:paraId="3A1A9832" w14:textId="55AC5988" w:rsidR="3341BD48" w:rsidRPr="00B85D62" w:rsidRDefault="3341BD48" w:rsidP="0066232B">
            <w:pPr>
              <w:rPr>
                <w:rFonts w:eastAsia="Calibri" w:cs="Arial"/>
              </w:rPr>
            </w:pPr>
            <w:r w:rsidRPr="00B85D62">
              <w:rPr>
                <w:rFonts w:eastAsia="Calibri" w:cs="Arial"/>
              </w:rPr>
              <w:t>Selecting indexes to be cascaded</w:t>
            </w:r>
          </w:p>
        </w:tc>
      </w:tr>
      <w:tr w:rsidR="3341BD48" w:rsidRPr="00B85D62" w14:paraId="324567D0" w14:textId="77777777" w:rsidTr="00B85D62">
        <w:trPr>
          <w:cantSplit/>
        </w:trPr>
        <w:tc>
          <w:tcPr>
            <w:tcW w:w="0" w:type="auto"/>
          </w:tcPr>
          <w:p w14:paraId="5F8AC4E1" w14:textId="3B977413" w:rsidR="3341BD48" w:rsidRPr="00B85D62" w:rsidRDefault="3341BD48" w:rsidP="0066232B">
            <w:pPr>
              <w:rPr>
                <w:rFonts w:eastAsia="Calibri" w:cs="Arial"/>
              </w:rPr>
            </w:pPr>
            <w:r w:rsidRPr="00B85D62">
              <w:rPr>
                <w:rFonts w:eastAsia="Calibri" w:cs="Arial"/>
              </w:rPr>
              <w:t>Appointment with index to assess clinical score</w:t>
            </w:r>
          </w:p>
        </w:tc>
        <w:tc>
          <w:tcPr>
            <w:tcW w:w="0" w:type="auto"/>
          </w:tcPr>
          <w:p w14:paraId="6E04B29B" w14:textId="35039FD4" w:rsidR="3341BD48" w:rsidRPr="00B85D62" w:rsidRDefault="3341BD48" w:rsidP="0066232B">
            <w:pPr>
              <w:rPr>
                <w:rFonts w:eastAsia="Calibri" w:cs="Arial"/>
              </w:rPr>
            </w:pPr>
            <w:r w:rsidRPr="00B85D62">
              <w:rPr>
                <w:rFonts w:eastAsia="Calibri" w:cs="Arial"/>
              </w:rPr>
              <w:t>Arranging appointment: 10 minutes secretarial staff</w:t>
            </w:r>
          </w:p>
          <w:p w14:paraId="7A4D49C3" w14:textId="05512F61" w:rsidR="3341BD48" w:rsidRPr="00B85D62" w:rsidRDefault="3341BD48" w:rsidP="0066232B">
            <w:pPr>
              <w:rPr>
                <w:rFonts w:eastAsia="Calibri" w:cs="Arial"/>
              </w:rPr>
            </w:pPr>
            <w:r w:rsidRPr="00B85D62">
              <w:rPr>
                <w:rFonts w:eastAsia="Calibri" w:cs="Arial"/>
              </w:rPr>
              <w:t>With FH nurse: 20 minutes</w:t>
            </w:r>
          </w:p>
        </w:tc>
        <w:tc>
          <w:tcPr>
            <w:tcW w:w="0" w:type="auto"/>
          </w:tcPr>
          <w:p w14:paraId="5FA48153" w14:textId="250162C8" w:rsidR="3341BD48" w:rsidRPr="00B85D62" w:rsidRDefault="3341BD48" w:rsidP="0066232B">
            <w:pPr>
              <w:jc w:val="right"/>
              <w:rPr>
                <w:rFonts w:eastAsia="Calibri" w:cs="Arial"/>
              </w:rPr>
            </w:pPr>
            <w:r w:rsidRPr="00B85D62">
              <w:rPr>
                <w:rFonts w:eastAsia="Calibri" w:cs="Arial"/>
              </w:rPr>
              <w:t>£23</w:t>
            </w:r>
          </w:p>
        </w:tc>
      </w:tr>
      <w:tr w:rsidR="3341BD48" w:rsidRPr="00B85D62" w14:paraId="169A78B5" w14:textId="77777777" w:rsidTr="00B85D62">
        <w:trPr>
          <w:cantSplit/>
        </w:trPr>
        <w:tc>
          <w:tcPr>
            <w:tcW w:w="0" w:type="auto"/>
          </w:tcPr>
          <w:p w14:paraId="3CE54E98" w14:textId="29E78074" w:rsidR="3341BD48" w:rsidRPr="00B85D62" w:rsidRDefault="3341BD48" w:rsidP="0066232B">
            <w:pPr>
              <w:rPr>
                <w:rFonts w:eastAsia="Calibri" w:cs="Arial"/>
              </w:rPr>
            </w:pPr>
            <w:r w:rsidRPr="00B85D62">
              <w:rPr>
                <w:rFonts w:eastAsia="Calibri" w:cs="Arial"/>
              </w:rPr>
              <w:t xml:space="preserve">Appointment to do the genetic test, if applicable </w:t>
            </w:r>
          </w:p>
        </w:tc>
        <w:tc>
          <w:tcPr>
            <w:tcW w:w="0" w:type="auto"/>
          </w:tcPr>
          <w:p w14:paraId="6668710D" w14:textId="50C77CDC" w:rsidR="3341BD48" w:rsidRPr="00B85D62" w:rsidRDefault="3341BD48" w:rsidP="0066232B">
            <w:pPr>
              <w:rPr>
                <w:rFonts w:eastAsia="Calibri" w:cs="Arial"/>
              </w:rPr>
            </w:pPr>
            <w:r w:rsidRPr="00B85D62">
              <w:rPr>
                <w:rFonts w:eastAsia="Calibri" w:cs="Arial"/>
              </w:rPr>
              <w:t>Arranging appointment: 10 minutes secretarial staff</w:t>
            </w:r>
          </w:p>
          <w:p w14:paraId="115051F6" w14:textId="75EE32D6" w:rsidR="3341BD48" w:rsidRPr="00B85D62" w:rsidRDefault="3341BD48" w:rsidP="0066232B">
            <w:pPr>
              <w:rPr>
                <w:rFonts w:eastAsia="Calibri" w:cs="Arial"/>
              </w:rPr>
            </w:pPr>
            <w:r w:rsidRPr="00B85D62">
              <w:rPr>
                <w:rFonts w:eastAsia="Calibri" w:cs="Arial"/>
              </w:rPr>
              <w:t>With FH nurse or genetic counsellor: 60 minutes</w:t>
            </w:r>
          </w:p>
          <w:p w14:paraId="5F81DA21" w14:textId="5C9FA872" w:rsidR="3341BD48" w:rsidRPr="00B85D62" w:rsidRDefault="3341BD48" w:rsidP="0066232B">
            <w:pPr>
              <w:rPr>
                <w:rFonts w:eastAsia="Calibri" w:cs="Arial"/>
              </w:rPr>
            </w:pPr>
            <w:r w:rsidRPr="00B85D62">
              <w:rPr>
                <w:rFonts w:eastAsia="Calibri" w:cs="Arial"/>
              </w:rPr>
              <w:t>Includes blood collection</w:t>
            </w:r>
          </w:p>
        </w:tc>
        <w:tc>
          <w:tcPr>
            <w:tcW w:w="0" w:type="auto"/>
          </w:tcPr>
          <w:p w14:paraId="44DF85DF" w14:textId="15FFC648" w:rsidR="3341BD48" w:rsidRPr="00B85D62" w:rsidRDefault="3341BD48" w:rsidP="0066232B">
            <w:pPr>
              <w:jc w:val="right"/>
              <w:rPr>
                <w:rFonts w:eastAsia="Calibri" w:cs="Arial"/>
              </w:rPr>
            </w:pPr>
            <w:r w:rsidRPr="00B85D62">
              <w:rPr>
                <w:rFonts w:eastAsia="Calibri" w:cs="Arial"/>
              </w:rPr>
              <w:t>£61</w:t>
            </w:r>
          </w:p>
        </w:tc>
      </w:tr>
      <w:tr w:rsidR="3341BD48" w:rsidRPr="00B85D62" w14:paraId="7E0FABB5" w14:textId="77777777" w:rsidTr="00B85D62">
        <w:trPr>
          <w:cantSplit/>
        </w:trPr>
        <w:tc>
          <w:tcPr>
            <w:tcW w:w="0" w:type="auto"/>
          </w:tcPr>
          <w:p w14:paraId="3D32E11C" w14:textId="5335772E" w:rsidR="3341BD48" w:rsidRPr="00B85D62" w:rsidRDefault="3341BD48" w:rsidP="0066232B">
            <w:pPr>
              <w:rPr>
                <w:rFonts w:eastAsia="Calibri" w:cs="Arial"/>
              </w:rPr>
            </w:pPr>
            <w:r w:rsidRPr="00B85D62">
              <w:rPr>
                <w:rFonts w:eastAsia="Calibri" w:cs="Arial"/>
              </w:rPr>
              <w:t>Test</w:t>
            </w:r>
          </w:p>
        </w:tc>
        <w:tc>
          <w:tcPr>
            <w:tcW w:w="0" w:type="auto"/>
          </w:tcPr>
          <w:p w14:paraId="15612A48" w14:textId="74F3C496" w:rsidR="3341BD48" w:rsidRPr="00B85D62" w:rsidRDefault="3341BD48" w:rsidP="0066232B">
            <w:pPr>
              <w:rPr>
                <w:rFonts w:eastAsia="Calibri" w:cs="Arial"/>
              </w:rPr>
            </w:pPr>
            <w:r w:rsidRPr="00B85D62">
              <w:rPr>
                <w:rFonts w:eastAsia="Calibri" w:cs="Arial"/>
              </w:rPr>
              <w:t>Genetic test</w:t>
            </w:r>
          </w:p>
        </w:tc>
        <w:tc>
          <w:tcPr>
            <w:tcW w:w="0" w:type="auto"/>
          </w:tcPr>
          <w:p w14:paraId="69AF6008" w14:textId="133D8828" w:rsidR="3341BD48" w:rsidRPr="00B85D62" w:rsidRDefault="3341BD48" w:rsidP="0066232B">
            <w:pPr>
              <w:jc w:val="right"/>
              <w:rPr>
                <w:rFonts w:eastAsia="Calibri" w:cs="Arial"/>
              </w:rPr>
            </w:pPr>
            <w:r w:rsidRPr="00B85D62">
              <w:rPr>
                <w:rFonts w:eastAsia="Calibri" w:cs="Arial"/>
              </w:rPr>
              <w:t>£305</w:t>
            </w:r>
          </w:p>
        </w:tc>
      </w:tr>
      <w:tr w:rsidR="3341BD48" w:rsidRPr="00B85D62" w14:paraId="6A612306" w14:textId="77777777" w:rsidTr="00B85D62">
        <w:trPr>
          <w:cantSplit/>
        </w:trPr>
        <w:tc>
          <w:tcPr>
            <w:tcW w:w="0" w:type="auto"/>
          </w:tcPr>
          <w:p w14:paraId="34BEA1E4" w14:textId="1E24CCF8" w:rsidR="3341BD48" w:rsidRPr="00B85D62" w:rsidRDefault="3341BD48" w:rsidP="0066232B">
            <w:pPr>
              <w:rPr>
                <w:rFonts w:eastAsia="Calibri" w:cs="Arial"/>
              </w:rPr>
            </w:pPr>
            <w:r w:rsidRPr="00B85D62">
              <w:rPr>
                <w:rFonts w:eastAsia="Calibri" w:cs="Arial"/>
              </w:rPr>
              <w:t>Communication of results</w:t>
            </w:r>
          </w:p>
        </w:tc>
        <w:tc>
          <w:tcPr>
            <w:tcW w:w="0" w:type="auto"/>
          </w:tcPr>
          <w:p w14:paraId="7FA6E653" w14:textId="4F655EEC" w:rsidR="3341BD48" w:rsidRPr="00B85D62" w:rsidRDefault="3341BD48" w:rsidP="0066232B">
            <w:pPr>
              <w:rPr>
                <w:rFonts w:eastAsia="Calibri" w:cs="Arial"/>
              </w:rPr>
            </w:pPr>
            <w:r w:rsidRPr="00B85D62">
              <w:rPr>
                <w:rFonts w:eastAsia="Calibri" w:cs="Arial"/>
              </w:rPr>
              <w:t>Phone or letter</w:t>
            </w:r>
          </w:p>
          <w:p w14:paraId="01B61EB7" w14:textId="0713121C" w:rsidR="3341BD48" w:rsidRPr="00B85D62" w:rsidRDefault="3341BD48" w:rsidP="0066232B">
            <w:pPr>
              <w:rPr>
                <w:rFonts w:eastAsia="Calibri" w:cs="Arial"/>
              </w:rPr>
            </w:pPr>
            <w:r w:rsidRPr="00B85D62">
              <w:rPr>
                <w:rFonts w:eastAsia="Calibri" w:cs="Arial"/>
              </w:rPr>
              <w:t>Secretarial staff: 10 minutes</w:t>
            </w:r>
          </w:p>
        </w:tc>
        <w:tc>
          <w:tcPr>
            <w:tcW w:w="0" w:type="auto"/>
          </w:tcPr>
          <w:p w14:paraId="14E84399" w14:textId="7B1C4280" w:rsidR="3341BD48" w:rsidRPr="00B85D62" w:rsidRDefault="3341BD48" w:rsidP="0066232B">
            <w:pPr>
              <w:jc w:val="right"/>
              <w:rPr>
                <w:rFonts w:eastAsia="Calibri" w:cs="Arial"/>
              </w:rPr>
            </w:pPr>
            <w:r w:rsidRPr="00B85D62">
              <w:rPr>
                <w:rFonts w:eastAsia="Calibri" w:cs="Arial"/>
              </w:rPr>
              <w:t>£6</w:t>
            </w:r>
          </w:p>
        </w:tc>
      </w:tr>
      <w:tr w:rsidR="3341BD48" w:rsidRPr="00B85D62" w14:paraId="225CA36D" w14:textId="77777777" w:rsidTr="00B85D62">
        <w:trPr>
          <w:cantSplit/>
        </w:trPr>
        <w:tc>
          <w:tcPr>
            <w:tcW w:w="0" w:type="auto"/>
          </w:tcPr>
          <w:p w14:paraId="74B3CC3C" w14:textId="7F085BBB" w:rsidR="3341BD48" w:rsidRPr="00B85D62" w:rsidRDefault="3341BD48" w:rsidP="0066232B">
            <w:pPr>
              <w:rPr>
                <w:rFonts w:eastAsia="Calibri" w:cs="Arial"/>
              </w:rPr>
            </w:pPr>
            <w:r w:rsidRPr="00B85D62">
              <w:rPr>
                <w:rFonts w:eastAsia="Calibri" w:cs="Arial"/>
              </w:rPr>
              <w:t>Appointment to start the cascade</w:t>
            </w:r>
          </w:p>
        </w:tc>
        <w:tc>
          <w:tcPr>
            <w:tcW w:w="0" w:type="auto"/>
          </w:tcPr>
          <w:p w14:paraId="05C7A1FF" w14:textId="360BE9FD" w:rsidR="3341BD48" w:rsidRPr="00B85D62" w:rsidRDefault="3341BD48" w:rsidP="0066232B">
            <w:pPr>
              <w:rPr>
                <w:rFonts w:eastAsia="Calibri" w:cs="Arial"/>
              </w:rPr>
            </w:pPr>
            <w:r w:rsidRPr="00B85D62">
              <w:rPr>
                <w:rFonts w:eastAsia="Calibri" w:cs="Arial"/>
              </w:rPr>
              <w:t>Arranging appointment: 10 minutes secretarial staff</w:t>
            </w:r>
          </w:p>
          <w:p w14:paraId="50D8BC6D" w14:textId="216D7249" w:rsidR="3341BD48" w:rsidRPr="00B85D62" w:rsidRDefault="3341BD48" w:rsidP="0066232B">
            <w:pPr>
              <w:rPr>
                <w:rFonts w:eastAsia="Calibri" w:cs="Arial"/>
              </w:rPr>
            </w:pPr>
            <w:r w:rsidRPr="00B85D62">
              <w:rPr>
                <w:rFonts w:eastAsia="Calibri" w:cs="Arial"/>
              </w:rPr>
              <w:t>With FH nurse or genetic counsellor: 50 minutes</w:t>
            </w:r>
          </w:p>
        </w:tc>
        <w:tc>
          <w:tcPr>
            <w:tcW w:w="0" w:type="auto"/>
          </w:tcPr>
          <w:p w14:paraId="65B79464" w14:textId="03928859" w:rsidR="3341BD48" w:rsidRPr="00B85D62" w:rsidRDefault="3341BD48" w:rsidP="0066232B">
            <w:pPr>
              <w:jc w:val="right"/>
              <w:rPr>
                <w:rFonts w:eastAsia="Calibri" w:cs="Arial"/>
              </w:rPr>
            </w:pPr>
            <w:r w:rsidRPr="00B85D62">
              <w:rPr>
                <w:rFonts w:eastAsia="Calibri" w:cs="Arial"/>
              </w:rPr>
              <w:t>£51</w:t>
            </w:r>
          </w:p>
        </w:tc>
      </w:tr>
      <w:tr w:rsidR="3341BD48" w:rsidRPr="00B85D62" w14:paraId="68550A41" w14:textId="77777777" w:rsidTr="00B85D62">
        <w:trPr>
          <w:cantSplit/>
        </w:trPr>
        <w:tc>
          <w:tcPr>
            <w:tcW w:w="0" w:type="auto"/>
            <w:gridSpan w:val="3"/>
            <w:shd w:val="clear" w:color="auto" w:fill="E7E6E6" w:themeFill="background2"/>
          </w:tcPr>
          <w:p w14:paraId="466BA755" w14:textId="11F88659" w:rsidR="3341BD48" w:rsidRPr="00B85D62" w:rsidRDefault="3341BD48" w:rsidP="0066232B">
            <w:pPr>
              <w:rPr>
                <w:rFonts w:eastAsia="Calibri" w:cs="Arial"/>
              </w:rPr>
            </w:pPr>
            <w:r w:rsidRPr="00B85D62">
              <w:rPr>
                <w:rFonts w:eastAsia="Calibri" w:cs="Arial"/>
              </w:rPr>
              <w:t>Contacting relatives</w:t>
            </w:r>
          </w:p>
        </w:tc>
      </w:tr>
      <w:tr w:rsidR="3341BD48" w:rsidRPr="00B85D62" w14:paraId="5C892E2D" w14:textId="77777777" w:rsidTr="00B85D62">
        <w:trPr>
          <w:cantSplit/>
        </w:trPr>
        <w:tc>
          <w:tcPr>
            <w:tcW w:w="0" w:type="auto"/>
          </w:tcPr>
          <w:p w14:paraId="00AE14C4" w14:textId="282E7736" w:rsidR="3341BD48" w:rsidRPr="00B85D62" w:rsidRDefault="3341BD48" w:rsidP="0066232B">
            <w:pPr>
              <w:rPr>
                <w:rFonts w:eastAsia="Calibri" w:cs="Arial"/>
              </w:rPr>
            </w:pPr>
            <w:r w:rsidRPr="00B85D62">
              <w:rPr>
                <w:rFonts w:eastAsia="Calibri" w:cs="Arial"/>
              </w:rPr>
              <w:t>Additional cost of contacting relatives directly, per relative</w:t>
            </w:r>
          </w:p>
        </w:tc>
        <w:tc>
          <w:tcPr>
            <w:tcW w:w="0" w:type="auto"/>
          </w:tcPr>
          <w:p w14:paraId="4328BADF" w14:textId="30DF250C" w:rsidR="3341BD48" w:rsidRPr="00B85D62" w:rsidRDefault="3341BD48" w:rsidP="0066232B">
            <w:pPr>
              <w:rPr>
                <w:rFonts w:eastAsia="Calibri" w:cs="Arial"/>
              </w:rPr>
            </w:pPr>
            <w:r w:rsidRPr="00B85D62">
              <w:rPr>
                <w:rFonts w:eastAsia="Calibri" w:cs="Arial"/>
              </w:rPr>
              <w:t>10 minutes of secretarial staff</w:t>
            </w:r>
          </w:p>
          <w:p w14:paraId="495D5B21" w14:textId="52D3A2E6" w:rsidR="3341BD48" w:rsidRPr="00B85D62" w:rsidRDefault="3341BD48" w:rsidP="0066232B">
            <w:pPr>
              <w:rPr>
                <w:rFonts w:eastAsia="Calibri" w:cs="Arial"/>
              </w:rPr>
            </w:pPr>
            <w:r w:rsidRPr="00B85D62">
              <w:rPr>
                <w:rFonts w:eastAsia="Calibri" w:cs="Arial"/>
              </w:rPr>
              <w:t>Printing and posting letter</w:t>
            </w:r>
          </w:p>
        </w:tc>
        <w:tc>
          <w:tcPr>
            <w:tcW w:w="0" w:type="auto"/>
          </w:tcPr>
          <w:p w14:paraId="4A5A94B8" w14:textId="65EB853C" w:rsidR="3341BD48" w:rsidRPr="00B85D62" w:rsidRDefault="3341BD48" w:rsidP="0066232B">
            <w:pPr>
              <w:jc w:val="right"/>
              <w:rPr>
                <w:rFonts w:eastAsia="Calibri" w:cs="Arial"/>
              </w:rPr>
            </w:pPr>
            <w:r w:rsidRPr="00B85D62">
              <w:rPr>
                <w:rFonts w:eastAsia="Calibri" w:cs="Arial"/>
              </w:rPr>
              <w:t>£8</w:t>
            </w:r>
          </w:p>
        </w:tc>
      </w:tr>
      <w:tr w:rsidR="3341BD48" w:rsidRPr="00B85D62" w14:paraId="51EEF2CA" w14:textId="77777777" w:rsidTr="00B85D62">
        <w:trPr>
          <w:cantSplit/>
        </w:trPr>
        <w:tc>
          <w:tcPr>
            <w:tcW w:w="0" w:type="auto"/>
            <w:gridSpan w:val="3"/>
            <w:shd w:val="clear" w:color="auto" w:fill="E7E6E6" w:themeFill="background2"/>
          </w:tcPr>
          <w:p w14:paraId="033BA3EE" w14:textId="63D50C72" w:rsidR="3341BD48" w:rsidRPr="00B85D62" w:rsidRDefault="3341BD48" w:rsidP="0066232B">
            <w:pPr>
              <w:rPr>
                <w:rFonts w:eastAsia="Calibri" w:cs="Arial"/>
              </w:rPr>
            </w:pPr>
            <w:r w:rsidRPr="00B85D62">
              <w:rPr>
                <w:rFonts w:eastAsia="Calibri" w:cs="Arial"/>
              </w:rPr>
              <w:t>Testing relatives</w:t>
            </w:r>
          </w:p>
        </w:tc>
      </w:tr>
      <w:tr w:rsidR="3341BD48" w:rsidRPr="00B85D62" w14:paraId="7F077AE4" w14:textId="77777777" w:rsidTr="00B85D62">
        <w:trPr>
          <w:cantSplit/>
        </w:trPr>
        <w:tc>
          <w:tcPr>
            <w:tcW w:w="0" w:type="auto"/>
            <w:vMerge w:val="restart"/>
          </w:tcPr>
          <w:p w14:paraId="4D6A4757" w14:textId="4F2650FC" w:rsidR="3341BD48" w:rsidRPr="00B85D62" w:rsidRDefault="3341BD48" w:rsidP="0066232B">
            <w:pPr>
              <w:rPr>
                <w:rFonts w:eastAsia="Calibri" w:cs="Arial"/>
              </w:rPr>
            </w:pPr>
            <w:r w:rsidRPr="00B85D62">
              <w:rPr>
                <w:rFonts w:eastAsia="Calibri" w:cs="Arial"/>
              </w:rPr>
              <w:t>Appointment with relative</w:t>
            </w:r>
          </w:p>
        </w:tc>
        <w:tc>
          <w:tcPr>
            <w:tcW w:w="0" w:type="auto"/>
          </w:tcPr>
          <w:p w14:paraId="0206EC84" w14:textId="13BDDC63" w:rsidR="3341BD48" w:rsidRPr="00B85D62" w:rsidRDefault="3341BD48" w:rsidP="0066232B">
            <w:pPr>
              <w:rPr>
                <w:rFonts w:eastAsia="Calibri" w:cs="Arial"/>
              </w:rPr>
            </w:pPr>
            <w:r w:rsidRPr="00B85D62">
              <w:rPr>
                <w:rFonts w:eastAsia="Calibri" w:cs="Arial"/>
              </w:rPr>
              <w:t>Arranging appointment: 10 minutes secretarial staff</w:t>
            </w:r>
          </w:p>
          <w:p w14:paraId="113BCA19" w14:textId="1FA38644" w:rsidR="3341BD48" w:rsidRPr="00B85D62" w:rsidRDefault="3341BD48" w:rsidP="0066232B">
            <w:pPr>
              <w:rPr>
                <w:rFonts w:eastAsia="Calibri" w:cs="Arial"/>
              </w:rPr>
            </w:pPr>
            <w:r w:rsidRPr="00B85D62">
              <w:rPr>
                <w:rFonts w:eastAsia="Calibri" w:cs="Arial"/>
              </w:rPr>
              <w:t>With FH nurse or genetic counsellor: 60 minutes</w:t>
            </w:r>
          </w:p>
        </w:tc>
        <w:tc>
          <w:tcPr>
            <w:tcW w:w="0" w:type="auto"/>
          </w:tcPr>
          <w:p w14:paraId="0660991C" w14:textId="317A5036" w:rsidR="3341BD48" w:rsidRPr="00B85D62" w:rsidRDefault="3341BD48" w:rsidP="0066232B">
            <w:pPr>
              <w:jc w:val="right"/>
              <w:rPr>
                <w:rFonts w:eastAsia="Calibri" w:cs="Arial"/>
              </w:rPr>
            </w:pPr>
            <w:r w:rsidRPr="00B85D62">
              <w:rPr>
                <w:rFonts w:eastAsia="Calibri" w:cs="Arial"/>
              </w:rPr>
              <w:t>£61</w:t>
            </w:r>
          </w:p>
        </w:tc>
      </w:tr>
      <w:tr w:rsidR="3341BD48" w:rsidRPr="00B85D62" w14:paraId="2A79AD09" w14:textId="77777777" w:rsidTr="00B85D62">
        <w:trPr>
          <w:cantSplit/>
        </w:trPr>
        <w:tc>
          <w:tcPr>
            <w:tcW w:w="0" w:type="auto"/>
            <w:vMerge/>
            <w:vAlign w:val="center"/>
          </w:tcPr>
          <w:p w14:paraId="758D49DA" w14:textId="77777777" w:rsidR="003F1F7A" w:rsidRPr="00B85D62" w:rsidRDefault="003F1F7A" w:rsidP="0066232B">
            <w:pPr>
              <w:rPr>
                <w:rFonts w:cs="Arial"/>
              </w:rPr>
            </w:pPr>
          </w:p>
        </w:tc>
        <w:tc>
          <w:tcPr>
            <w:tcW w:w="0" w:type="auto"/>
          </w:tcPr>
          <w:p w14:paraId="136A08A4" w14:textId="483D6D6C" w:rsidR="3341BD48" w:rsidRPr="00B85D62" w:rsidRDefault="3341BD48" w:rsidP="0066232B">
            <w:pPr>
              <w:rPr>
                <w:rFonts w:eastAsia="Calibri" w:cs="Arial"/>
              </w:rPr>
            </w:pPr>
            <w:r w:rsidRPr="00B85D62">
              <w:rPr>
                <w:rFonts w:eastAsia="Calibri" w:cs="Arial"/>
              </w:rPr>
              <w:t>Blood sample (each)</w:t>
            </w:r>
          </w:p>
        </w:tc>
        <w:tc>
          <w:tcPr>
            <w:tcW w:w="0" w:type="auto"/>
          </w:tcPr>
          <w:p w14:paraId="741C8D12" w14:textId="576596DE" w:rsidR="3341BD48" w:rsidRPr="00B85D62" w:rsidRDefault="3341BD48" w:rsidP="0066232B">
            <w:pPr>
              <w:jc w:val="right"/>
              <w:rPr>
                <w:rFonts w:eastAsia="Calibri" w:cs="Arial"/>
              </w:rPr>
            </w:pPr>
            <w:r w:rsidRPr="00B85D62">
              <w:rPr>
                <w:rFonts w:eastAsia="Calibri" w:cs="Arial"/>
              </w:rPr>
              <w:t>£4</w:t>
            </w:r>
          </w:p>
        </w:tc>
      </w:tr>
      <w:tr w:rsidR="3341BD48" w:rsidRPr="00B85D62" w14:paraId="5D8CAC12" w14:textId="77777777" w:rsidTr="00B85D62">
        <w:trPr>
          <w:cantSplit/>
        </w:trPr>
        <w:tc>
          <w:tcPr>
            <w:tcW w:w="0" w:type="auto"/>
          </w:tcPr>
          <w:p w14:paraId="4820D8DC" w14:textId="65E829EA" w:rsidR="3341BD48" w:rsidRPr="00B85D62" w:rsidRDefault="3341BD48" w:rsidP="0066232B">
            <w:pPr>
              <w:rPr>
                <w:rFonts w:eastAsia="Calibri" w:cs="Arial"/>
              </w:rPr>
            </w:pPr>
            <w:r w:rsidRPr="00B85D62">
              <w:rPr>
                <w:rFonts w:eastAsia="Calibri" w:cs="Arial"/>
              </w:rPr>
              <w:t>Test</w:t>
            </w:r>
          </w:p>
        </w:tc>
        <w:tc>
          <w:tcPr>
            <w:tcW w:w="0" w:type="auto"/>
          </w:tcPr>
          <w:p w14:paraId="4FCB19D4" w14:textId="56D74C5F" w:rsidR="3341BD48" w:rsidRPr="00B85D62" w:rsidRDefault="3341BD48" w:rsidP="0066232B">
            <w:pPr>
              <w:rPr>
                <w:rFonts w:eastAsia="Calibri" w:cs="Arial"/>
              </w:rPr>
            </w:pPr>
            <w:r w:rsidRPr="00B85D62">
              <w:rPr>
                <w:rFonts w:eastAsia="Calibri" w:cs="Arial"/>
              </w:rPr>
              <w:t>Cholesterol test and/or</w:t>
            </w:r>
          </w:p>
          <w:p w14:paraId="2C1B5598" w14:textId="0BC2BEC0" w:rsidR="3341BD48" w:rsidRPr="00B85D62" w:rsidRDefault="3341BD48" w:rsidP="0066232B">
            <w:pPr>
              <w:rPr>
                <w:rFonts w:eastAsia="Calibri" w:cs="Arial"/>
              </w:rPr>
            </w:pPr>
            <w:r w:rsidRPr="00B85D62">
              <w:rPr>
                <w:rFonts w:eastAsia="Calibri" w:cs="Arial"/>
              </w:rPr>
              <w:t>Genetic test</w:t>
            </w:r>
          </w:p>
        </w:tc>
        <w:tc>
          <w:tcPr>
            <w:tcW w:w="0" w:type="auto"/>
          </w:tcPr>
          <w:p w14:paraId="342056E1" w14:textId="202B1D4B" w:rsidR="3341BD48" w:rsidRPr="00B85D62" w:rsidRDefault="3341BD48" w:rsidP="0066232B">
            <w:pPr>
              <w:jc w:val="right"/>
              <w:rPr>
                <w:rFonts w:eastAsia="Calibri" w:cs="Arial"/>
              </w:rPr>
            </w:pPr>
            <w:r w:rsidRPr="00B85D62">
              <w:rPr>
                <w:rFonts w:eastAsia="Calibri" w:cs="Arial"/>
              </w:rPr>
              <w:t>£1</w:t>
            </w:r>
          </w:p>
          <w:p w14:paraId="0EA34C3B" w14:textId="7AC2FA3C" w:rsidR="3341BD48" w:rsidRPr="00B85D62" w:rsidRDefault="3341BD48" w:rsidP="0066232B">
            <w:pPr>
              <w:jc w:val="right"/>
              <w:rPr>
                <w:rFonts w:eastAsia="Calibri" w:cs="Arial"/>
              </w:rPr>
            </w:pPr>
            <w:r w:rsidRPr="00B85D62">
              <w:rPr>
                <w:rFonts w:eastAsia="Calibri" w:cs="Arial"/>
              </w:rPr>
              <w:t>£108</w:t>
            </w:r>
          </w:p>
        </w:tc>
      </w:tr>
      <w:tr w:rsidR="3341BD48" w:rsidRPr="00B85D62" w14:paraId="6993113C" w14:textId="77777777" w:rsidTr="00B85D62">
        <w:trPr>
          <w:cantSplit/>
        </w:trPr>
        <w:tc>
          <w:tcPr>
            <w:tcW w:w="0" w:type="auto"/>
          </w:tcPr>
          <w:p w14:paraId="2FB29EC7" w14:textId="7D00EC22" w:rsidR="3341BD48" w:rsidRPr="00B85D62" w:rsidRDefault="3341BD48" w:rsidP="0066232B">
            <w:pPr>
              <w:rPr>
                <w:rFonts w:eastAsia="Calibri" w:cs="Arial"/>
              </w:rPr>
            </w:pPr>
            <w:r w:rsidRPr="00B85D62">
              <w:rPr>
                <w:rFonts w:eastAsia="Calibri" w:cs="Arial"/>
              </w:rPr>
              <w:t>Communication of results</w:t>
            </w:r>
          </w:p>
        </w:tc>
        <w:tc>
          <w:tcPr>
            <w:tcW w:w="0" w:type="auto"/>
          </w:tcPr>
          <w:p w14:paraId="3E5A9BA9" w14:textId="15B86B93" w:rsidR="3341BD48" w:rsidRPr="00B85D62" w:rsidRDefault="3341BD48" w:rsidP="0066232B">
            <w:pPr>
              <w:rPr>
                <w:rFonts w:eastAsia="Calibri" w:cs="Arial"/>
              </w:rPr>
            </w:pPr>
            <w:r w:rsidRPr="00B85D62">
              <w:rPr>
                <w:rFonts w:eastAsia="Calibri" w:cs="Arial"/>
              </w:rPr>
              <w:t>Phone or letter</w:t>
            </w:r>
          </w:p>
          <w:p w14:paraId="64B97BA8" w14:textId="1BF70F93" w:rsidR="3341BD48" w:rsidRPr="00B85D62" w:rsidRDefault="3341BD48" w:rsidP="0066232B">
            <w:pPr>
              <w:rPr>
                <w:rFonts w:eastAsia="Calibri" w:cs="Arial"/>
              </w:rPr>
            </w:pPr>
            <w:r w:rsidRPr="00B85D62">
              <w:rPr>
                <w:rFonts w:eastAsia="Calibri" w:cs="Arial"/>
              </w:rPr>
              <w:t>Secretarial staff: 10 minutes</w:t>
            </w:r>
          </w:p>
        </w:tc>
        <w:tc>
          <w:tcPr>
            <w:tcW w:w="0" w:type="auto"/>
          </w:tcPr>
          <w:p w14:paraId="3C68BF15" w14:textId="3E3EE6DD" w:rsidR="3341BD48" w:rsidRPr="00B85D62" w:rsidRDefault="3341BD48" w:rsidP="0066232B">
            <w:pPr>
              <w:jc w:val="right"/>
              <w:rPr>
                <w:rFonts w:eastAsia="Calibri" w:cs="Arial"/>
              </w:rPr>
            </w:pPr>
            <w:r w:rsidRPr="00B85D62">
              <w:rPr>
                <w:rFonts w:eastAsia="Calibri" w:cs="Arial"/>
              </w:rPr>
              <w:t>£6</w:t>
            </w:r>
          </w:p>
        </w:tc>
      </w:tr>
      <w:tr w:rsidR="3341BD48" w:rsidRPr="00B85D62" w14:paraId="6860D1B9" w14:textId="77777777" w:rsidTr="00B85D62">
        <w:trPr>
          <w:cantSplit/>
        </w:trPr>
        <w:tc>
          <w:tcPr>
            <w:tcW w:w="0" w:type="auto"/>
            <w:gridSpan w:val="3"/>
          </w:tcPr>
          <w:p w14:paraId="29EB42B4" w14:textId="77777777" w:rsidR="00B85D62" w:rsidRPr="00B85D62" w:rsidRDefault="269D3CBE" w:rsidP="0066232B">
            <w:pPr>
              <w:rPr>
                <w:rFonts w:eastAsia="Calibri" w:cs="Arial"/>
                <w:sz w:val="18"/>
                <w:szCs w:val="18"/>
              </w:rPr>
            </w:pPr>
            <w:r w:rsidRPr="00B85D62">
              <w:rPr>
                <w:rFonts w:eastAsia="Calibri" w:cs="Arial"/>
                <w:sz w:val="18"/>
                <w:szCs w:val="18"/>
              </w:rPr>
              <w:t>Source of unit costs were PSSRU 2019 [</w:t>
            </w:r>
            <w:r w:rsidR="00B55E94" w:rsidRPr="00B85D62">
              <w:rPr>
                <w:rFonts w:eastAsia="Calibri" w:cs="Arial"/>
                <w:sz w:val="18"/>
                <w:szCs w:val="18"/>
              </w:rPr>
              <w:t>https://www.pssru.ac.uk/project-pages/unit-costs/unit-costs-2019/</w:t>
            </w:r>
            <w:r w:rsidRPr="00B85D62">
              <w:rPr>
                <w:rFonts w:eastAsia="Calibri" w:cs="Arial"/>
                <w:sz w:val="18"/>
                <w:szCs w:val="18"/>
              </w:rPr>
              <w:t>], NHS Reference Costs 2019 [</w:t>
            </w:r>
            <w:r w:rsidR="00B55E94" w:rsidRPr="00B85D62">
              <w:rPr>
                <w:rFonts w:eastAsia="Calibri" w:cs="Arial"/>
                <w:sz w:val="18"/>
                <w:szCs w:val="18"/>
              </w:rPr>
              <w:t>https://www.england.nhs.uk/national-cost-collection/</w:t>
            </w:r>
            <w:r w:rsidRPr="00B85D62">
              <w:rPr>
                <w:rFonts w:eastAsia="Calibri" w:cs="Arial"/>
                <w:sz w:val="18"/>
                <w:szCs w:val="18"/>
              </w:rPr>
              <w:t>], personal communication by Williams, M., from Bristol Genetics Laboratory.</w:t>
            </w:r>
          </w:p>
          <w:p w14:paraId="7339F82B" w14:textId="3D550D27" w:rsidR="3341BD48" w:rsidRPr="00B85D62" w:rsidRDefault="269D3CBE" w:rsidP="00935054">
            <w:pPr>
              <w:rPr>
                <w:rFonts w:eastAsia="Calibri" w:cs="Arial"/>
              </w:rPr>
            </w:pPr>
            <w:r w:rsidRPr="00B85D62">
              <w:rPr>
                <w:rFonts w:eastAsia="Calibri" w:cs="Arial"/>
                <w:sz w:val="18"/>
                <w:szCs w:val="18"/>
              </w:rPr>
              <w:t xml:space="preserve">Details in </w:t>
            </w:r>
            <w:r w:rsidR="00416EB2" w:rsidRPr="00B85D62">
              <w:rPr>
                <w:rFonts w:eastAsia="Calibri" w:cs="Arial"/>
                <w:i/>
                <w:sz w:val="18"/>
                <w:szCs w:val="18"/>
              </w:rPr>
              <w:t>Online Supplementary file 5 (Cost-effectiveness)</w:t>
            </w:r>
            <w:r w:rsidR="00935054" w:rsidRPr="00B85D62">
              <w:rPr>
                <w:rFonts w:eastAsia="Calibri" w:cs="Arial"/>
                <w:i/>
                <w:sz w:val="18"/>
                <w:szCs w:val="18"/>
              </w:rPr>
              <w:t>,</w:t>
            </w:r>
            <w:r w:rsidRPr="00B85D62">
              <w:rPr>
                <w:rFonts w:eastAsia="Calibri" w:cs="Arial"/>
                <w:sz w:val="18"/>
                <w:szCs w:val="18"/>
              </w:rPr>
              <w:t xml:space="preserve"> </w:t>
            </w:r>
            <w:r w:rsidR="00B85D62" w:rsidRPr="00B85D62">
              <w:rPr>
                <w:rFonts w:eastAsia="Calibri" w:cs="Arial"/>
                <w:i/>
                <w:color w:val="FF0000"/>
                <w:sz w:val="18"/>
                <w:szCs w:val="18"/>
              </w:rPr>
              <w:t>T</w:t>
            </w:r>
            <w:r w:rsidR="00B85D62" w:rsidRPr="00B85D62">
              <w:rPr>
                <w:rFonts w:eastAsia="Calibri" w:cs="Arial"/>
                <w:i/>
                <w:color w:val="FF0000"/>
                <w:sz w:val="18"/>
                <w:szCs w:val="18"/>
              </w:rPr>
              <w:t>ables</w:t>
            </w:r>
            <w:r w:rsidR="00B85D62" w:rsidRPr="00B85D62">
              <w:rPr>
                <w:rFonts w:eastAsia="Calibri" w:cs="Arial"/>
                <w:i/>
                <w:color w:val="FF0000"/>
                <w:sz w:val="18"/>
                <w:szCs w:val="18"/>
              </w:rPr>
              <w:t xml:space="preserve"> </w:t>
            </w:r>
            <w:r w:rsidR="00B85D62" w:rsidRPr="00B85D62">
              <w:rPr>
                <w:rFonts w:eastAsia="Calibri" w:cs="Arial"/>
                <w:i/>
                <w:color w:val="FF0000"/>
                <w:sz w:val="18"/>
                <w:szCs w:val="18"/>
              </w:rPr>
              <w:t>6</w:t>
            </w:r>
            <w:r w:rsidR="00B85D62" w:rsidRPr="00B85D62">
              <w:rPr>
                <w:rFonts w:eastAsia="Calibri" w:cs="Arial"/>
                <w:i/>
                <w:color w:val="FF0000"/>
                <w:sz w:val="18"/>
                <w:szCs w:val="18"/>
              </w:rPr>
              <w:t>–</w:t>
            </w:r>
            <w:r w:rsidR="00B85D62" w:rsidRPr="00B85D62">
              <w:rPr>
                <w:rFonts w:eastAsia="Calibri" w:cs="Arial"/>
                <w:i/>
                <w:color w:val="FF0000"/>
                <w:sz w:val="18"/>
                <w:szCs w:val="18"/>
              </w:rPr>
              <w:t>8</w:t>
            </w:r>
            <w:r w:rsidRPr="00B85D62">
              <w:rPr>
                <w:rFonts w:eastAsia="Calibri" w:cs="Arial"/>
                <w:sz w:val="18"/>
                <w:szCs w:val="18"/>
              </w:rPr>
              <w:t>.</w:t>
            </w:r>
          </w:p>
        </w:tc>
      </w:tr>
    </w:tbl>
    <w:p w14:paraId="049A7065" w14:textId="04F8F13E" w:rsidR="3341BD48" w:rsidRPr="00B85D62" w:rsidRDefault="3341BD48" w:rsidP="0066232B">
      <w:pPr>
        <w:rPr>
          <w:rFonts w:eastAsia="Calibri" w:cs="Arial"/>
          <w:color w:val="000000" w:themeColor="text1"/>
        </w:rPr>
      </w:pPr>
    </w:p>
    <w:p w14:paraId="1F51542E" w14:textId="5283671E" w:rsidR="4924D102" w:rsidRPr="00B85D62" w:rsidRDefault="4924D102" w:rsidP="0066232B">
      <w:pPr>
        <w:rPr>
          <w:rFonts w:cs="Arial"/>
          <w:i/>
          <w:iCs/>
        </w:rPr>
      </w:pPr>
      <w:r w:rsidRPr="00B85D62">
        <w:rPr>
          <w:rFonts w:eastAsia="Calibri" w:cs="Arial"/>
          <w:i/>
          <w:iCs/>
          <w:color w:val="000000" w:themeColor="text1"/>
        </w:rPr>
        <w:t>Long-</w:t>
      </w:r>
      <w:r w:rsidRPr="00B85D62">
        <w:rPr>
          <w:rFonts w:cs="Arial"/>
          <w:i/>
          <w:iCs/>
        </w:rPr>
        <w:t>term health outcomes and costs</w:t>
      </w:r>
    </w:p>
    <w:p w14:paraId="353E2B59" w14:textId="0643A828" w:rsidR="4924D102" w:rsidRPr="00B85D62" w:rsidRDefault="11295BA2" w:rsidP="0066232B">
      <w:pPr>
        <w:rPr>
          <w:rFonts w:eastAsia="Calibri" w:cs="Arial"/>
          <w:color w:val="000000" w:themeColor="text1"/>
        </w:rPr>
      </w:pPr>
      <w:r w:rsidRPr="00B85D62">
        <w:rPr>
          <w:rFonts w:eastAsia="Calibri" w:cs="Arial"/>
          <w:color w:val="000000" w:themeColor="text1"/>
        </w:rPr>
        <w:t xml:space="preserve">For the long-term health outcomes and costs of managed and unmanaged FH relatives, we used the cost-effectiveness model described in </w:t>
      </w:r>
      <w:r w:rsidR="72ACFDDB" w:rsidRPr="00B85D62">
        <w:rPr>
          <w:rFonts w:eastAsia="Calibri" w:cs="Arial"/>
          <w:color w:val="000000" w:themeColor="text1"/>
        </w:rPr>
        <w:t xml:space="preserve">section </w:t>
      </w:r>
      <w:r w:rsidR="00502AA3" w:rsidRPr="00B85D62">
        <w:rPr>
          <w:rFonts w:eastAsia="Calibri" w:cs="Arial"/>
          <w:color w:val="000000" w:themeColor="text1"/>
        </w:rPr>
        <w:t>8</w:t>
      </w:r>
      <w:r w:rsidR="72ACFDDB" w:rsidRPr="00B85D62">
        <w:rPr>
          <w:rFonts w:eastAsia="Calibri" w:cs="Arial"/>
          <w:color w:val="000000" w:themeColor="text1"/>
        </w:rPr>
        <w:t>.4</w:t>
      </w:r>
      <w:r w:rsidRPr="00B85D62">
        <w:rPr>
          <w:rFonts w:eastAsia="Calibri" w:cs="Arial"/>
          <w:color w:val="000000" w:themeColor="text1"/>
        </w:rPr>
        <w:t>. For the outcomes of non-FH relatives, we used the NICE CG181 cost-effectiveness model, adapted to include young patients and patients at low CV</w:t>
      </w:r>
      <w:r w:rsidR="41440E1C" w:rsidRPr="00B85D62">
        <w:rPr>
          <w:rFonts w:eastAsia="Calibri" w:cs="Arial"/>
          <w:color w:val="000000" w:themeColor="text1"/>
        </w:rPr>
        <w:t>D</w:t>
      </w:r>
      <w:r w:rsidRPr="00B85D62">
        <w:rPr>
          <w:rFonts w:eastAsia="Calibri" w:cs="Arial"/>
          <w:color w:val="000000" w:themeColor="text1"/>
        </w:rPr>
        <w:t xml:space="preserve"> risk. See</w:t>
      </w:r>
      <w:r w:rsidR="651DCA28" w:rsidRPr="00B85D62">
        <w:rPr>
          <w:rFonts w:eastAsia="Calibri" w:cs="Arial"/>
          <w:color w:val="000000" w:themeColor="text1"/>
        </w:rPr>
        <w:t xml:space="preserve"> details of </w:t>
      </w:r>
      <w:r w:rsidR="651DCA28" w:rsidRPr="00B85D62">
        <w:rPr>
          <w:rFonts w:eastAsia="Calibri" w:cs="Arial"/>
          <w:i/>
          <w:iCs/>
          <w:color w:val="000000" w:themeColor="text1"/>
        </w:rPr>
        <w:t>Long</w:t>
      </w:r>
      <w:r w:rsidRPr="00B85D62">
        <w:rPr>
          <w:rFonts w:eastAsia="Calibri" w:cs="Arial"/>
          <w:i/>
          <w:iCs/>
          <w:color w:val="000000" w:themeColor="text1"/>
        </w:rPr>
        <w:t>-term outcomes of relatives who do not have FH</w:t>
      </w:r>
      <w:r w:rsidR="00895586" w:rsidRPr="00B85D62">
        <w:rPr>
          <w:rFonts w:eastAsia="Calibri" w:cs="Arial"/>
          <w:color w:val="000000" w:themeColor="text1"/>
        </w:rPr>
        <w:t xml:space="preserve"> </w:t>
      </w:r>
      <w:r w:rsidR="3B61A9DA" w:rsidRPr="00B85D62">
        <w:rPr>
          <w:rFonts w:eastAsia="Calibri" w:cs="Arial"/>
          <w:color w:val="000000" w:themeColor="text1"/>
        </w:rPr>
        <w:t xml:space="preserve">in </w:t>
      </w:r>
      <w:r w:rsidR="00807EBE" w:rsidRPr="00B85D62">
        <w:rPr>
          <w:rFonts w:eastAsia="Arial" w:cs="Arial"/>
          <w:i/>
          <w:color w:val="000000" w:themeColor="text1"/>
        </w:rPr>
        <w:t xml:space="preserve">Online Supplementary file 5 </w:t>
      </w:r>
      <w:r w:rsidR="00807EBE" w:rsidRPr="00B85D62">
        <w:rPr>
          <w:rFonts w:cs="Arial"/>
          <w:i/>
        </w:rPr>
        <w:t>(Cost-effectiveness</w:t>
      </w:r>
      <w:r w:rsidR="00807EBE" w:rsidRPr="00B85D62">
        <w:rPr>
          <w:rFonts w:cs="Arial"/>
        </w:rPr>
        <w:t>)</w:t>
      </w:r>
      <w:r w:rsidRPr="00B85D62">
        <w:rPr>
          <w:rFonts w:eastAsia="Calibri" w:cs="Arial"/>
          <w:color w:val="000000" w:themeColor="text1"/>
        </w:rPr>
        <w:t>.</w:t>
      </w:r>
    </w:p>
    <w:p w14:paraId="5589D04C" w14:textId="72B5C338" w:rsidR="4924D102" w:rsidRPr="00B85D62" w:rsidRDefault="4924D102" w:rsidP="006C7E71">
      <w:pPr>
        <w:pStyle w:val="Heading4"/>
        <w:numPr>
          <w:ilvl w:val="0"/>
          <w:numId w:val="0"/>
        </w:numPr>
      </w:pPr>
      <w:r w:rsidRPr="00B85D62">
        <w:t>Analytical methods</w:t>
      </w:r>
    </w:p>
    <w:p w14:paraId="41769795" w14:textId="73DD9CCF" w:rsidR="4924D102" w:rsidRPr="00B85D62" w:rsidRDefault="0261FC2A" w:rsidP="00A70C86">
      <w:pPr>
        <w:rPr>
          <w:rFonts w:eastAsia="Calibri" w:cs="Arial"/>
          <w:color w:val="000000" w:themeColor="text1"/>
        </w:rPr>
      </w:pPr>
      <w:r w:rsidRPr="00B85D62">
        <w:rPr>
          <w:rFonts w:eastAsia="Calibri" w:cs="Arial"/>
          <w:color w:val="000000" w:themeColor="text1"/>
        </w:rPr>
        <w:t xml:space="preserve">We compared the protocols in two steps, given that it was </w:t>
      </w:r>
      <w:r w:rsidR="003F7ED9" w:rsidRPr="00B85D62">
        <w:rPr>
          <w:rFonts w:eastAsia="Calibri" w:cs="Arial"/>
          <w:color w:val="000000" w:themeColor="text1"/>
        </w:rPr>
        <w:t xml:space="preserve">not </w:t>
      </w:r>
      <w:r w:rsidRPr="00B85D62">
        <w:rPr>
          <w:rFonts w:eastAsia="Calibri" w:cs="Arial"/>
          <w:color w:val="000000" w:themeColor="text1"/>
        </w:rPr>
        <w:t>feasible to compare all possible protocols simultaneously (</w:t>
      </w:r>
      <w:r w:rsidR="595901A4" w:rsidRPr="00B85D62">
        <w:rPr>
          <w:rFonts w:eastAsia="Calibri" w:cs="Arial"/>
          <w:color w:val="000000" w:themeColor="text1"/>
        </w:rPr>
        <w:t xml:space="preserve">See </w:t>
      </w:r>
      <w:r w:rsidRPr="00B85D62">
        <w:rPr>
          <w:rFonts w:eastAsia="Calibri" w:cs="Arial"/>
          <w:color w:val="000000" w:themeColor="text1"/>
        </w:rPr>
        <w:t xml:space="preserve">details in </w:t>
      </w:r>
      <w:r w:rsidRPr="00B85D62">
        <w:rPr>
          <w:rFonts w:eastAsia="Calibri" w:cs="Arial"/>
          <w:i/>
          <w:iCs/>
          <w:color w:val="000000" w:themeColor="text1"/>
        </w:rPr>
        <w:t>Further information on analytical methods</w:t>
      </w:r>
      <w:r w:rsidR="11975072" w:rsidRPr="00B85D62">
        <w:rPr>
          <w:rFonts w:eastAsia="Calibri" w:cs="Arial"/>
          <w:color w:val="000000" w:themeColor="text1"/>
        </w:rPr>
        <w:t xml:space="preserve"> in </w:t>
      </w:r>
      <w:r w:rsidR="00807EBE" w:rsidRPr="00B85D62">
        <w:rPr>
          <w:rFonts w:eastAsia="Arial" w:cs="Arial"/>
          <w:i/>
          <w:color w:val="000000" w:themeColor="text1"/>
        </w:rPr>
        <w:t xml:space="preserve">Online Supplementary file </w:t>
      </w:r>
      <w:r w:rsidR="00416EB2" w:rsidRPr="00B85D62">
        <w:rPr>
          <w:rFonts w:eastAsia="Arial" w:cs="Arial"/>
          <w:i/>
          <w:color w:val="000000" w:themeColor="text1"/>
        </w:rPr>
        <w:t>5</w:t>
      </w:r>
      <w:r w:rsidR="11975072" w:rsidRPr="00B85D62">
        <w:rPr>
          <w:rFonts w:eastAsia="Calibri" w:cs="Arial"/>
          <w:color w:val="000000" w:themeColor="text1"/>
        </w:rPr>
        <w:t>)</w:t>
      </w:r>
      <w:r w:rsidRPr="00B85D62">
        <w:rPr>
          <w:rFonts w:eastAsia="Calibri" w:cs="Arial"/>
          <w:color w:val="000000" w:themeColor="text1"/>
        </w:rPr>
        <w:t>. Throughout, we used the cost-effectiveness thresholds of £15,000 and £20,000/QALY</w:t>
      </w:r>
      <w:r w:rsidR="00C35B5E" w:rsidRPr="00B85D62">
        <w:rPr>
          <w:rFonts w:eastAsia="Calibri" w:cs="Arial"/>
          <w:noProof/>
          <w:color w:val="000000" w:themeColor="text1"/>
          <w:shd w:val="clear" w:color="auto" w:fill="E6E6E6"/>
          <w:vertAlign w:val="superscript"/>
        </w:rPr>
        <w:t>145, 163</w:t>
      </w:r>
      <w:r w:rsidR="00B85D62" w:rsidRPr="00B85D62">
        <w:rPr>
          <w:rFonts w:eastAsia="Calibri" w:cs="Arial"/>
          <w:noProof/>
          <w:color w:val="00B0F0"/>
          <w:shd w:val="clear" w:color="auto" w:fill="E6E6E6"/>
          <w:vertAlign w:val="superscript"/>
        </w:rPr>
        <w:t>–</w:t>
      </w:r>
      <w:r w:rsidR="00B85D62" w:rsidRPr="00B85D62">
        <w:rPr>
          <w:rFonts w:eastAsia="Calibri" w:cs="Arial"/>
          <w:noProof/>
          <w:color w:val="00B0F0"/>
          <w:shd w:val="clear" w:color="auto" w:fill="E6E6E6"/>
          <w:vertAlign w:val="superscript"/>
        </w:rPr>
        <w:t>1</w:t>
      </w:r>
      <w:r w:rsidR="00C35B5E" w:rsidRPr="00B85D62">
        <w:rPr>
          <w:rFonts w:eastAsia="Calibri" w:cs="Arial"/>
          <w:noProof/>
          <w:color w:val="000000" w:themeColor="text1"/>
          <w:shd w:val="clear" w:color="auto" w:fill="E6E6E6"/>
          <w:vertAlign w:val="superscript"/>
        </w:rPr>
        <w:t>67</w:t>
      </w:r>
      <w:r w:rsidRPr="00B85D62">
        <w:rPr>
          <w:rFonts w:eastAsia="Calibri" w:cs="Arial"/>
          <w:color w:val="000000" w:themeColor="text1"/>
        </w:rPr>
        <w:t xml:space="preserve">, similarly to the analysis in </w:t>
      </w:r>
      <w:r w:rsidR="37B1A90C" w:rsidRPr="00B85D62">
        <w:rPr>
          <w:rFonts w:eastAsia="Calibri" w:cs="Arial"/>
          <w:color w:val="000000" w:themeColor="text1"/>
        </w:rPr>
        <w:t xml:space="preserve">section </w:t>
      </w:r>
      <w:r w:rsidR="003F7ED9" w:rsidRPr="00B85D62">
        <w:rPr>
          <w:rFonts w:eastAsia="Calibri" w:cs="Arial"/>
          <w:color w:val="000000" w:themeColor="text1"/>
        </w:rPr>
        <w:t>8</w:t>
      </w:r>
      <w:r w:rsidR="37B1A90C" w:rsidRPr="00B85D62">
        <w:rPr>
          <w:rFonts w:eastAsia="Calibri" w:cs="Arial"/>
          <w:color w:val="000000" w:themeColor="text1"/>
        </w:rPr>
        <w:t>.4</w:t>
      </w:r>
      <w:r w:rsidRPr="00B85D62">
        <w:rPr>
          <w:rFonts w:eastAsia="Calibri" w:cs="Arial"/>
          <w:color w:val="000000" w:themeColor="text1"/>
        </w:rPr>
        <w:t>.</w:t>
      </w:r>
    </w:p>
    <w:p w14:paraId="38D1A7CC" w14:textId="20653E02" w:rsidR="00B85D62" w:rsidRPr="00B85D62" w:rsidRDefault="4924D102" w:rsidP="0066232B">
      <w:pPr>
        <w:rPr>
          <w:rFonts w:eastAsia="Calibri" w:cs="Arial"/>
          <w:color w:val="000000" w:themeColor="text1"/>
        </w:rPr>
      </w:pPr>
      <w:r w:rsidRPr="00B85D62">
        <w:rPr>
          <w:rFonts w:eastAsia="Calibri" w:cs="Arial"/>
          <w:color w:val="000000" w:themeColor="text1"/>
        </w:rPr>
        <w:t xml:space="preserve">We first compared testing strategies and included those with a probability of being cost-effective </w:t>
      </w:r>
      <w:r w:rsidR="00B85D62" w:rsidRPr="00B85D62">
        <w:rPr>
          <w:rFonts w:eastAsia="Calibri" w:cs="Arial"/>
          <w:color w:val="00B0F0"/>
        </w:rPr>
        <w:t>≥</w:t>
      </w:r>
      <w:r w:rsidR="00B85D62" w:rsidRPr="00B85D62">
        <w:rPr>
          <w:rFonts w:eastAsia="Calibri" w:cs="Arial"/>
          <w:color w:val="00B0F0"/>
        </w:rPr>
        <w:t> </w:t>
      </w:r>
      <w:r w:rsidRPr="00B85D62">
        <w:rPr>
          <w:rFonts w:eastAsia="Calibri" w:cs="Arial"/>
          <w:color w:val="000000" w:themeColor="text1"/>
        </w:rPr>
        <w:t xml:space="preserve">5% in each age group, in 2000 simulations. We also included </w:t>
      </w:r>
      <w:r w:rsidR="00B85D62" w:rsidRPr="00B85D62">
        <w:rPr>
          <w:rFonts w:eastAsia="Calibri" w:cs="Arial"/>
          <w:color w:val="000000" w:themeColor="text1"/>
        </w:rPr>
        <w:t>“</w:t>
      </w:r>
      <w:r w:rsidRPr="00B85D62">
        <w:rPr>
          <w:rFonts w:eastAsia="Calibri" w:cs="Arial"/>
          <w:color w:val="000000" w:themeColor="text1"/>
        </w:rPr>
        <w:t>harmonised testing strategies</w:t>
      </w:r>
      <w:r w:rsidR="00B85D62" w:rsidRPr="00B85D62">
        <w:rPr>
          <w:rFonts w:eastAsia="Calibri" w:cs="Arial"/>
          <w:color w:val="000000" w:themeColor="text1"/>
        </w:rPr>
        <w:t>”</w:t>
      </w:r>
      <w:r w:rsidRPr="00B85D62">
        <w:rPr>
          <w:rFonts w:eastAsia="Calibri" w:cs="Arial"/>
          <w:color w:val="000000" w:themeColor="text1"/>
        </w:rPr>
        <w:t>, whereby the same testing strategy is used across age groups; and a strategy where genetic testing is offered to all relatives as per the Welsh and Wessex services.</w:t>
      </w:r>
    </w:p>
    <w:p w14:paraId="681C8CD4" w14:textId="77777777" w:rsidR="00B85D62" w:rsidRPr="00B85D62" w:rsidRDefault="4924D102" w:rsidP="0066232B">
      <w:pPr>
        <w:rPr>
          <w:rFonts w:eastAsia="Calibri" w:cs="Arial"/>
          <w:color w:val="000000" w:themeColor="text1"/>
        </w:rPr>
      </w:pPr>
      <w:r w:rsidRPr="00B85D62">
        <w:rPr>
          <w:rFonts w:eastAsia="Calibri" w:cs="Arial"/>
          <w:color w:val="000000" w:themeColor="text1"/>
        </w:rPr>
        <w:t>In the main analysis, the selected testing strategies were included with the options for contacting relatives (direct or indirect, concomitant or sequential cascade) and with the options for selecting index</w:t>
      </w:r>
      <w:r w:rsidR="003F7ED9" w:rsidRPr="00B85D62">
        <w:rPr>
          <w:rFonts w:eastAsia="Calibri" w:cs="Arial"/>
          <w:color w:val="000000" w:themeColor="text1"/>
        </w:rPr>
        <w:t xml:space="preserve"> cas</w:t>
      </w:r>
      <w:r w:rsidRPr="00B85D62">
        <w:rPr>
          <w:rFonts w:eastAsia="Calibri" w:cs="Arial"/>
          <w:color w:val="000000" w:themeColor="text1"/>
        </w:rPr>
        <w:t>es (using different thresholds for WDLCN), and run probabilistically over 2000 simulations</w:t>
      </w:r>
      <w:r w:rsidR="00665850" w:rsidRPr="00B85D62">
        <w:rPr>
          <w:rFonts w:eastAsia="Calibri" w:cs="Arial"/>
          <w:color w:val="000000" w:themeColor="text1"/>
        </w:rPr>
        <w:t xml:space="preserve"> </w:t>
      </w:r>
      <w:r w:rsidR="00C35B5E" w:rsidRPr="00B85D62">
        <w:rPr>
          <w:rFonts w:eastAsia="Calibri" w:cs="Arial"/>
          <w:noProof/>
          <w:color w:val="000000" w:themeColor="text1"/>
          <w:shd w:val="clear" w:color="auto" w:fill="E6E6E6"/>
          <w:vertAlign w:val="superscript"/>
        </w:rPr>
        <w:t>167</w:t>
      </w:r>
      <w:r w:rsidRPr="00B85D62">
        <w:rPr>
          <w:rFonts w:eastAsia="Calibri" w:cs="Arial"/>
          <w:color w:val="000000" w:themeColor="text1"/>
        </w:rPr>
        <w:t xml:space="preserve">. We calculated ICERs and the cost-effectiveness acceptability curve, which plots the probability that each protocol has the highest net health gain at a range of thresholds </w:t>
      </w:r>
      <w:r w:rsidR="00C35B5E" w:rsidRPr="00B85D62">
        <w:rPr>
          <w:rFonts w:eastAsia="Calibri" w:cs="Arial"/>
          <w:noProof/>
          <w:color w:val="000000" w:themeColor="text1"/>
          <w:shd w:val="clear" w:color="auto" w:fill="E6E6E6"/>
          <w:vertAlign w:val="superscript"/>
        </w:rPr>
        <w:t>173</w:t>
      </w:r>
      <w:r w:rsidRPr="00B85D62">
        <w:rPr>
          <w:rFonts w:eastAsia="Calibri" w:cs="Arial"/>
          <w:color w:val="000000" w:themeColor="text1"/>
        </w:rPr>
        <w:t>. We calculated the expected value of perfect information for the population of index families in the UK, assuming that the average number of index families assessed per year by the FH service in Wales per million population is generalisable.</w:t>
      </w:r>
    </w:p>
    <w:p w14:paraId="43C40823" w14:textId="60C42370" w:rsidR="4924D102" w:rsidRPr="00B85D62" w:rsidRDefault="4924D102" w:rsidP="0066232B">
      <w:pPr>
        <w:rPr>
          <w:rFonts w:eastAsia="Calibri" w:cs="Arial"/>
          <w:color w:val="000000" w:themeColor="text1"/>
        </w:rPr>
      </w:pPr>
      <w:r w:rsidRPr="00B85D62">
        <w:rPr>
          <w:rFonts w:eastAsia="Calibri" w:cs="Arial"/>
          <w:color w:val="000000" w:themeColor="text1"/>
        </w:rPr>
        <w:t xml:space="preserve">We termed the cascade protocol with the highest net health gain in the base-case the </w:t>
      </w:r>
      <w:r w:rsidR="00B85D62" w:rsidRPr="00B85D62">
        <w:rPr>
          <w:rFonts w:eastAsia="Calibri" w:cs="Arial"/>
          <w:color w:val="000000" w:themeColor="text1"/>
        </w:rPr>
        <w:t>“</w:t>
      </w:r>
      <w:r w:rsidRPr="00B85D62">
        <w:rPr>
          <w:rFonts w:eastAsia="Calibri" w:cs="Arial"/>
          <w:color w:val="000000" w:themeColor="text1"/>
        </w:rPr>
        <w:t>base-case cost-effective protocol</w:t>
      </w:r>
      <w:r w:rsidR="00B85D62" w:rsidRPr="00B85D62">
        <w:rPr>
          <w:rFonts w:eastAsia="Calibri" w:cs="Arial"/>
          <w:color w:val="000000" w:themeColor="text1"/>
        </w:rPr>
        <w:t>”</w:t>
      </w:r>
      <w:r w:rsidRPr="00B85D62">
        <w:rPr>
          <w:rFonts w:eastAsia="Calibri" w:cs="Arial"/>
          <w:color w:val="000000" w:themeColor="text1"/>
        </w:rPr>
        <w:t xml:space="preserve">, and the cascade protocol with the highest net health gain using the same testing strategy for all ages the </w:t>
      </w:r>
      <w:r w:rsidR="00B85D62" w:rsidRPr="00B85D62">
        <w:rPr>
          <w:rFonts w:eastAsia="Calibri" w:cs="Arial"/>
          <w:color w:val="000000" w:themeColor="text1"/>
        </w:rPr>
        <w:t>“</w:t>
      </w:r>
      <w:r w:rsidRPr="00B85D62">
        <w:rPr>
          <w:rFonts w:eastAsia="Calibri" w:cs="Arial"/>
          <w:color w:val="000000" w:themeColor="text1"/>
        </w:rPr>
        <w:t>harmonised cost-effective protocol</w:t>
      </w:r>
      <w:r w:rsidR="00B85D62" w:rsidRPr="00B85D62">
        <w:rPr>
          <w:rFonts w:eastAsia="Calibri" w:cs="Arial"/>
          <w:color w:val="000000" w:themeColor="text1"/>
        </w:rPr>
        <w:t>”</w:t>
      </w:r>
      <w:r w:rsidRPr="00B85D62">
        <w:rPr>
          <w:rFonts w:eastAsia="Calibri" w:cs="Arial"/>
          <w:color w:val="000000" w:themeColor="text1"/>
        </w:rPr>
        <w:t>.</w:t>
      </w:r>
    </w:p>
    <w:p w14:paraId="3BFD2334" w14:textId="1CD90347" w:rsidR="4924D102" w:rsidRPr="00B85D62" w:rsidRDefault="4924D102" w:rsidP="006C7E71">
      <w:pPr>
        <w:pStyle w:val="Heading4"/>
        <w:numPr>
          <w:ilvl w:val="0"/>
          <w:numId w:val="0"/>
        </w:numPr>
      </w:pPr>
      <w:r w:rsidRPr="00B85D62">
        <w:t>Sensitivity analysis</w:t>
      </w:r>
    </w:p>
    <w:p w14:paraId="6379C8BE" w14:textId="77777777" w:rsidR="00B85D62" w:rsidRPr="00B85D62" w:rsidRDefault="0261FC2A" w:rsidP="0066232B">
      <w:pPr>
        <w:rPr>
          <w:rFonts w:eastAsia="Calibri" w:cs="Arial"/>
          <w:color w:val="000000" w:themeColor="text1"/>
        </w:rPr>
      </w:pPr>
      <w:r w:rsidRPr="00B85D62">
        <w:rPr>
          <w:rFonts w:eastAsia="Calibri" w:cs="Arial"/>
          <w:color w:val="000000" w:themeColor="text1"/>
        </w:rPr>
        <w:t xml:space="preserve">We conducted 21 deterministic scenario </w:t>
      </w:r>
      <w:r w:rsidR="00EC28C4" w:rsidRPr="00B85D62">
        <w:rPr>
          <w:rFonts w:eastAsia="Calibri" w:cs="Arial"/>
          <w:color w:val="000000" w:themeColor="text1"/>
        </w:rPr>
        <w:t>analyses</w:t>
      </w:r>
      <w:r w:rsidRPr="00B85D62">
        <w:rPr>
          <w:rFonts w:eastAsia="Calibri" w:cs="Arial"/>
          <w:color w:val="000000" w:themeColor="text1"/>
        </w:rPr>
        <w:t xml:space="preserve"> to understand the sensitivity of the model to our assumptions. In the scenarios where the protocol with the highest net health gain differed from the base-case cost-effective protocol, we calculated the loss to the NHS if base-case cost-effective protocol was implemented but the alternative assumptions are correct. </w:t>
      </w:r>
      <w:r w:rsidR="6F32A279" w:rsidRPr="00B85D62">
        <w:rPr>
          <w:rFonts w:eastAsia="Calibri" w:cs="Arial"/>
          <w:color w:val="000000" w:themeColor="text1"/>
        </w:rPr>
        <w:t xml:space="preserve">In </w:t>
      </w:r>
      <w:r w:rsidR="00C33960" w:rsidRPr="00B85D62">
        <w:rPr>
          <w:rFonts w:eastAsia="Arial" w:cs="Arial"/>
          <w:i/>
          <w:color w:val="000000" w:themeColor="text1"/>
        </w:rPr>
        <w:t>Online Supplementary file 5</w:t>
      </w:r>
      <w:r w:rsidR="00B85D62" w:rsidRPr="00B85D62">
        <w:rPr>
          <w:rFonts w:eastAsia="Calibri" w:cs="Arial"/>
          <w:color w:val="00B0F0"/>
        </w:rPr>
        <w:t>,</w:t>
      </w:r>
      <w:r w:rsidR="6F32A279" w:rsidRPr="00B85D62">
        <w:rPr>
          <w:rFonts w:eastAsia="Calibri" w:cs="Arial"/>
          <w:i/>
          <w:iCs/>
          <w:color w:val="000000" w:themeColor="text1"/>
        </w:rPr>
        <w:t xml:space="preserve"> </w:t>
      </w:r>
      <w:r w:rsidRPr="00B85D62">
        <w:rPr>
          <w:rFonts w:eastAsia="Calibri" w:cs="Arial"/>
          <w:i/>
          <w:iCs/>
          <w:color w:val="000000" w:themeColor="text1"/>
        </w:rPr>
        <w:t xml:space="preserve">Scenario analysis </w:t>
      </w:r>
      <w:r w:rsidRPr="00B85D62">
        <w:rPr>
          <w:rFonts w:eastAsia="Calibri" w:cs="Arial"/>
          <w:color w:val="000000" w:themeColor="text1"/>
        </w:rPr>
        <w:t xml:space="preserve">details the scenarios. We conducted an additional scenario if genetic testing was not available because there may be situations where genetic testing capacity is constrained (e.g. </w:t>
      </w:r>
      <w:r w:rsidRPr="00B85D62">
        <w:rPr>
          <w:rFonts w:eastAsia="Calibri" w:cs="Arial"/>
          <w:color w:val="000000" w:themeColor="text1"/>
          <w:highlight w:val="magenta"/>
        </w:rPr>
        <w:t>due to</w:t>
      </w:r>
      <w:r w:rsidRPr="00B85D62">
        <w:rPr>
          <w:rFonts w:eastAsia="Calibri" w:cs="Arial"/>
          <w:color w:val="000000" w:themeColor="text1"/>
        </w:rPr>
        <w:t xml:space="preserve"> demand either for FH or for other conditions).</w:t>
      </w:r>
    </w:p>
    <w:p w14:paraId="56D67FA1" w14:textId="2C65BBEC" w:rsidR="00B85D62" w:rsidRPr="00B85D62" w:rsidRDefault="4924D102" w:rsidP="0066232B">
      <w:pPr>
        <w:rPr>
          <w:rFonts w:eastAsia="Calibri" w:cs="Arial"/>
          <w:color w:val="000000" w:themeColor="text1"/>
        </w:rPr>
      </w:pPr>
      <w:r w:rsidRPr="00B85D62">
        <w:rPr>
          <w:rFonts w:eastAsia="Calibri" w:cs="Arial"/>
          <w:color w:val="000000" w:themeColor="text1"/>
        </w:rPr>
        <w:t xml:space="preserve">We conducted threshold sensitivity analysis to the odds ratio for the likelihood that relatives come forward for testing with direct </w:t>
      </w:r>
      <w:r w:rsidRPr="00B85D62">
        <w:rPr>
          <w:rFonts w:eastAsia="Calibri" w:cs="Arial"/>
          <w:color w:val="000000" w:themeColor="text1"/>
          <w:highlight w:val="magenta"/>
        </w:rPr>
        <w:t>compared to</w:t>
      </w:r>
      <w:r w:rsidRPr="00B85D62">
        <w:rPr>
          <w:rFonts w:eastAsia="Calibri" w:cs="Arial"/>
          <w:color w:val="000000" w:themeColor="text1"/>
        </w:rPr>
        <w:t xml:space="preserve"> indirect contact, given the uncertainty about this effect; to the additional cost of contacting relatives directly, given its uncertainty and variability depending on how services are organised; and to the cost of the genetic test in relatives given the feedback by the Stakeholder</w:t>
      </w:r>
      <w:r w:rsidR="00B85D62" w:rsidRPr="00B85D62">
        <w:rPr>
          <w:rFonts w:eastAsia="Calibri" w:cs="Arial"/>
          <w:color w:val="000000" w:themeColor="text1"/>
        </w:rPr>
        <w:t>’</w:t>
      </w:r>
      <w:r w:rsidRPr="00B85D62">
        <w:rPr>
          <w:rFonts w:eastAsia="Calibri" w:cs="Arial"/>
          <w:color w:val="000000" w:themeColor="text1"/>
        </w:rPr>
        <w:t>s Group that it is likely to reduce over time.</w:t>
      </w:r>
    </w:p>
    <w:p w14:paraId="078F3F72" w14:textId="5216FC36" w:rsidR="4924D102" w:rsidRPr="00B85D62" w:rsidRDefault="4924D102" w:rsidP="006C7E71">
      <w:pPr>
        <w:pStyle w:val="Heading3"/>
      </w:pPr>
      <w:bookmarkStart w:id="241" w:name="_Toc107157497"/>
      <w:r w:rsidRPr="00B85D62">
        <w:t>Results</w:t>
      </w:r>
      <w:bookmarkEnd w:id="241"/>
    </w:p>
    <w:p w14:paraId="2072A23B" w14:textId="157B9BAE" w:rsidR="4924D102" w:rsidRPr="00B85D62" w:rsidRDefault="4924D102" w:rsidP="006C7E71">
      <w:pPr>
        <w:pStyle w:val="Heading4"/>
        <w:numPr>
          <w:ilvl w:val="0"/>
          <w:numId w:val="0"/>
        </w:numPr>
      </w:pPr>
      <w:r w:rsidRPr="00B85D62">
        <w:t>Testing strategies taken forward</w:t>
      </w:r>
    </w:p>
    <w:p w14:paraId="68CEA5E5" w14:textId="77777777" w:rsidR="00B85D62" w:rsidRPr="00B85D62" w:rsidRDefault="0261FC2A" w:rsidP="0066232B">
      <w:pPr>
        <w:rPr>
          <w:rFonts w:eastAsia="Calibri" w:cs="Arial"/>
          <w:color w:val="000000" w:themeColor="text1"/>
        </w:rPr>
      </w:pPr>
      <w:r w:rsidRPr="00B85D62">
        <w:rPr>
          <w:rFonts w:eastAsia="Calibri" w:cs="Arial"/>
          <w:color w:val="000000" w:themeColor="text1"/>
        </w:rPr>
        <w:t>The following strategies had &gt;= 5% probability of generating the highest net health gain at the £15,000 or £20,000/QALY thresholds (</w:t>
      </w:r>
      <w:r w:rsidR="667F5F29" w:rsidRPr="00B85D62">
        <w:rPr>
          <w:rFonts w:eastAsia="Calibri" w:cs="Arial"/>
        </w:rPr>
        <w:t xml:space="preserve">Full results are available in the </w:t>
      </w:r>
      <w:r w:rsidR="003F7ED9" w:rsidRPr="00B85D62">
        <w:rPr>
          <w:rFonts w:eastAsia="Calibri" w:cs="Arial"/>
          <w:i/>
        </w:rPr>
        <w:t>O</w:t>
      </w:r>
      <w:r w:rsidR="667F5F29" w:rsidRPr="00B85D62">
        <w:rPr>
          <w:rFonts w:eastAsia="Calibri" w:cs="Arial"/>
          <w:i/>
        </w:rPr>
        <w:t xml:space="preserve">nline supplementary excel file </w:t>
      </w:r>
      <w:r w:rsidR="00C33960" w:rsidRPr="00B85D62">
        <w:rPr>
          <w:rFonts w:eastAsia="Calibri" w:cs="Arial"/>
          <w:i/>
        </w:rPr>
        <w:t>7</w:t>
      </w:r>
      <w:r w:rsidR="667F5F29" w:rsidRPr="00B85D62">
        <w:rPr>
          <w:rFonts w:eastAsia="Calibri" w:cs="Arial"/>
        </w:rPr>
        <w:t>)</w:t>
      </w:r>
    </w:p>
    <w:p w14:paraId="715B60D4" w14:textId="0B2AB0C6" w:rsidR="4924D102" w:rsidRPr="00B85D62" w:rsidRDefault="0261FC2A" w:rsidP="00923BC2">
      <w:pPr>
        <w:pStyle w:val="ListParagraph"/>
        <w:numPr>
          <w:ilvl w:val="0"/>
          <w:numId w:val="6"/>
        </w:numPr>
        <w:rPr>
          <w:rFonts w:eastAsiaTheme="minorEastAsia" w:cs="Arial"/>
          <w:color w:val="000000" w:themeColor="text1"/>
        </w:rPr>
      </w:pPr>
      <w:r w:rsidRPr="00B85D62">
        <w:rPr>
          <w:rFonts w:eastAsia="Calibri" w:cs="Arial"/>
          <w:color w:val="000000" w:themeColor="text1"/>
        </w:rPr>
        <w:t>In relatives aged 0</w:t>
      </w:r>
      <w:r w:rsidR="00B85D62" w:rsidRPr="00B85D62">
        <w:rPr>
          <w:rFonts w:eastAsia="Calibri" w:cs="Arial"/>
          <w:color w:val="00B0F0"/>
        </w:rPr>
        <w:t>–</w:t>
      </w:r>
      <w:r w:rsidR="00B85D62" w:rsidRPr="00B85D62">
        <w:rPr>
          <w:rFonts w:eastAsia="Calibri" w:cs="Arial"/>
          <w:color w:val="00B0F0"/>
        </w:rPr>
        <w:t>9</w:t>
      </w:r>
      <w:r w:rsidRPr="00B85D62">
        <w:rPr>
          <w:rFonts w:eastAsia="Calibri" w:cs="Arial"/>
          <w:color w:val="000000" w:themeColor="text1"/>
        </w:rPr>
        <w:t xml:space="preserve"> years: N3_H5_L3_T1</w:t>
      </w:r>
    </w:p>
    <w:p w14:paraId="06724368" w14:textId="349C346D" w:rsidR="4924D102" w:rsidRPr="00B85D62" w:rsidRDefault="4924D102" w:rsidP="00923BC2">
      <w:pPr>
        <w:pStyle w:val="ListParagraph"/>
        <w:numPr>
          <w:ilvl w:val="0"/>
          <w:numId w:val="6"/>
        </w:numPr>
        <w:rPr>
          <w:rFonts w:eastAsiaTheme="minorEastAsia" w:cs="Arial"/>
          <w:color w:val="000000" w:themeColor="text1"/>
        </w:rPr>
      </w:pPr>
      <w:r w:rsidRPr="00B85D62">
        <w:rPr>
          <w:rFonts w:eastAsia="Calibri" w:cs="Arial"/>
          <w:color w:val="000000" w:themeColor="text1"/>
        </w:rPr>
        <w:t>In relatives aged 10</w:t>
      </w:r>
      <w:r w:rsidR="00B85D62" w:rsidRPr="00B85D62">
        <w:rPr>
          <w:rFonts w:eastAsia="Calibri" w:cs="Arial"/>
          <w:color w:val="00B0F0"/>
        </w:rPr>
        <w:t>–</w:t>
      </w:r>
      <w:r w:rsidR="00B85D62" w:rsidRPr="00B85D62">
        <w:rPr>
          <w:rFonts w:eastAsia="Calibri" w:cs="Arial"/>
          <w:color w:val="00B0F0"/>
        </w:rPr>
        <w:t>1</w:t>
      </w:r>
      <w:r w:rsidRPr="00B85D62">
        <w:rPr>
          <w:rFonts w:eastAsia="Calibri" w:cs="Arial"/>
          <w:color w:val="000000" w:themeColor="text1"/>
        </w:rPr>
        <w:t>7 years: N3_H5_L3_T1 and N3_H5_L2_T1</w:t>
      </w:r>
    </w:p>
    <w:p w14:paraId="790155E7" w14:textId="59D6F39A" w:rsidR="4924D102" w:rsidRPr="00B85D62" w:rsidRDefault="4924D102" w:rsidP="00923BC2">
      <w:pPr>
        <w:pStyle w:val="ListParagraph"/>
        <w:numPr>
          <w:ilvl w:val="0"/>
          <w:numId w:val="6"/>
        </w:numPr>
        <w:rPr>
          <w:rFonts w:eastAsiaTheme="minorEastAsia" w:cs="Arial"/>
          <w:color w:val="000000" w:themeColor="text1"/>
        </w:rPr>
      </w:pPr>
      <w:r w:rsidRPr="00B85D62">
        <w:rPr>
          <w:rFonts w:eastAsia="Calibri" w:cs="Arial"/>
          <w:color w:val="000000" w:themeColor="text1"/>
        </w:rPr>
        <w:t>In relatives aged 18</w:t>
      </w:r>
      <w:r w:rsidR="00B85D62" w:rsidRPr="00B85D62">
        <w:rPr>
          <w:rFonts w:eastAsia="Calibri" w:cs="Arial"/>
          <w:color w:val="00B0F0"/>
        </w:rPr>
        <w:t>–</w:t>
      </w:r>
      <w:r w:rsidR="00B85D62" w:rsidRPr="00B85D62">
        <w:rPr>
          <w:rFonts w:eastAsia="Calibri" w:cs="Arial"/>
          <w:color w:val="00B0F0"/>
        </w:rPr>
        <w:t>3</w:t>
      </w:r>
      <w:r w:rsidRPr="00B85D62">
        <w:rPr>
          <w:rFonts w:eastAsia="Calibri" w:cs="Arial"/>
          <w:color w:val="000000" w:themeColor="text1"/>
        </w:rPr>
        <w:t>9 years: N3_H5_L3_T1, N3_H6_L3_T1 and N3_H5_L2_T1.</w:t>
      </w:r>
    </w:p>
    <w:p w14:paraId="4FEBBD0E" w14:textId="28C63F4D" w:rsidR="4924D102" w:rsidRPr="00B85D62" w:rsidRDefault="4924D102" w:rsidP="00923BC2">
      <w:pPr>
        <w:pStyle w:val="ListParagraph"/>
        <w:numPr>
          <w:ilvl w:val="0"/>
          <w:numId w:val="6"/>
        </w:numPr>
        <w:rPr>
          <w:rFonts w:eastAsiaTheme="minorEastAsia" w:cs="Arial"/>
          <w:color w:val="000000" w:themeColor="text1"/>
        </w:rPr>
      </w:pPr>
      <w:r w:rsidRPr="00B85D62">
        <w:rPr>
          <w:rFonts w:eastAsia="Calibri" w:cs="Arial"/>
          <w:color w:val="000000" w:themeColor="text1"/>
        </w:rPr>
        <w:t>In relatives aged 40</w:t>
      </w:r>
      <w:r w:rsidR="00B85D62" w:rsidRPr="00B85D62">
        <w:rPr>
          <w:rFonts w:eastAsia="Calibri" w:cs="Arial"/>
          <w:color w:val="00B0F0"/>
        </w:rPr>
        <w:t>–</w:t>
      </w:r>
      <w:r w:rsidR="00B85D62" w:rsidRPr="00B85D62">
        <w:rPr>
          <w:rFonts w:eastAsia="Calibri" w:cs="Arial"/>
          <w:color w:val="00B0F0"/>
        </w:rPr>
        <w:t>5</w:t>
      </w:r>
      <w:r w:rsidRPr="00B85D62">
        <w:rPr>
          <w:rFonts w:eastAsia="Calibri" w:cs="Arial"/>
          <w:color w:val="000000" w:themeColor="text1"/>
        </w:rPr>
        <w:t>9 years: N3_H6_L2_T1, N2_H3_L_T1, N3_H6_L2_T1, N2_H2_L_T1.</w:t>
      </w:r>
    </w:p>
    <w:p w14:paraId="21AE19FF" w14:textId="1312589F" w:rsidR="4924D102" w:rsidRPr="00B85D62" w:rsidRDefault="4924D102" w:rsidP="00923BC2">
      <w:pPr>
        <w:pStyle w:val="ListParagraph"/>
        <w:numPr>
          <w:ilvl w:val="0"/>
          <w:numId w:val="6"/>
        </w:numPr>
        <w:rPr>
          <w:rFonts w:eastAsiaTheme="minorEastAsia" w:cs="Arial"/>
          <w:color w:val="000000" w:themeColor="text1"/>
        </w:rPr>
      </w:pPr>
      <w:r w:rsidRPr="00B85D62">
        <w:rPr>
          <w:rFonts w:eastAsia="Calibri" w:cs="Arial"/>
          <w:color w:val="000000" w:themeColor="text1"/>
        </w:rPr>
        <w:t>In relatives aged 6</w:t>
      </w:r>
      <w:r w:rsidR="00B85D62" w:rsidRPr="00B85D62">
        <w:rPr>
          <w:rFonts w:eastAsia="Calibri" w:cs="Arial"/>
          <w:color w:val="00B0F0"/>
        </w:rPr>
        <w:t>0</w:t>
      </w:r>
      <w:r w:rsidR="00B85D62" w:rsidRPr="00B85D62">
        <w:rPr>
          <w:rFonts w:eastAsia="Calibri" w:cs="Arial"/>
          <w:color w:val="00B0F0"/>
        </w:rPr>
        <w:t> </w:t>
      </w:r>
      <w:r w:rsidR="00B85D62" w:rsidRPr="00B85D62">
        <w:rPr>
          <w:rFonts w:eastAsia="Calibri" w:cs="Arial"/>
          <w:color w:val="00B0F0"/>
        </w:rPr>
        <w:t>+</w:t>
      </w:r>
      <w:r w:rsidRPr="00B85D62">
        <w:rPr>
          <w:rFonts w:eastAsia="Calibri" w:cs="Arial"/>
          <w:color w:val="000000" w:themeColor="text1"/>
        </w:rPr>
        <w:t xml:space="preserve"> years: N3_H5_L1_T1, N3_H6_L2_T1, N3_H6_L2_T0.</w:t>
      </w:r>
    </w:p>
    <w:p w14:paraId="193FC5F9" w14:textId="3921BF04" w:rsidR="4924D102" w:rsidRPr="00B85D62" w:rsidRDefault="0261FC2A" w:rsidP="0066232B">
      <w:pPr>
        <w:rPr>
          <w:rFonts w:eastAsia="Calibri" w:cs="Arial"/>
          <w:color w:val="000000" w:themeColor="text1"/>
        </w:rPr>
      </w:pPr>
      <w:r w:rsidRPr="00B85D62">
        <w:rPr>
          <w:rFonts w:eastAsia="Calibri" w:cs="Arial"/>
          <w:color w:val="000000" w:themeColor="text1"/>
        </w:rPr>
        <w:t xml:space="preserve">The </w:t>
      </w:r>
      <w:r w:rsidR="00B85D62" w:rsidRPr="00B85D62">
        <w:rPr>
          <w:rFonts w:eastAsia="Calibri" w:cs="Arial"/>
          <w:color w:val="000000" w:themeColor="text1"/>
        </w:rPr>
        <w:t>“</w:t>
      </w:r>
      <w:r w:rsidRPr="00B85D62">
        <w:rPr>
          <w:rFonts w:eastAsia="Calibri" w:cs="Arial"/>
          <w:color w:val="000000" w:themeColor="text1"/>
        </w:rPr>
        <w:t>N3 strategies</w:t>
      </w:r>
      <w:r w:rsidR="00B85D62" w:rsidRPr="00B85D62">
        <w:rPr>
          <w:rFonts w:eastAsia="Calibri" w:cs="Arial"/>
          <w:color w:val="000000" w:themeColor="text1"/>
        </w:rPr>
        <w:t>”</w:t>
      </w:r>
      <w:r w:rsidRPr="00B85D62">
        <w:rPr>
          <w:rFonts w:eastAsia="Calibri" w:cs="Arial"/>
          <w:color w:val="000000" w:themeColor="text1"/>
        </w:rPr>
        <w:t xml:space="preserve"> have good diagnostic performance. For example, in </w:t>
      </w:r>
      <w:r w:rsidR="00B85D62" w:rsidRPr="00B85D62">
        <w:rPr>
          <w:rFonts w:eastAsia="Calibri" w:cs="Arial"/>
          <w:color w:val="00B0F0"/>
        </w:rPr>
        <w:t>1st</w:t>
      </w:r>
      <w:r w:rsidRPr="00B85D62">
        <w:rPr>
          <w:rFonts w:eastAsia="Calibri" w:cs="Arial"/>
          <w:color w:val="000000" w:themeColor="text1"/>
        </w:rPr>
        <w:t xml:space="preserve"> degree relatives (who have a pre-test probability of 0.5 for </w:t>
      </w:r>
      <w:r w:rsidR="1D08E567" w:rsidRPr="00B85D62">
        <w:rPr>
          <w:rFonts w:eastAsia="Calibri" w:cs="Arial"/>
          <w:color w:val="000000" w:themeColor="text1"/>
        </w:rPr>
        <w:t>FH</w:t>
      </w:r>
      <w:r w:rsidRPr="00B85D62">
        <w:rPr>
          <w:rFonts w:eastAsia="Calibri" w:cs="Arial"/>
          <w:color w:val="000000" w:themeColor="text1"/>
        </w:rPr>
        <w:t xml:space="preserve">), the strategy N3_H5_L3_T1 correctly diagnoses 90% </w:t>
      </w:r>
      <w:r w:rsidR="1D08E567" w:rsidRPr="00B85D62">
        <w:rPr>
          <w:rFonts w:eastAsia="Calibri" w:cs="Arial"/>
          <w:color w:val="000000" w:themeColor="text1"/>
        </w:rPr>
        <w:t>FH</w:t>
      </w:r>
      <w:r w:rsidRPr="00B85D62">
        <w:rPr>
          <w:rFonts w:eastAsia="Calibri" w:cs="Arial"/>
          <w:color w:val="000000" w:themeColor="text1"/>
        </w:rPr>
        <w:t xml:space="preserve"> relatives (sensitivity) and 88% of non-</w:t>
      </w:r>
      <w:r w:rsidR="5001DB0A" w:rsidRPr="00B85D62">
        <w:rPr>
          <w:rFonts w:eastAsia="Calibri" w:cs="Arial"/>
          <w:color w:val="000000" w:themeColor="text1"/>
        </w:rPr>
        <w:t>FH</w:t>
      </w:r>
      <w:r w:rsidRPr="00B85D62">
        <w:rPr>
          <w:rFonts w:eastAsia="Calibri" w:cs="Arial"/>
          <w:color w:val="000000" w:themeColor="text1"/>
        </w:rPr>
        <w:t xml:space="preserve"> relatives (specificity), at a diagnostic cost of £111 per relative tested. The strategy of genetically testing all (N5_H_L_T0) had perfect sensitivity and specificity, at a diagnostic cost of £180 per relative tested.</w:t>
      </w:r>
    </w:p>
    <w:p w14:paraId="404E1214" w14:textId="41CF2AD9" w:rsidR="4924D102" w:rsidRPr="00B85D62" w:rsidRDefault="4924D102" w:rsidP="0066232B">
      <w:pPr>
        <w:rPr>
          <w:rFonts w:eastAsia="Calibri" w:cs="Arial"/>
          <w:color w:val="000000" w:themeColor="text1"/>
        </w:rPr>
      </w:pPr>
      <w:r w:rsidRPr="00B85D62">
        <w:rPr>
          <w:rFonts w:eastAsia="Calibri" w:cs="Arial"/>
          <w:color w:val="000000" w:themeColor="text1"/>
        </w:rPr>
        <w:t>For the full cost-effectiveness analysis, we included the aforementioned testing strategies together with harmonised strategies where the same testing strategy is used for all age groups. In total, we compared 54 combination testing strategies and 10 harmonised testing strategies.</w:t>
      </w:r>
    </w:p>
    <w:p w14:paraId="518AAA4A" w14:textId="77777777" w:rsidR="00B85D62" w:rsidRPr="00B85D62" w:rsidRDefault="4924D102" w:rsidP="006C7E71">
      <w:pPr>
        <w:pStyle w:val="Heading4"/>
        <w:numPr>
          <w:ilvl w:val="0"/>
          <w:numId w:val="0"/>
        </w:numPr>
      </w:pPr>
      <w:r w:rsidRPr="00B85D62">
        <w:t>Cost-effectiveness of cascade testing protocols</w:t>
      </w:r>
    </w:p>
    <w:p w14:paraId="0F105ADA" w14:textId="3B0DD683" w:rsidR="00B85D62" w:rsidRPr="00B85D62" w:rsidRDefault="00B85D62" w:rsidP="0066232B">
      <w:pPr>
        <w:rPr>
          <w:rFonts w:eastAsia="Calibri" w:cs="Arial"/>
          <w:color w:val="000000" w:themeColor="text1"/>
        </w:rPr>
      </w:pPr>
      <w:r w:rsidRPr="00B85D62">
        <w:rPr>
          <w:rFonts w:eastAsia="Calibri" w:cs="Arial"/>
          <w:i/>
          <w:color w:val="FF0000"/>
        </w:rPr>
        <w:t>T</w:t>
      </w:r>
      <w:r w:rsidRPr="00B85D62">
        <w:rPr>
          <w:rFonts w:eastAsia="Calibri" w:cs="Arial"/>
          <w:i/>
          <w:color w:val="FF0000"/>
        </w:rPr>
        <w:t>able</w:t>
      </w:r>
      <w:r w:rsidRPr="00B85D62">
        <w:rPr>
          <w:rFonts w:eastAsia="Calibri" w:cs="Arial"/>
          <w:i/>
          <w:color w:val="FF0000"/>
        </w:rPr>
        <w:t xml:space="preserve"> </w:t>
      </w:r>
      <w:r w:rsidRPr="00B85D62">
        <w:rPr>
          <w:rFonts w:eastAsia="Calibri" w:cs="Arial"/>
          <w:i/>
          <w:color w:val="FF0000"/>
        </w:rPr>
        <w:t>19</w:t>
      </w:r>
      <w:r w:rsidR="0261FC2A" w:rsidRPr="00B85D62">
        <w:rPr>
          <w:rFonts w:eastAsia="Calibri" w:cs="Arial"/>
          <w:color w:val="000000" w:themeColor="text1"/>
        </w:rPr>
        <w:t xml:space="preserve"> shows the cost-effectiveness frontier comparing the cascade testing protocols (full results </w:t>
      </w:r>
      <w:r w:rsidR="5501D425" w:rsidRPr="00B85D62">
        <w:rPr>
          <w:rFonts w:eastAsia="Calibri" w:cs="Arial"/>
        </w:rPr>
        <w:t xml:space="preserve">are available in the </w:t>
      </w:r>
      <w:r w:rsidR="003F7ED9" w:rsidRPr="00B85D62">
        <w:rPr>
          <w:rFonts w:eastAsia="Calibri" w:cs="Arial"/>
          <w:i/>
        </w:rPr>
        <w:t>O</w:t>
      </w:r>
      <w:r w:rsidR="5501D425" w:rsidRPr="00B85D62">
        <w:rPr>
          <w:rFonts w:eastAsia="Calibri" w:cs="Arial"/>
          <w:i/>
        </w:rPr>
        <w:t xml:space="preserve">nline supplementary excel file </w:t>
      </w:r>
      <w:r w:rsidR="00C33960" w:rsidRPr="00B85D62">
        <w:rPr>
          <w:rFonts w:eastAsia="Calibri" w:cs="Arial"/>
          <w:i/>
        </w:rPr>
        <w:t>7</w:t>
      </w:r>
      <w:r w:rsidR="5501D425" w:rsidRPr="00B85D62">
        <w:rPr>
          <w:rFonts w:eastAsia="Calibri" w:cs="Arial"/>
        </w:rPr>
        <w:t xml:space="preserve"> and in</w:t>
      </w:r>
      <w:r w:rsidR="00895586" w:rsidRPr="00B85D62">
        <w:rPr>
          <w:rFonts w:eastAsia="Calibri" w:cs="Arial"/>
        </w:rPr>
        <w:t xml:space="preserve"> </w:t>
      </w:r>
      <w:r w:rsidR="0261FC2A" w:rsidRPr="00B85D62">
        <w:rPr>
          <w:rFonts w:eastAsia="Calibri" w:cs="Arial"/>
          <w:i/>
          <w:iCs/>
          <w:color w:val="000000" w:themeColor="text1"/>
        </w:rPr>
        <w:t>Results</w:t>
      </w:r>
      <w:r w:rsidR="10BFB19A" w:rsidRPr="00B85D62">
        <w:rPr>
          <w:rFonts w:eastAsia="Calibri" w:cs="Arial"/>
          <w:i/>
          <w:iCs/>
          <w:color w:val="000000" w:themeColor="text1"/>
        </w:rPr>
        <w:t xml:space="preserve"> </w:t>
      </w:r>
      <w:r w:rsidR="10BFB19A" w:rsidRPr="00B85D62">
        <w:rPr>
          <w:rFonts w:eastAsia="Calibri" w:cs="Arial"/>
          <w:color w:val="000000" w:themeColor="text1"/>
        </w:rPr>
        <w:t xml:space="preserve">section of </w:t>
      </w:r>
      <w:r w:rsidR="00C33960" w:rsidRPr="00B85D62">
        <w:rPr>
          <w:rFonts w:eastAsia="Arial" w:cs="Arial"/>
          <w:i/>
          <w:color w:val="000000" w:themeColor="text1"/>
        </w:rPr>
        <w:t>Online Supplementary file 5</w:t>
      </w:r>
      <w:r w:rsidRPr="00B85D62">
        <w:rPr>
          <w:rFonts w:eastAsia="Calibri" w:cs="Arial"/>
          <w:color w:val="00B0F0"/>
        </w:rPr>
        <w:t>)</w:t>
      </w:r>
      <w:r w:rsidR="0261FC2A" w:rsidRPr="00B85D62">
        <w:rPr>
          <w:rFonts w:eastAsia="Calibri" w:cs="Arial"/>
          <w:color w:val="000000" w:themeColor="text1"/>
        </w:rPr>
        <w:t>. The results reflect all relatives who could potentially be reached by the cascade and are reported per index family considered for cascading. Overall, we compared 1792 cascade protocols.</w:t>
      </w:r>
    </w:p>
    <w:p w14:paraId="26804588" w14:textId="176B343A" w:rsidR="4924D102" w:rsidRPr="00B85D62" w:rsidRDefault="0261FC2A" w:rsidP="0066232B">
      <w:pPr>
        <w:rPr>
          <w:rFonts w:eastAsia="Calibri" w:cs="Arial"/>
          <w:color w:val="000000" w:themeColor="text1"/>
        </w:rPr>
      </w:pPr>
      <w:r w:rsidRPr="00B85D62">
        <w:rPr>
          <w:rFonts w:eastAsia="Calibri" w:cs="Arial"/>
          <w:color w:val="000000" w:themeColor="text1"/>
        </w:rPr>
        <w:t xml:space="preserve">The protocol with the highest net health gain at the threshold of £15,000/QALY – the </w:t>
      </w:r>
      <w:r w:rsidRPr="00B85D62">
        <w:rPr>
          <w:rFonts w:eastAsia="Calibri" w:cs="Arial"/>
          <w:i/>
          <w:iCs/>
          <w:color w:val="000000" w:themeColor="text1"/>
        </w:rPr>
        <w:t>base-case cost-effective protocol</w:t>
      </w:r>
      <w:r w:rsidRPr="00B85D62">
        <w:rPr>
          <w:rFonts w:eastAsia="Calibri" w:cs="Arial"/>
          <w:color w:val="000000" w:themeColor="text1"/>
        </w:rPr>
        <w:t xml:space="preserve"> – is detailed in </w:t>
      </w:r>
      <w:r w:rsidR="00B85D62" w:rsidRPr="00B85D62">
        <w:rPr>
          <w:rFonts w:eastAsia="Calibri" w:cs="Arial"/>
          <w:i/>
          <w:color w:val="FF0000"/>
        </w:rPr>
        <w:t>T</w:t>
      </w:r>
      <w:r w:rsidR="00B85D62" w:rsidRPr="00B85D62">
        <w:rPr>
          <w:rFonts w:eastAsia="Calibri" w:cs="Arial"/>
          <w:i/>
          <w:color w:val="FF0000"/>
        </w:rPr>
        <w:t>able</w:t>
      </w:r>
      <w:r w:rsidR="00B85D62" w:rsidRPr="00B85D62">
        <w:rPr>
          <w:rFonts w:eastAsia="Calibri" w:cs="Arial"/>
          <w:i/>
          <w:color w:val="FF0000"/>
        </w:rPr>
        <w:t xml:space="preserve"> </w:t>
      </w:r>
      <w:r w:rsidR="00B85D62" w:rsidRPr="00B85D62">
        <w:rPr>
          <w:rFonts w:eastAsia="Calibri" w:cs="Arial"/>
          <w:i/>
          <w:color w:val="FF0000"/>
        </w:rPr>
        <w:t>20</w:t>
      </w:r>
      <w:r w:rsidRPr="00B85D62">
        <w:rPr>
          <w:rFonts w:eastAsia="Calibri" w:cs="Arial"/>
          <w:color w:val="000000" w:themeColor="text1"/>
        </w:rPr>
        <w:t xml:space="preserve">. Per index assessed to the cascade, this protocol diagnoses 52% of </w:t>
      </w:r>
      <w:r w:rsidR="156E10E2" w:rsidRPr="00B85D62">
        <w:rPr>
          <w:rFonts w:eastAsia="Calibri" w:cs="Arial"/>
          <w:color w:val="000000" w:themeColor="text1"/>
        </w:rPr>
        <w:t>FH</w:t>
      </w:r>
      <w:r w:rsidRPr="00B85D62">
        <w:rPr>
          <w:rFonts w:eastAsia="Calibri" w:cs="Arial"/>
          <w:color w:val="000000" w:themeColor="text1"/>
        </w:rPr>
        <w:t xml:space="preserve"> relatives (N= 0.31 </w:t>
      </w:r>
      <w:r w:rsidR="156E10E2" w:rsidRPr="00B85D62">
        <w:rPr>
          <w:rFonts w:eastAsia="Calibri" w:cs="Arial"/>
          <w:color w:val="000000" w:themeColor="text1"/>
        </w:rPr>
        <w:t>FH</w:t>
      </w:r>
      <w:r w:rsidRPr="00B85D62">
        <w:rPr>
          <w:rFonts w:eastAsia="Calibri" w:cs="Arial"/>
          <w:color w:val="000000" w:themeColor="text1"/>
        </w:rPr>
        <w:t xml:space="preserve"> relatives) while misdiagnoses 2% of non-</w:t>
      </w:r>
      <w:r w:rsidR="7FF232DB" w:rsidRPr="00B85D62">
        <w:rPr>
          <w:rFonts w:eastAsia="Calibri" w:cs="Arial"/>
          <w:color w:val="000000" w:themeColor="text1"/>
        </w:rPr>
        <w:t>FH</w:t>
      </w:r>
      <w:r w:rsidRPr="00B85D62">
        <w:rPr>
          <w:rFonts w:eastAsia="Calibri" w:cs="Arial"/>
          <w:color w:val="000000" w:themeColor="text1"/>
        </w:rPr>
        <w:t xml:space="preserve"> relatives as having FH, at a diagnosis cost of £536. The </w:t>
      </w:r>
      <w:r w:rsidRPr="00B85D62">
        <w:rPr>
          <w:rFonts w:eastAsia="Calibri" w:cs="Arial"/>
          <w:i/>
          <w:iCs/>
          <w:color w:val="000000" w:themeColor="text1"/>
        </w:rPr>
        <w:t>harmonised cost-effective protocol</w:t>
      </w:r>
      <w:r w:rsidRPr="00B85D62">
        <w:rPr>
          <w:rFonts w:eastAsia="Calibri" w:cs="Arial"/>
          <w:color w:val="000000" w:themeColor="text1"/>
        </w:rPr>
        <w:t xml:space="preserve">, that is, the protocol which uses the same testing strategy for all age groups, has similar diagnostic performance, costs, and QALYs, with a net health loss of 0.0003 QALYs </w:t>
      </w:r>
      <w:r w:rsidRPr="00B85D62">
        <w:rPr>
          <w:rFonts w:eastAsia="Calibri" w:cs="Arial"/>
          <w:color w:val="000000" w:themeColor="text1"/>
          <w:highlight w:val="magenta"/>
        </w:rPr>
        <w:t>compared to</w:t>
      </w:r>
      <w:r w:rsidRPr="00B85D62">
        <w:rPr>
          <w:rFonts w:eastAsia="Calibri" w:cs="Arial"/>
          <w:color w:val="000000" w:themeColor="text1"/>
        </w:rPr>
        <w:t xml:space="preserve"> the base-case cost-effective protocol.</w:t>
      </w:r>
    </w:p>
    <w:p w14:paraId="41BC1538" w14:textId="77777777" w:rsidR="00B85D62" w:rsidRPr="00B85D62" w:rsidRDefault="0261FC2A" w:rsidP="0066232B">
      <w:pPr>
        <w:rPr>
          <w:rFonts w:eastAsia="Calibri" w:cs="Arial"/>
          <w:color w:val="000000" w:themeColor="text1"/>
        </w:rPr>
      </w:pPr>
      <w:r w:rsidRPr="00B85D62">
        <w:rPr>
          <w:rFonts w:eastAsia="Calibri" w:cs="Arial"/>
          <w:color w:val="000000" w:themeColor="text1"/>
        </w:rPr>
        <w:t xml:space="preserve">The protocol that correctly diagnoses the greatest proportion of relatives is similar to the base case cost-effective protocol apart from the testing strategy, in that all relatives who come forward for testing receive the genetic test. This protocol correctly diagnoses 56% </w:t>
      </w:r>
      <w:r w:rsidR="5D50B2E4" w:rsidRPr="00B85D62">
        <w:rPr>
          <w:rFonts w:eastAsia="Calibri" w:cs="Arial"/>
          <w:color w:val="000000" w:themeColor="text1"/>
        </w:rPr>
        <w:t>FH</w:t>
      </w:r>
      <w:r w:rsidRPr="00B85D62">
        <w:rPr>
          <w:rFonts w:eastAsia="Calibri" w:cs="Arial"/>
          <w:color w:val="000000" w:themeColor="text1"/>
        </w:rPr>
        <w:t xml:space="preserve"> relatives and has a diagnosis cost of £589. </w:t>
      </w:r>
      <w:r w:rsidRPr="00B85D62">
        <w:rPr>
          <w:rFonts w:eastAsia="Calibri" w:cs="Arial"/>
          <w:color w:val="000000" w:themeColor="text1"/>
          <w:highlight w:val="magenta"/>
        </w:rPr>
        <w:t>Compared to</w:t>
      </w:r>
      <w:r w:rsidRPr="00B85D62">
        <w:rPr>
          <w:rFonts w:eastAsia="Calibri" w:cs="Arial"/>
          <w:color w:val="000000" w:themeColor="text1"/>
        </w:rPr>
        <w:t xml:space="preserve"> the base-case cost-effective protocol, this represents a net health loss of 0.003 QALYs per index family assessed to the cascade, </w:t>
      </w:r>
      <w:r w:rsidRPr="00B85D62">
        <w:rPr>
          <w:rFonts w:eastAsia="Calibri" w:cs="Arial"/>
          <w:color w:val="000000" w:themeColor="text1"/>
          <w:highlight w:val="magenta"/>
        </w:rPr>
        <w:t>due to</w:t>
      </w:r>
      <w:r w:rsidRPr="00B85D62">
        <w:rPr>
          <w:rFonts w:eastAsia="Calibri" w:cs="Arial"/>
          <w:color w:val="000000" w:themeColor="text1"/>
        </w:rPr>
        <w:t xml:space="preserve"> its additional costs (i.e. health losses elsewhere in the NHS outweigh the health gains associated with improved diagnosis).</w:t>
      </w:r>
    </w:p>
    <w:p w14:paraId="3D9CA0B4" w14:textId="77777777" w:rsidR="00B85D62" w:rsidRPr="00B85D62" w:rsidRDefault="0261FC2A" w:rsidP="0066232B">
      <w:pPr>
        <w:rPr>
          <w:rFonts w:eastAsia="Calibri" w:cs="Arial"/>
          <w:color w:val="000000" w:themeColor="text1"/>
        </w:rPr>
      </w:pPr>
      <w:r w:rsidRPr="00B85D62">
        <w:rPr>
          <w:rFonts w:eastAsia="Calibri" w:cs="Arial"/>
          <w:color w:val="000000" w:themeColor="text1"/>
        </w:rPr>
        <w:t xml:space="preserve">The usual protocol of contacting relatives indirectly and sequentially, and testing with the genetic test does not lie on the cost-effectiveness frontier. The model predicts that the usual protocol diagnoses 36% of the </w:t>
      </w:r>
      <w:r w:rsidR="2402DCAA" w:rsidRPr="00B85D62">
        <w:rPr>
          <w:rFonts w:eastAsia="Calibri" w:cs="Arial"/>
          <w:color w:val="000000" w:themeColor="text1"/>
        </w:rPr>
        <w:t>FH</w:t>
      </w:r>
      <w:r w:rsidRPr="00B85D62">
        <w:rPr>
          <w:rFonts w:eastAsia="Calibri" w:cs="Arial"/>
          <w:color w:val="000000" w:themeColor="text1"/>
        </w:rPr>
        <w:t xml:space="preserve"> relatives at a cost of £482 per index assessed; </w:t>
      </w:r>
      <w:r w:rsidRPr="00B85D62">
        <w:rPr>
          <w:rFonts w:eastAsia="Calibri" w:cs="Arial"/>
          <w:color w:val="000000" w:themeColor="text1"/>
          <w:highlight w:val="magenta"/>
        </w:rPr>
        <w:t>compared to</w:t>
      </w:r>
      <w:r w:rsidRPr="00B85D62">
        <w:rPr>
          <w:rFonts w:eastAsia="Calibri" w:cs="Arial"/>
          <w:color w:val="000000" w:themeColor="text1"/>
        </w:rPr>
        <w:t xml:space="preserve"> the base-case cost-effective protocol, it results in a net health loss of 0.045 QALYs per index family.</w:t>
      </w:r>
    </w:p>
    <w:p w14:paraId="30825615" w14:textId="53D6C0AB" w:rsidR="00B55E94" w:rsidRPr="00B85D62" w:rsidRDefault="00B85D62" w:rsidP="00B55E94">
      <w:pPr>
        <w:pStyle w:val="Caption"/>
        <w:keepNext/>
        <w:rPr>
          <w:rFonts w:cs="Arial"/>
        </w:rPr>
      </w:pPr>
      <w:bookmarkStart w:id="242" w:name="_Toc79740214"/>
      <w:bookmarkStart w:id="243" w:name="_Toc107157373"/>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19</w:t>
      </w:r>
      <w:r w:rsidR="00B55E94" w:rsidRPr="00B85D62">
        <w:rPr>
          <w:rFonts w:cs="Arial"/>
        </w:rPr>
        <w:t xml:space="preserve"> Cascade protocols in the cost-effectiveness frontier</w:t>
      </w:r>
      <w:bookmarkEnd w:id="242"/>
      <w:bookmarkEnd w:id="24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586"/>
        <w:gridCol w:w="591"/>
        <w:gridCol w:w="842"/>
        <w:gridCol w:w="519"/>
        <w:gridCol w:w="920"/>
        <w:gridCol w:w="920"/>
        <w:gridCol w:w="920"/>
        <w:gridCol w:w="854"/>
        <w:gridCol w:w="920"/>
        <w:gridCol w:w="572"/>
        <w:gridCol w:w="572"/>
        <w:gridCol w:w="810"/>
      </w:tblGrid>
      <w:tr w:rsidR="3341BD48" w:rsidRPr="00B85D62" w14:paraId="4F80D335" w14:textId="77777777" w:rsidTr="00B85D62">
        <w:trPr>
          <w:cantSplit/>
        </w:trPr>
        <w:tc>
          <w:tcPr>
            <w:tcW w:w="0" w:type="auto"/>
            <w:vMerge w:val="restart"/>
          </w:tcPr>
          <w:p w14:paraId="498D25F1" w14:textId="30465754" w:rsidR="3341BD48" w:rsidRPr="00B85D62" w:rsidRDefault="3341BD48" w:rsidP="0066232B">
            <w:pPr>
              <w:jc w:val="center"/>
              <w:rPr>
                <w:rFonts w:eastAsia="Calibri" w:cs="Arial"/>
                <w:color w:val="000000" w:themeColor="text1"/>
                <w:sz w:val="18"/>
                <w:szCs w:val="18"/>
              </w:rPr>
            </w:pPr>
            <w:r w:rsidRPr="00B85D62">
              <w:rPr>
                <w:rFonts w:eastAsia="Calibri" w:cs="Arial"/>
                <w:color w:val="000000" w:themeColor="text1"/>
                <w:sz w:val="18"/>
                <w:szCs w:val="18"/>
              </w:rPr>
              <w:t>Type of index strategy</w:t>
            </w:r>
          </w:p>
        </w:tc>
        <w:tc>
          <w:tcPr>
            <w:tcW w:w="0" w:type="auto"/>
            <w:vMerge w:val="restart"/>
          </w:tcPr>
          <w:p w14:paraId="1B521DC6" w14:textId="0FB8826A"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WDLCN cut-off</w:t>
            </w:r>
          </w:p>
        </w:tc>
        <w:tc>
          <w:tcPr>
            <w:tcW w:w="0" w:type="auto"/>
            <w:vMerge w:val="restart"/>
          </w:tcPr>
          <w:p w14:paraId="0D1F4E0D" w14:textId="0C9D1371"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Cascade pattern</w:t>
            </w:r>
          </w:p>
        </w:tc>
        <w:tc>
          <w:tcPr>
            <w:tcW w:w="0" w:type="auto"/>
            <w:vMerge w:val="restart"/>
          </w:tcPr>
          <w:p w14:paraId="09B44ED6" w14:textId="77969CE8"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Method of contact</w:t>
            </w:r>
          </w:p>
        </w:tc>
        <w:tc>
          <w:tcPr>
            <w:tcW w:w="0" w:type="auto"/>
            <w:gridSpan w:val="5"/>
          </w:tcPr>
          <w:p w14:paraId="70A05567" w14:textId="0701F339"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Testing strategies, by age</w:t>
            </w:r>
          </w:p>
        </w:tc>
        <w:tc>
          <w:tcPr>
            <w:tcW w:w="0" w:type="auto"/>
            <w:vMerge w:val="restart"/>
          </w:tcPr>
          <w:p w14:paraId="3BDDFF7E" w14:textId="24A4FBDA"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QALYs vs cheapest</w:t>
            </w:r>
          </w:p>
        </w:tc>
        <w:tc>
          <w:tcPr>
            <w:tcW w:w="0" w:type="auto"/>
            <w:vMerge w:val="restart"/>
          </w:tcPr>
          <w:p w14:paraId="39631A94" w14:textId="5F6E80A1"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Costs vs cheapest</w:t>
            </w:r>
          </w:p>
        </w:tc>
        <w:tc>
          <w:tcPr>
            <w:tcW w:w="0" w:type="auto"/>
            <w:vMerge w:val="restart"/>
          </w:tcPr>
          <w:p w14:paraId="34FB5302" w14:textId="102BA25C"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ICER</w:t>
            </w:r>
            <w:r w:rsidR="00B85D62" w:rsidRPr="00B85D62">
              <w:rPr>
                <w:rFonts w:eastAsia="Calibri" w:cs="Arial"/>
                <w:color w:val="00B0F0"/>
                <w:sz w:val="18"/>
                <w:szCs w:val="18"/>
              </w:rPr>
              <w:t>/</w:t>
            </w:r>
            <w:r w:rsidRPr="00B85D62">
              <w:rPr>
                <w:rFonts w:eastAsia="Calibri" w:cs="Arial"/>
                <w:color w:val="000000" w:themeColor="text1"/>
                <w:sz w:val="18"/>
                <w:szCs w:val="18"/>
              </w:rPr>
              <w:t>QALY</w:t>
            </w:r>
          </w:p>
        </w:tc>
      </w:tr>
      <w:tr w:rsidR="00B55E94" w:rsidRPr="00B85D62" w14:paraId="76302635" w14:textId="77777777" w:rsidTr="00B85D62">
        <w:trPr>
          <w:cantSplit/>
        </w:trPr>
        <w:tc>
          <w:tcPr>
            <w:tcW w:w="0" w:type="auto"/>
            <w:vMerge/>
            <w:vAlign w:val="center"/>
          </w:tcPr>
          <w:p w14:paraId="3202AFA5" w14:textId="77777777" w:rsidR="003F1F7A" w:rsidRPr="00B85D62" w:rsidRDefault="003F1F7A" w:rsidP="0066232B">
            <w:pPr>
              <w:rPr>
                <w:rFonts w:cs="Arial"/>
                <w:sz w:val="18"/>
                <w:szCs w:val="18"/>
              </w:rPr>
            </w:pPr>
          </w:p>
        </w:tc>
        <w:tc>
          <w:tcPr>
            <w:tcW w:w="0" w:type="auto"/>
            <w:vMerge/>
            <w:vAlign w:val="center"/>
          </w:tcPr>
          <w:p w14:paraId="6AC0CEF9" w14:textId="77777777" w:rsidR="003F1F7A" w:rsidRPr="00B85D62" w:rsidRDefault="003F1F7A" w:rsidP="0066232B">
            <w:pPr>
              <w:rPr>
                <w:rFonts w:cs="Arial"/>
                <w:sz w:val="18"/>
                <w:szCs w:val="18"/>
              </w:rPr>
            </w:pPr>
          </w:p>
        </w:tc>
        <w:tc>
          <w:tcPr>
            <w:tcW w:w="0" w:type="auto"/>
            <w:vMerge/>
            <w:vAlign w:val="center"/>
          </w:tcPr>
          <w:p w14:paraId="3C8E76F2" w14:textId="77777777" w:rsidR="003F1F7A" w:rsidRPr="00B85D62" w:rsidRDefault="003F1F7A" w:rsidP="0066232B">
            <w:pPr>
              <w:rPr>
                <w:rFonts w:cs="Arial"/>
                <w:sz w:val="18"/>
                <w:szCs w:val="18"/>
              </w:rPr>
            </w:pPr>
          </w:p>
        </w:tc>
        <w:tc>
          <w:tcPr>
            <w:tcW w:w="0" w:type="auto"/>
            <w:vMerge/>
            <w:vAlign w:val="center"/>
          </w:tcPr>
          <w:p w14:paraId="60FDF111" w14:textId="77777777" w:rsidR="003F1F7A" w:rsidRPr="00B85D62" w:rsidRDefault="003F1F7A" w:rsidP="0066232B">
            <w:pPr>
              <w:rPr>
                <w:rFonts w:cs="Arial"/>
                <w:sz w:val="18"/>
                <w:szCs w:val="18"/>
              </w:rPr>
            </w:pPr>
          </w:p>
        </w:tc>
        <w:tc>
          <w:tcPr>
            <w:tcW w:w="0" w:type="auto"/>
          </w:tcPr>
          <w:p w14:paraId="6191FBB8" w14:textId="023AB898" w:rsidR="3341BD48" w:rsidRPr="00B85D62" w:rsidRDefault="3341BD48" w:rsidP="0066232B">
            <w:pPr>
              <w:ind w:hanging="13"/>
              <w:rPr>
                <w:rFonts w:eastAsia="Calibri" w:cs="Arial"/>
                <w:color w:val="000000" w:themeColor="text1"/>
                <w:sz w:val="18"/>
                <w:szCs w:val="18"/>
              </w:rPr>
            </w:pPr>
            <w:r w:rsidRPr="00B85D62">
              <w:rPr>
                <w:rFonts w:eastAsia="Calibri" w:cs="Arial"/>
                <w:b/>
                <w:bCs/>
                <w:color w:val="000000" w:themeColor="text1"/>
                <w:sz w:val="18"/>
                <w:szCs w:val="18"/>
              </w:rPr>
              <w:t>Age 0</w:t>
            </w:r>
            <w:r w:rsidR="00B85D62" w:rsidRPr="00B85D62">
              <w:rPr>
                <w:rFonts w:eastAsia="Calibri" w:cs="Arial"/>
                <w:b/>
                <w:bCs/>
                <w:color w:val="00B0F0"/>
                <w:sz w:val="18"/>
                <w:szCs w:val="18"/>
              </w:rPr>
              <w:t>–</w:t>
            </w:r>
            <w:r w:rsidR="00B85D62" w:rsidRPr="00B85D62">
              <w:rPr>
                <w:rFonts w:eastAsia="Calibri" w:cs="Arial"/>
                <w:b/>
                <w:bCs/>
                <w:color w:val="00B0F0"/>
                <w:sz w:val="18"/>
                <w:szCs w:val="18"/>
              </w:rPr>
              <w:t>9</w:t>
            </w:r>
          </w:p>
        </w:tc>
        <w:tc>
          <w:tcPr>
            <w:tcW w:w="0" w:type="auto"/>
          </w:tcPr>
          <w:p w14:paraId="2D898553" w14:textId="1D9EB63B" w:rsidR="3341BD48" w:rsidRPr="00B85D62" w:rsidRDefault="3341BD48" w:rsidP="0066232B">
            <w:pPr>
              <w:ind w:hanging="13"/>
              <w:rPr>
                <w:rFonts w:eastAsia="Calibri" w:cs="Arial"/>
                <w:color w:val="000000" w:themeColor="text1"/>
                <w:sz w:val="18"/>
                <w:szCs w:val="18"/>
              </w:rPr>
            </w:pPr>
            <w:r w:rsidRPr="00B85D62">
              <w:rPr>
                <w:rFonts w:eastAsia="Calibri" w:cs="Arial"/>
                <w:b/>
                <w:bCs/>
                <w:color w:val="000000" w:themeColor="text1"/>
                <w:sz w:val="18"/>
                <w:szCs w:val="18"/>
              </w:rPr>
              <w:t>Age 10</w:t>
            </w:r>
            <w:r w:rsidR="00B85D62" w:rsidRPr="00B85D62">
              <w:rPr>
                <w:rFonts w:eastAsia="Calibri" w:cs="Arial"/>
                <w:b/>
                <w:bCs/>
                <w:color w:val="00B0F0"/>
                <w:sz w:val="18"/>
                <w:szCs w:val="18"/>
              </w:rPr>
              <w:t>–</w:t>
            </w:r>
            <w:r w:rsidR="00B85D62" w:rsidRPr="00B85D62">
              <w:rPr>
                <w:rFonts w:eastAsia="Calibri" w:cs="Arial"/>
                <w:b/>
                <w:bCs/>
                <w:color w:val="00B0F0"/>
                <w:sz w:val="18"/>
                <w:szCs w:val="18"/>
              </w:rPr>
              <w:t>1</w:t>
            </w:r>
            <w:r w:rsidRPr="00B85D62">
              <w:rPr>
                <w:rFonts w:eastAsia="Calibri" w:cs="Arial"/>
                <w:b/>
                <w:bCs/>
                <w:color w:val="000000" w:themeColor="text1"/>
                <w:sz w:val="18"/>
                <w:szCs w:val="18"/>
              </w:rPr>
              <w:t>7</w:t>
            </w:r>
          </w:p>
        </w:tc>
        <w:tc>
          <w:tcPr>
            <w:tcW w:w="0" w:type="auto"/>
          </w:tcPr>
          <w:p w14:paraId="5648CE91" w14:textId="649EFDC7" w:rsidR="3341BD48" w:rsidRPr="00B85D62" w:rsidRDefault="3341BD48" w:rsidP="0066232B">
            <w:pPr>
              <w:ind w:hanging="13"/>
              <w:rPr>
                <w:rFonts w:eastAsia="Calibri" w:cs="Arial"/>
                <w:color w:val="000000" w:themeColor="text1"/>
                <w:sz w:val="18"/>
                <w:szCs w:val="18"/>
              </w:rPr>
            </w:pPr>
            <w:r w:rsidRPr="00B85D62">
              <w:rPr>
                <w:rFonts w:eastAsia="Calibri" w:cs="Arial"/>
                <w:b/>
                <w:bCs/>
                <w:color w:val="000000" w:themeColor="text1"/>
                <w:sz w:val="18"/>
                <w:szCs w:val="18"/>
              </w:rPr>
              <w:t>Age 18</w:t>
            </w:r>
            <w:r w:rsidR="00B85D62" w:rsidRPr="00B85D62">
              <w:rPr>
                <w:rFonts w:eastAsia="Calibri" w:cs="Arial"/>
                <w:b/>
                <w:bCs/>
                <w:color w:val="00B0F0"/>
                <w:sz w:val="18"/>
                <w:szCs w:val="18"/>
              </w:rPr>
              <w:t>–</w:t>
            </w:r>
            <w:r w:rsidR="00B85D62" w:rsidRPr="00B85D62">
              <w:rPr>
                <w:rFonts w:eastAsia="Calibri" w:cs="Arial"/>
                <w:b/>
                <w:bCs/>
                <w:color w:val="00B0F0"/>
                <w:sz w:val="18"/>
                <w:szCs w:val="18"/>
              </w:rPr>
              <w:t>3</w:t>
            </w:r>
            <w:r w:rsidRPr="00B85D62">
              <w:rPr>
                <w:rFonts w:eastAsia="Calibri" w:cs="Arial"/>
                <w:b/>
                <w:bCs/>
                <w:color w:val="000000" w:themeColor="text1"/>
                <w:sz w:val="18"/>
                <w:szCs w:val="18"/>
              </w:rPr>
              <w:t>9</w:t>
            </w:r>
          </w:p>
        </w:tc>
        <w:tc>
          <w:tcPr>
            <w:tcW w:w="0" w:type="auto"/>
          </w:tcPr>
          <w:p w14:paraId="386992D4" w14:textId="7F9FD829" w:rsidR="3341BD48" w:rsidRPr="00B85D62" w:rsidRDefault="3341BD48" w:rsidP="0066232B">
            <w:pPr>
              <w:ind w:hanging="13"/>
              <w:rPr>
                <w:rFonts w:eastAsia="Calibri" w:cs="Arial"/>
                <w:color w:val="000000" w:themeColor="text1"/>
                <w:sz w:val="18"/>
                <w:szCs w:val="18"/>
              </w:rPr>
            </w:pPr>
            <w:r w:rsidRPr="00B85D62">
              <w:rPr>
                <w:rFonts w:eastAsia="Calibri" w:cs="Arial"/>
                <w:b/>
                <w:bCs/>
                <w:color w:val="000000" w:themeColor="text1"/>
                <w:sz w:val="18"/>
                <w:szCs w:val="18"/>
              </w:rPr>
              <w:t>Age 40</w:t>
            </w:r>
            <w:r w:rsidR="00B85D62" w:rsidRPr="00B85D62">
              <w:rPr>
                <w:rFonts w:eastAsia="Calibri" w:cs="Arial"/>
                <w:b/>
                <w:bCs/>
                <w:color w:val="00B0F0"/>
                <w:sz w:val="18"/>
                <w:szCs w:val="18"/>
              </w:rPr>
              <w:t>–</w:t>
            </w:r>
            <w:r w:rsidR="00B85D62" w:rsidRPr="00B85D62">
              <w:rPr>
                <w:rFonts w:eastAsia="Calibri" w:cs="Arial"/>
                <w:b/>
                <w:bCs/>
                <w:color w:val="00B0F0"/>
                <w:sz w:val="18"/>
                <w:szCs w:val="18"/>
              </w:rPr>
              <w:t>5</w:t>
            </w:r>
            <w:r w:rsidRPr="00B85D62">
              <w:rPr>
                <w:rFonts w:eastAsia="Calibri" w:cs="Arial"/>
                <w:b/>
                <w:bCs/>
                <w:color w:val="000000" w:themeColor="text1"/>
                <w:sz w:val="18"/>
                <w:szCs w:val="18"/>
              </w:rPr>
              <w:t>9</w:t>
            </w:r>
          </w:p>
        </w:tc>
        <w:tc>
          <w:tcPr>
            <w:tcW w:w="0" w:type="auto"/>
          </w:tcPr>
          <w:p w14:paraId="4FB4FD56" w14:textId="0E8914AD" w:rsidR="3341BD48" w:rsidRPr="00B85D62" w:rsidRDefault="3341BD48" w:rsidP="0066232B">
            <w:pPr>
              <w:ind w:hanging="13"/>
              <w:rPr>
                <w:rFonts w:eastAsia="Calibri" w:cs="Arial"/>
                <w:color w:val="000000" w:themeColor="text1"/>
                <w:sz w:val="18"/>
                <w:szCs w:val="18"/>
              </w:rPr>
            </w:pPr>
            <w:r w:rsidRPr="00B85D62">
              <w:rPr>
                <w:rFonts w:eastAsia="Calibri" w:cs="Arial"/>
                <w:b/>
                <w:bCs/>
                <w:color w:val="000000" w:themeColor="text1"/>
                <w:sz w:val="18"/>
                <w:szCs w:val="18"/>
              </w:rPr>
              <w:t>Age 6</w:t>
            </w:r>
            <w:r w:rsidR="00B85D62" w:rsidRPr="00B85D62">
              <w:rPr>
                <w:rFonts w:eastAsia="Calibri" w:cs="Arial"/>
                <w:b/>
                <w:bCs/>
                <w:color w:val="00B0F0"/>
                <w:sz w:val="18"/>
                <w:szCs w:val="18"/>
              </w:rPr>
              <w:t>0</w:t>
            </w:r>
            <w:r w:rsidR="00B85D62" w:rsidRPr="00B85D62">
              <w:rPr>
                <w:rFonts w:eastAsia="Calibri" w:cs="Arial"/>
                <w:b/>
                <w:bCs/>
                <w:color w:val="00B0F0"/>
                <w:sz w:val="18"/>
                <w:szCs w:val="18"/>
              </w:rPr>
              <w:t> </w:t>
            </w:r>
            <w:r w:rsidR="00B85D62" w:rsidRPr="00B85D62">
              <w:rPr>
                <w:rFonts w:eastAsia="Calibri" w:cs="Arial"/>
                <w:b/>
                <w:bCs/>
                <w:color w:val="00B0F0"/>
                <w:sz w:val="18"/>
                <w:szCs w:val="18"/>
              </w:rPr>
              <w:t>+</w:t>
            </w:r>
          </w:p>
        </w:tc>
        <w:tc>
          <w:tcPr>
            <w:tcW w:w="0" w:type="auto"/>
            <w:vMerge/>
            <w:vAlign w:val="center"/>
          </w:tcPr>
          <w:p w14:paraId="2A7569F8" w14:textId="77777777" w:rsidR="003F1F7A" w:rsidRPr="00B85D62" w:rsidRDefault="003F1F7A" w:rsidP="0066232B">
            <w:pPr>
              <w:rPr>
                <w:rFonts w:cs="Arial"/>
                <w:sz w:val="18"/>
                <w:szCs w:val="18"/>
              </w:rPr>
            </w:pPr>
          </w:p>
        </w:tc>
        <w:tc>
          <w:tcPr>
            <w:tcW w:w="0" w:type="auto"/>
            <w:vMerge/>
            <w:vAlign w:val="center"/>
          </w:tcPr>
          <w:p w14:paraId="24C53DB1" w14:textId="77777777" w:rsidR="003F1F7A" w:rsidRPr="00B85D62" w:rsidRDefault="003F1F7A" w:rsidP="0066232B">
            <w:pPr>
              <w:rPr>
                <w:rFonts w:cs="Arial"/>
                <w:sz w:val="18"/>
                <w:szCs w:val="18"/>
              </w:rPr>
            </w:pPr>
          </w:p>
        </w:tc>
        <w:tc>
          <w:tcPr>
            <w:tcW w:w="0" w:type="auto"/>
            <w:vMerge/>
            <w:vAlign w:val="center"/>
          </w:tcPr>
          <w:p w14:paraId="46FC3FEA" w14:textId="77777777" w:rsidR="003F1F7A" w:rsidRPr="00B85D62" w:rsidRDefault="003F1F7A" w:rsidP="0066232B">
            <w:pPr>
              <w:rPr>
                <w:rFonts w:cs="Arial"/>
                <w:sz w:val="18"/>
                <w:szCs w:val="18"/>
              </w:rPr>
            </w:pPr>
          </w:p>
        </w:tc>
      </w:tr>
      <w:tr w:rsidR="3341BD48" w:rsidRPr="00B85D62" w14:paraId="3C23D70B" w14:textId="77777777" w:rsidTr="00B85D62">
        <w:trPr>
          <w:cantSplit/>
        </w:trPr>
        <w:tc>
          <w:tcPr>
            <w:tcW w:w="0" w:type="auto"/>
            <w:gridSpan w:val="12"/>
            <w:shd w:val="clear" w:color="auto" w:fill="E7E6E6" w:themeFill="background2"/>
          </w:tcPr>
          <w:p w14:paraId="0A3EC0AB" w14:textId="5720D29A" w:rsidR="3341BD48" w:rsidRPr="00B85D62" w:rsidRDefault="3341BD48" w:rsidP="0066232B">
            <w:pPr>
              <w:ind w:hanging="13"/>
              <w:rPr>
                <w:rFonts w:eastAsia="Calibri" w:cs="Arial"/>
                <w:color w:val="000000" w:themeColor="text1"/>
                <w:sz w:val="18"/>
                <w:szCs w:val="18"/>
              </w:rPr>
            </w:pPr>
            <w:r w:rsidRPr="00B85D62">
              <w:rPr>
                <w:rFonts w:eastAsia="Calibri" w:cs="Arial"/>
                <w:b/>
                <w:bCs/>
                <w:color w:val="000000" w:themeColor="text1"/>
                <w:sz w:val="18"/>
                <w:szCs w:val="18"/>
              </w:rPr>
              <w:t>Including all selected strategies</w:t>
            </w:r>
          </w:p>
        </w:tc>
      </w:tr>
      <w:tr w:rsidR="3341BD48" w:rsidRPr="00B85D62" w14:paraId="6A210E40" w14:textId="77777777" w:rsidTr="00B85D62">
        <w:trPr>
          <w:cantSplit/>
        </w:trPr>
        <w:tc>
          <w:tcPr>
            <w:tcW w:w="0" w:type="auto"/>
            <w:vMerge w:val="restart"/>
          </w:tcPr>
          <w:p w14:paraId="49DB086E" w14:textId="3FDCF8EA" w:rsidR="3341BD48" w:rsidRPr="00B85D62" w:rsidRDefault="3341BD48" w:rsidP="0066232B">
            <w:pPr>
              <w:rPr>
                <w:rFonts w:eastAsia="Calibri" w:cs="Arial"/>
                <w:color w:val="000000" w:themeColor="text1"/>
                <w:sz w:val="18"/>
                <w:szCs w:val="18"/>
              </w:rPr>
            </w:pPr>
            <w:r w:rsidRPr="00B85D62">
              <w:rPr>
                <w:rFonts w:eastAsia="Calibri" w:cs="Arial"/>
                <w:color w:val="000000" w:themeColor="text1"/>
                <w:sz w:val="18"/>
                <w:szCs w:val="18"/>
              </w:rPr>
              <w:t>Select indexes to the genetic test; cascade relative from indexes with FH mutation</w:t>
            </w:r>
          </w:p>
        </w:tc>
        <w:tc>
          <w:tcPr>
            <w:tcW w:w="0" w:type="auto"/>
            <w:vMerge w:val="restart"/>
          </w:tcPr>
          <w:p w14:paraId="0FA782C1" w14:textId="7A50D9A8"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12</w:t>
            </w:r>
          </w:p>
        </w:tc>
        <w:tc>
          <w:tcPr>
            <w:tcW w:w="0" w:type="auto"/>
            <w:vMerge w:val="restart"/>
            <w:vAlign w:val="center"/>
          </w:tcPr>
          <w:p w14:paraId="65906348" w14:textId="62AAFB9D"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sequential</w:t>
            </w:r>
          </w:p>
        </w:tc>
        <w:tc>
          <w:tcPr>
            <w:tcW w:w="0" w:type="auto"/>
            <w:vAlign w:val="center"/>
          </w:tcPr>
          <w:p w14:paraId="181259C3" w14:textId="4C3B291B"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indirect</w:t>
            </w:r>
          </w:p>
        </w:tc>
        <w:tc>
          <w:tcPr>
            <w:tcW w:w="0" w:type="auto"/>
            <w:gridSpan w:val="5"/>
            <w:vAlign w:val="bottom"/>
          </w:tcPr>
          <w:p w14:paraId="48E5B5D7" w14:textId="32F17B86"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N3_H5_L3_T1</w:t>
            </w:r>
          </w:p>
        </w:tc>
        <w:tc>
          <w:tcPr>
            <w:tcW w:w="0" w:type="auto"/>
            <w:gridSpan w:val="3"/>
            <w:vAlign w:val="bottom"/>
          </w:tcPr>
          <w:p w14:paraId="52518BDF" w14:textId="53413124"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Not applicable as cheapest protocol</w:t>
            </w:r>
          </w:p>
        </w:tc>
      </w:tr>
      <w:tr w:rsidR="3341BD48" w:rsidRPr="00B85D62" w14:paraId="57D4C303" w14:textId="77777777" w:rsidTr="00B85D62">
        <w:trPr>
          <w:cantSplit/>
        </w:trPr>
        <w:tc>
          <w:tcPr>
            <w:tcW w:w="0" w:type="auto"/>
            <w:vMerge/>
            <w:vAlign w:val="center"/>
          </w:tcPr>
          <w:p w14:paraId="0EA1332E" w14:textId="77777777" w:rsidR="003F1F7A" w:rsidRPr="00B85D62" w:rsidRDefault="003F1F7A" w:rsidP="0066232B">
            <w:pPr>
              <w:rPr>
                <w:rFonts w:cs="Arial"/>
                <w:sz w:val="18"/>
                <w:szCs w:val="18"/>
              </w:rPr>
            </w:pPr>
          </w:p>
        </w:tc>
        <w:tc>
          <w:tcPr>
            <w:tcW w:w="0" w:type="auto"/>
            <w:vMerge/>
            <w:vAlign w:val="center"/>
          </w:tcPr>
          <w:p w14:paraId="066FA5CD" w14:textId="77777777" w:rsidR="003F1F7A" w:rsidRPr="00B85D62" w:rsidRDefault="003F1F7A" w:rsidP="0066232B">
            <w:pPr>
              <w:rPr>
                <w:rFonts w:cs="Arial"/>
                <w:sz w:val="18"/>
                <w:szCs w:val="18"/>
              </w:rPr>
            </w:pPr>
          </w:p>
        </w:tc>
        <w:tc>
          <w:tcPr>
            <w:tcW w:w="0" w:type="auto"/>
            <w:vMerge/>
            <w:vAlign w:val="center"/>
          </w:tcPr>
          <w:p w14:paraId="7CA4D780" w14:textId="77777777" w:rsidR="003F1F7A" w:rsidRPr="00B85D62" w:rsidRDefault="003F1F7A" w:rsidP="0066232B">
            <w:pPr>
              <w:rPr>
                <w:rFonts w:cs="Arial"/>
                <w:sz w:val="18"/>
                <w:szCs w:val="18"/>
              </w:rPr>
            </w:pPr>
          </w:p>
        </w:tc>
        <w:tc>
          <w:tcPr>
            <w:tcW w:w="0" w:type="auto"/>
            <w:vMerge w:val="restart"/>
            <w:vAlign w:val="center"/>
          </w:tcPr>
          <w:p w14:paraId="2442F5E4" w14:textId="0B4697BB"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direct</w:t>
            </w:r>
          </w:p>
        </w:tc>
        <w:tc>
          <w:tcPr>
            <w:tcW w:w="0" w:type="auto"/>
            <w:gridSpan w:val="5"/>
            <w:vAlign w:val="bottom"/>
          </w:tcPr>
          <w:p w14:paraId="057A1F91" w14:textId="095C7759"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40DF712F" w14:textId="2DEEAB24"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0.010</w:t>
            </w:r>
          </w:p>
        </w:tc>
        <w:tc>
          <w:tcPr>
            <w:tcW w:w="0" w:type="auto"/>
            <w:vAlign w:val="bottom"/>
          </w:tcPr>
          <w:p w14:paraId="2E0CD961" w14:textId="2FF5D9D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£13</w:t>
            </w:r>
          </w:p>
        </w:tc>
        <w:tc>
          <w:tcPr>
            <w:tcW w:w="0" w:type="auto"/>
            <w:vAlign w:val="bottom"/>
          </w:tcPr>
          <w:p w14:paraId="1B404FD1" w14:textId="6E678552"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£1,262</w:t>
            </w:r>
          </w:p>
        </w:tc>
      </w:tr>
      <w:tr w:rsidR="3341BD48" w:rsidRPr="00B85D62" w14:paraId="54E7CBD2" w14:textId="77777777" w:rsidTr="00B85D62">
        <w:trPr>
          <w:cantSplit/>
        </w:trPr>
        <w:tc>
          <w:tcPr>
            <w:tcW w:w="0" w:type="auto"/>
            <w:vMerge/>
            <w:vAlign w:val="center"/>
          </w:tcPr>
          <w:p w14:paraId="65FDA84D" w14:textId="77777777" w:rsidR="003F1F7A" w:rsidRPr="00B85D62" w:rsidRDefault="003F1F7A" w:rsidP="0066232B">
            <w:pPr>
              <w:rPr>
                <w:rFonts w:cs="Arial"/>
                <w:sz w:val="18"/>
                <w:szCs w:val="18"/>
              </w:rPr>
            </w:pPr>
          </w:p>
        </w:tc>
        <w:tc>
          <w:tcPr>
            <w:tcW w:w="0" w:type="auto"/>
          </w:tcPr>
          <w:p w14:paraId="5404B76A" w14:textId="3BE75D79"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10</w:t>
            </w:r>
          </w:p>
        </w:tc>
        <w:tc>
          <w:tcPr>
            <w:tcW w:w="0" w:type="auto"/>
            <w:vMerge/>
            <w:vAlign w:val="center"/>
          </w:tcPr>
          <w:p w14:paraId="0027D0E1" w14:textId="77777777" w:rsidR="003F1F7A" w:rsidRPr="00B85D62" w:rsidRDefault="003F1F7A" w:rsidP="0066232B">
            <w:pPr>
              <w:rPr>
                <w:rFonts w:cs="Arial"/>
                <w:sz w:val="18"/>
                <w:szCs w:val="18"/>
              </w:rPr>
            </w:pPr>
          </w:p>
        </w:tc>
        <w:tc>
          <w:tcPr>
            <w:tcW w:w="0" w:type="auto"/>
            <w:vMerge/>
            <w:vAlign w:val="center"/>
          </w:tcPr>
          <w:p w14:paraId="79CC1FF5" w14:textId="77777777" w:rsidR="003F1F7A" w:rsidRPr="00B85D62" w:rsidRDefault="003F1F7A" w:rsidP="0066232B">
            <w:pPr>
              <w:rPr>
                <w:rFonts w:cs="Arial"/>
                <w:sz w:val="18"/>
                <w:szCs w:val="18"/>
              </w:rPr>
            </w:pPr>
          </w:p>
        </w:tc>
        <w:tc>
          <w:tcPr>
            <w:tcW w:w="0" w:type="auto"/>
            <w:gridSpan w:val="3"/>
            <w:vAlign w:val="bottom"/>
          </w:tcPr>
          <w:p w14:paraId="07DF0C9C" w14:textId="4D708239"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N3_H5_L3_T1</w:t>
            </w:r>
          </w:p>
        </w:tc>
        <w:tc>
          <w:tcPr>
            <w:tcW w:w="0" w:type="auto"/>
            <w:vAlign w:val="bottom"/>
          </w:tcPr>
          <w:p w14:paraId="29B61AF6" w14:textId="3E985165"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N2_H3_L_T1</w:t>
            </w:r>
          </w:p>
        </w:tc>
        <w:tc>
          <w:tcPr>
            <w:tcW w:w="0" w:type="auto"/>
            <w:vAlign w:val="bottom"/>
          </w:tcPr>
          <w:p w14:paraId="1B128AEE" w14:textId="6DE4A08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N3_H6_L2_T0</w:t>
            </w:r>
          </w:p>
        </w:tc>
        <w:tc>
          <w:tcPr>
            <w:tcW w:w="0" w:type="auto"/>
            <w:vAlign w:val="bottom"/>
          </w:tcPr>
          <w:p w14:paraId="3B90BF81" w14:textId="0BD4581A"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0.011</w:t>
            </w:r>
          </w:p>
        </w:tc>
        <w:tc>
          <w:tcPr>
            <w:tcW w:w="0" w:type="auto"/>
            <w:vAlign w:val="bottom"/>
          </w:tcPr>
          <w:p w14:paraId="1903246A" w14:textId="182B7B98"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£13</w:t>
            </w:r>
          </w:p>
        </w:tc>
        <w:tc>
          <w:tcPr>
            <w:tcW w:w="0" w:type="auto"/>
            <w:vAlign w:val="bottom"/>
          </w:tcPr>
          <w:p w14:paraId="74BC9E0E" w14:textId="4072ECE1"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£1,930</w:t>
            </w:r>
          </w:p>
        </w:tc>
      </w:tr>
      <w:tr w:rsidR="3341BD48" w:rsidRPr="00B85D62" w14:paraId="20DDEE48" w14:textId="77777777" w:rsidTr="00B85D62">
        <w:trPr>
          <w:cantSplit/>
        </w:trPr>
        <w:tc>
          <w:tcPr>
            <w:tcW w:w="0" w:type="auto"/>
            <w:vMerge/>
            <w:vAlign w:val="center"/>
          </w:tcPr>
          <w:p w14:paraId="545CAF0C" w14:textId="77777777" w:rsidR="003F1F7A" w:rsidRPr="00B85D62" w:rsidRDefault="003F1F7A" w:rsidP="0066232B">
            <w:pPr>
              <w:rPr>
                <w:rFonts w:cs="Arial"/>
                <w:sz w:val="18"/>
                <w:szCs w:val="18"/>
              </w:rPr>
            </w:pPr>
          </w:p>
        </w:tc>
        <w:tc>
          <w:tcPr>
            <w:tcW w:w="0" w:type="auto"/>
          </w:tcPr>
          <w:p w14:paraId="03E58565" w14:textId="179082AA"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9</w:t>
            </w:r>
          </w:p>
        </w:tc>
        <w:tc>
          <w:tcPr>
            <w:tcW w:w="0" w:type="auto"/>
            <w:vMerge w:val="restart"/>
            <w:vAlign w:val="center"/>
          </w:tcPr>
          <w:p w14:paraId="1C83C632" w14:textId="2203D028" w:rsidR="3341BD48" w:rsidRPr="00B85D62" w:rsidRDefault="3341BD48" w:rsidP="0066232B">
            <w:pPr>
              <w:ind w:right="113" w:hanging="13"/>
              <w:jc w:val="center"/>
              <w:rPr>
                <w:rFonts w:eastAsia="Calibri" w:cs="Arial"/>
                <w:color w:val="000000" w:themeColor="text1"/>
                <w:sz w:val="18"/>
                <w:szCs w:val="18"/>
              </w:rPr>
            </w:pPr>
            <w:r w:rsidRPr="00B85D62">
              <w:rPr>
                <w:rFonts w:eastAsia="Calibri" w:cs="Arial"/>
                <w:color w:val="000000" w:themeColor="text1"/>
                <w:sz w:val="18"/>
                <w:szCs w:val="18"/>
              </w:rPr>
              <w:t>concomitant</w:t>
            </w:r>
          </w:p>
        </w:tc>
        <w:tc>
          <w:tcPr>
            <w:tcW w:w="0" w:type="auto"/>
            <w:vMerge/>
            <w:vAlign w:val="center"/>
          </w:tcPr>
          <w:p w14:paraId="21D4DE35" w14:textId="77777777" w:rsidR="003F1F7A" w:rsidRPr="00B85D62" w:rsidRDefault="003F1F7A" w:rsidP="0066232B">
            <w:pPr>
              <w:rPr>
                <w:rFonts w:cs="Arial"/>
                <w:sz w:val="18"/>
                <w:szCs w:val="18"/>
              </w:rPr>
            </w:pPr>
          </w:p>
        </w:tc>
        <w:tc>
          <w:tcPr>
            <w:tcW w:w="0" w:type="auto"/>
            <w:gridSpan w:val="5"/>
            <w:vAlign w:val="bottom"/>
          </w:tcPr>
          <w:p w14:paraId="161A2552" w14:textId="450583F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4286C128" w14:textId="4377509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0.043</w:t>
            </w:r>
          </w:p>
        </w:tc>
        <w:tc>
          <w:tcPr>
            <w:tcW w:w="0" w:type="auto"/>
            <w:vAlign w:val="bottom"/>
          </w:tcPr>
          <w:p w14:paraId="022AA89F" w14:textId="2AFC98BE"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£131</w:t>
            </w:r>
          </w:p>
        </w:tc>
        <w:tc>
          <w:tcPr>
            <w:tcW w:w="0" w:type="auto"/>
            <w:vAlign w:val="bottom"/>
          </w:tcPr>
          <w:p w14:paraId="239EBCB2" w14:textId="279A4E4B"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£3,628</w:t>
            </w:r>
          </w:p>
        </w:tc>
      </w:tr>
      <w:tr w:rsidR="00B55E94" w:rsidRPr="00B85D62" w14:paraId="7A033D1C" w14:textId="77777777" w:rsidTr="00B85D62">
        <w:trPr>
          <w:cantSplit/>
        </w:trPr>
        <w:tc>
          <w:tcPr>
            <w:tcW w:w="0" w:type="auto"/>
            <w:vMerge/>
            <w:vAlign w:val="center"/>
          </w:tcPr>
          <w:p w14:paraId="72055969" w14:textId="77777777" w:rsidR="003F1F7A" w:rsidRPr="00B85D62" w:rsidRDefault="003F1F7A" w:rsidP="0066232B">
            <w:pPr>
              <w:rPr>
                <w:rFonts w:cs="Arial"/>
                <w:sz w:val="18"/>
                <w:szCs w:val="18"/>
              </w:rPr>
            </w:pPr>
          </w:p>
        </w:tc>
        <w:tc>
          <w:tcPr>
            <w:tcW w:w="0" w:type="auto"/>
          </w:tcPr>
          <w:p w14:paraId="73C1CF6D" w14:textId="5098F744"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7</w:t>
            </w:r>
          </w:p>
        </w:tc>
        <w:tc>
          <w:tcPr>
            <w:tcW w:w="0" w:type="auto"/>
            <w:vMerge/>
            <w:vAlign w:val="center"/>
          </w:tcPr>
          <w:p w14:paraId="58423B47" w14:textId="77777777" w:rsidR="003F1F7A" w:rsidRPr="00B85D62" w:rsidRDefault="003F1F7A" w:rsidP="0066232B">
            <w:pPr>
              <w:rPr>
                <w:rFonts w:cs="Arial"/>
                <w:sz w:val="18"/>
                <w:szCs w:val="18"/>
              </w:rPr>
            </w:pPr>
          </w:p>
        </w:tc>
        <w:tc>
          <w:tcPr>
            <w:tcW w:w="0" w:type="auto"/>
            <w:vMerge/>
            <w:vAlign w:val="center"/>
          </w:tcPr>
          <w:p w14:paraId="2A2730B9" w14:textId="77777777" w:rsidR="003F1F7A" w:rsidRPr="00B85D62" w:rsidRDefault="003F1F7A" w:rsidP="0066232B">
            <w:pPr>
              <w:rPr>
                <w:rFonts w:cs="Arial"/>
                <w:sz w:val="18"/>
                <w:szCs w:val="18"/>
              </w:rPr>
            </w:pPr>
          </w:p>
        </w:tc>
        <w:tc>
          <w:tcPr>
            <w:tcW w:w="0" w:type="auto"/>
            <w:gridSpan w:val="2"/>
            <w:vAlign w:val="bottom"/>
          </w:tcPr>
          <w:p w14:paraId="522E2BFD" w14:textId="53A42F4E"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N3_H5_L3_T1</w:t>
            </w:r>
          </w:p>
        </w:tc>
        <w:tc>
          <w:tcPr>
            <w:tcW w:w="0" w:type="auto"/>
            <w:vAlign w:val="bottom"/>
          </w:tcPr>
          <w:p w14:paraId="59C5EA82" w14:textId="7CB7A738"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57CFD61D" w14:textId="1CCC989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N2_H3_L_T1</w:t>
            </w:r>
          </w:p>
        </w:tc>
        <w:tc>
          <w:tcPr>
            <w:tcW w:w="0" w:type="auto"/>
            <w:vAlign w:val="bottom"/>
          </w:tcPr>
          <w:p w14:paraId="5D7B73E6" w14:textId="60C8BB0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N3_H6_L2_T1</w:t>
            </w:r>
          </w:p>
        </w:tc>
        <w:tc>
          <w:tcPr>
            <w:tcW w:w="0" w:type="auto"/>
            <w:vAlign w:val="bottom"/>
          </w:tcPr>
          <w:p w14:paraId="48EB94EF" w14:textId="3F6ED188"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0.060</w:t>
            </w:r>
          </w:p>
        </w:tc>
        <w:tc>
          <w:tcPr>
            <w:tcW w:w="0" w:type="auto"/>
            <w:vAlign w:val="bottom"/>
          </w:tcPr>
          <w:p w14:paraId="685081C6" w14:textId="30DFDB38"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£201</w:t>
            </w:r>
          </w:p>
        </w:tc>
        <w:tc>
          <w:tcPr>
            <w:tcW w:w="0" w:type="auto"/>
            <w:vAlign w:val="bottom"/>
          </w:tcPr>
          <w:p w14:paraId="31FC484D" w14:textId="22DB3DB9"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£4,184</w:t>
            </w:r>
          </w:p>
        </w:tc>
      </w:tr>
      <w:tr w:rsidR="3341BD48" w:rsidRPr="00B85D62" w14:paraId="1716369C" w14:textId="77777777" w:rsidTr="00B85D62">
        <w:trPr>
          <w:cantSplit/>
        </w:trPr>
        <w:tc>
          <w:tcPr>
            <w:tcW w:w="0" w:type="auto"/>
            <w:vMerge/>
            <w:vAlign w:val="center"/>
          </w:tcPr>
          <w:p w14:paraId="37806A28" w14:textId="77777777" w:rsidR="003F1F7A" w:rsidRPr="00B85D62" w:rsidRDefault="003F1F7A" w:rsidP="0066232B">
            <w:pPr>
              <w:rPr>
                <w:rFonts w:cs="Arial"/>
                <w:sz w:val="18"/>
                <w:szCs w:val="18"/>
              </w:rPr>
            </w:pPr>
          </w:p>
        </w:tc>
        <w:tc>
          <w:tcPr>
            <w:tcW w:w="0" w:type="auto"/>
            <w:vMerge w:val="restart"/>
          </w:tcPr>
          <w:p w14:paraId="355D78E2" w14:textId="28F1CF01"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6</w:t>
            </w:r>
          </w:p>
        </w:tc>
        <w:tc>
          <w:tcPr>
            <w:tcW w:w="0" w:type="auto"/>
            <w:vMerge/>
            <w:vAlign w:val="center"/>
          </w:tcPr>
          <w:p w14:paraId="0426BE2A" w14:textId="77777777" w:rsidR="003F1F7A" w:rsidRPr="00B85D62" w:rsidRDefault="003F1F7A" w:rsidP="0066232B">
            <w:pPr>
              <w:rPr>
                <w:rFonts w:cs="Arial"/>
                <w:sz w:val="18"/>
                <w:szCs w:val="18"/>
              </w:rPr>
            </w:pPr>
          </w:p>
        </w:tc>
        <w:tc>
          <w:tcPr>
            <w:tcW w:w="0" w:type="auto"/>
            <w:vMerge/>
            <w:vAlign w:val="center"/>
          </w:tcPr>
          <w:p w14:paraId="0BE00376" w14:textId="77777777" w:rsidR="003F1F7A" w:rsidRPr="00B85D62" w:rsidRDefault="003F1F7A" w:rsidP="0066232B">
            <w:pPr>
              <w:rPr>
                <w:rFonts w:cs="Arial"/>
                <w:sz w:val="18"/>
                <w:szCs w:val="18"/>
              </w:rPr>
            </w:pPr>
          </w:p>
        </w:tc>
        <w:tc>
          <w:tcPr>
            <w:tcW w:w="0" w:type="auto"/>
            <w:gridSpan w:val="5"/>
            <w:vAlign w:val="bottom"/>
          </w:tcPr>
          <w:p w14:paraId="0C4A3B6D" w14:textId="42DBAFA4"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7D7D195E" w14:textId="364ED0B6"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0.083</w:t>
            </w:r>
          </w:p>
        </w:tc>
        <w:tc>
          <w:tcPr>
            <w:tcW w:w="0" w:type="auto"/>
            <w:vAlign w:val="bottom"/>
          </w:tcPr>
          <w:p w14:paraId="791F58E4" w14:textId="08D4201E"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£340</w:t>
            </w:r>
          </w:p>
        </w:tc>
        <w:tc>
          <w:tcPr>
            <w:tcW w:w="0" w:type="auto"/>
            <w:vAlign w:val="bottom"/>
          </w:tcPr>
          <w:p w14:paraId="1B163D67" w14:textId="06AF26E4"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£6,000</w:t>
            </w:r>
          </w:p>
        </w:tc>
      </w:tr>
      <w:tr w:rsidR="00B55E94" w:rsidRPr="00B85D62" w14:paraId="015293D9" w14:textId="77777777" w:rsidTr="00B85D62">
        <w:trPr>
          <w:cantSplit/>
        </w:trPr>
        <w:tc>
          <w:tcPr>
            <w:tcW w:w="0" w:type="auto"/>
            <w:vMerge/>
            <w:vAlign w:val="center"/>
          </w:tcPr>
          <w:p w14:paraId="30A94A02" w14:textId="77777777" w:rsidR="003F1F7A" w:rsidRPr="00B85D62" w:rsidRDefault="003F1F7A" w:rsidP="0066232B">
            <w:pPr>
              <w:rPr>
                <w:rFonts w:cs="Arial"/>
                <w:sz w:val="18"/>
                <w:szCs w:val="18"/>
              </w:rPr>
            </w:pPr>
          </w:p>
        </w:tc>
        <w:tc>
          <w:tcPr>
            <w:tcW w:w="0" w:type="auto"/>
            <w:vMerge/>
            <w:vAlign w:val="center"/>
          </w:tcPr>
          <w:p w14:paraId="785800FC" w14:textId="77777777" w:rsidR="003F1F7A" w:rsidRPr="00B85D62" w:rsidRDefault="003F1F7A" w:rsidP="0066232B">
            <w:pPr>
              <w:rPr>
                <w:rFonts w:cs="Arial"/>
                <w:sz w:val="18"/>
                <w:szCs w:val="18"/>
              </w:rPr>
            </w:pPr>
          </w:p>
        </w:tc>
        <w:tc>
          <w:tcPr>
            <w:tcW w:w="0" w:type="auto"/>
            <w:vMerge/>
            <w:vAlign w:val="center"/>
          </w:tcPr>
          <w:p w14:paraId="3058D716" w14:textId="77777777" w:rsidR="003F1F7A" w:rsidRPr="00B85D62" w:rsidRDefault="003F1F7A" w:rsidP="0066232B">
            <w:pPr>
              <w:rPr>
                <w:rFonts w:cs="Arial"/>
                <w:sz w:val="18"/>
                <w:szCs w:val="18"/>
              </w:rPr>
            </w:pPr>
          </w:p>
        </w:tc>
        <w:tc>
          <w:tcPr>
            <w:tcW w:w="0" w:type="auto"/>
            <w:vMerge/>
            <w:vAlign w:val="center"/>
          </w:tcPr>
          <w:p w14:paraId="64BF163D" w14:textId="77777777" w:rsidR="003F1F7A" w:rsidRPr="00B85D62" w:rsidRDefault="003F1F7A" w:rsidP="0066232B">
            <w:pPr>
              <w:rPr>
                <w:rFonts w:cs="Arial"/>
                <w:sz w:val="18"/>
                <w:szCs w:val="18"/>
              </w:rPr>
            </w:pPr>
          </w:p>
        </w:tc>
        <w:tc>
          <w:tcPr>
            <w:tcW w:w="0" w:type="auto"/>
            <w:gridSpan w:val="2"/>
            <w:vAlign w:val="bottom"/>
          </w:tcPr>
          <w:p w14:paraId="52854CFB" w14:textId="0AA3AE4B"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N3_H5_L3_T1</w:t>
            </w:r>
          </w:p>
        </w:tc>
        <w:tc>
          <w:tcPr>
            <w:tcW w:w="0" w:type="auto"/>
            <w:vAlign w:val="bottom"/>
          </w:tcPr>
          <w:p w14:paraId="098266CB" w14:textId="568034CF"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1C553179" w14:textId="4BC8BBEB"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N2_H3_L_T1</w:t>
            </w:r>
          </w:p>
        </w:tc>
        <w:tc>
          <w:tcPr>
            <w:tcW w:w="0" w:type="auto"/>
            <w:vAlign w:val="bottom"/>
          </w:tcPr>
          <w:p w14:paraId="740E31F7" w14:textId="715969EF"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N3_H6_L2_T1</w:t>
            </w:r>
          </w:p>
        </w:tc>
        <w:tc>
          <w:tcPr>
            <w:tcW w:w="0" w:type="auto"/>
            <w:vAlign w:val="bottom"/>
          </w:tcPr>
          <w:p w14:paraId="4E45A146" w14:textId="0CB16604"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0.110</w:t>
            </w:r>
          </w:p>
        </w:tc>
        <w:tc>
          <w:tcPr>
            <w:tcW w:w="0" w:type="auto"/>
            <w:vAlign w:val="bottom"/>
          </w:tcPr>
          <w:p w14:paraId="782FA64B" w14:textId="2B7F0F0A"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£511</w:t>
            </w:r>
          </w:p>
        </w:tc>
        <w:tc>
          <w:tcPr>
            <w:tcW w:w="0" w:type="auto"/>
            <w:vAlign w:val="bottom"/>
          </w:tcPr>
          <w:p w14:paraId="20D55DDB" w14:textId="3DD447A7"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£6,183</w:t>
            </w:r>
          </w:p>
        </w:tc>
      </w:tr>
      <w:tr w:rsidR="00B55E94" w:rsidRPr="00B85D62" w14:paraId="0812C23D" w14:textId="77777777" w:rsidTr="00B85D62">
        <w:trPr>
          <w:cantSplit/>
        </w:trPr>
        <w:tc>
          <w:tcPr>
            <w:tcW w:w="0" w:type="auto"/>
            <w:vMerge/>
            <w:vAlign w:val="center"/>
          </w:tcPr>
          <w:p w14:paraId="37DE7F61" w14:textId="77777777" w:rsidR="003F1F7A" w:rsidRPr="00B85D62" w:rsidRDefault="003F1F7A" w:rsidP="0066232B">
            <w:pPr>
              <w:rPr>
                <w:rFonts w:cs="Arial"/>
                <w:sz w:val="18"/>
                <w:szCs w:val="18"/>
              </w:rPr>
            </w:pPr>
          </w:p>
        </w:tc>
        <w:tc>
          <w:tcPr>
            <w:tcW w:w="0" w:type="auto"/>
            <w:vMerge/>
            <w:vAlign w:val="center"/>
          </w:tcPr>
          <w:p w14:paraId="22ABE47D" w14:textId="77777777" w:rsidR="003F1F7A" w:rsidRPr="00B85D62" w:rsidRDefault="003F1F7A" w:rsidP="0066232B">
            <w:pPr>
              <w:rPr>
                <w:rFonts w:cs="Arial"/>
                <w:sz w:val="18"/>
                <w:szCs w:val="18"/>
              </w:rPr>
            </w:pPr>
          </w:p>
        </w:tc>
        <w:tc>
          <w:tcPr>
            <w:tcW w:w="0" w:type="auto"/>
            <w:vMerge/>
            <w:vAlign w:val="center"/>
          </w:tcPr>
          <w:p w14:paraId="30E2B37B" w14:textId="77777777" w:rsidR="003F1F7A" w:rsidRPr="00B85D62" w:rsidRDefault="003F1F7A" w:rsidP="0066232B">
            <w:pPr>
              <w:rPr>
                <w:rFonts w:cs="Arial"/>
                <w:sz w:val="18"/>
                <w:szCs w:val="18"/>
              </w:rPr>
            </w:pPr>
          </w:p>
        </w:tc>
        <w:tc>
          <w:tcPr>
            <w:tcW w:w="0" w:type="auto"/>
            <w:vMerge/>
            <w:vAlign w:val="center"/>
          </w:tcPr>
          <w:p w14:paraId="0660B276" w14:textId="77777777" w:rsidR="003F1F7A" w:rsidRPr="00B85D62" w:rsidRDefault="003F1F7A" w:rsidP="0066232B">
            <w:pPr>
              <w:rPr>
                <w:rFonts w:cs="Arial"/>
                <w:sz w:val="18"/>
                <w:szCs w:val="18"/>
              </w:rPr>
            </w:pPr>
          </w:p>
        </w:tc>
        <w:tc>
          <w:tcPr>
            <w:tcW w:w="0" w:type="auto"/>
            <w:gridSpan w:val="2"/>
            <w:vAlign w:val="bottom"/>
          </w:tcPr>
          <w:p w14:paraId="258CDF86" w14:textId="31195E30"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N3_H5_L3_T1</w:t>
            </w:r>
          </w:p>
        </w:tc>
        <w:tc>
          <w:tcPr>
            <w:tcW w:w="0" w:type="auto"/>
            <w:vAlign w:val="bottom"/>
          </w:tcPr>
          <w:p w14:paraId="08046DF5" w14:textId="7FAA02DC"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0C19B98A" w14:textId="5DC9D6AA"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N2_H2_L_T1</w:t>
            </w:r>
          </w:p>
        </w:tc>
        <w:tc>
          <w:tcPr>
            <w:tcW w:w="0" w:type="auto"/>
            <w:vAlign w:val="bottom"/>
          </w:tcPr>
          <w:p w14:paraId="3B5B4ED4" w14:textId="2963DBF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N3_H6_L2_T1</w:t>
            </w:r>
          </w:p>
        </w:tc>
        <w:tc>
          <w:tcPr>
            <w:tcW w:w="0" w:type="auto"/>
            <w:vAlign w:val="bottom"/>
          </w:tcPr>
          <w:p w14:paraId="7A5AC336" w14:textId="636ABBB4"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0.111</w:t>
            </w:r>
          </w:p>
        </w:tc>
        <w:tc>
          <w:tcPr>
            <w:tcW w:w="0" w:type="auto"/>
            <w:vAlign w:val="bottom"/>
          </w:tcPr>
          <w:p w14:paraId="67DC44E2" w14:textId="2677AA5F"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£522</w:t>
            </w:r>
          </w:p>
        </w:tc>
        <w:tc>
          <w:tcPr>
            <w:tcW w:w="0" w:type="auto"/>
            <w:vAlign w:val="bottom"/>
          </w:tcPr>
          <w:p w14:paraId="4F10FEB8" w14:textId="5795FCDD"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£13,996</w:t>
            </w:r>
          </w:p>
        </w:tc>
      </w:tr>
      <w:tr w:rsidR="00B55E94" w:rsidRPr="00B85D62" w14:paraId="0EFD9E10" w14:textId="77777777" w:rsidTr="00B85D62">
        <w:trPr>
          <w:cantSplit/>
        </w:trPr>
        <w:tc>
          <w:tcPr>
            <w:tcW w:w="0" w:type="auto"/>
            <w:vMerge/>
            <w:vAlign w:val="center"/>
          </w:tcPr>
          <w:p w14:paraId="00F37874" w14:textId="77777777" w:rsidR="003F1F7A" w:rsidRPr="00B85D62" w:rsidRDefault="003F1F7A" w:rsidP="0066232B">
            <w:pPr>
              <w:rPr>
                <w:rFonts w:cs="Arial"/>
                <w:sz w:val="18"/>
                <w:szCs w:val="18"/>
              </w:rPr>
            </w:pPr>
          </w:p>
        </w:tc>
        <w:tc>
          <w:tcPr>
            <w:tcW w:w="0" w:type="auto"/>
            <w:vMerge/>
            <w:vAlign w:val="center"/>
          </w:tcPr>
          <w:p w14:paraId="2205D22E" w14:textId="77777777" w:rsidR="003F1F7A" w:rsidRPr="00B85D62" w:rsidRDefault="003F1F7A" w:rsidP="0066232B">
            <w:pPr>
              <w:rPr>
                <w:rFonts w:cs="Arial"/>
                <w:sz w:val="18"/>
                <w:szCs w:val="18"/>
              </w:rPr>
            </w:pPr>
          </w:p>
        </w:tc>
        <w:tc>
          <w:tcPr>
            <w:tcW w:w="0" w:type="auto"/>
            <w:vMerge/>
            <w:vAlign w:val="center"/>
          </w:tcPr>
          <w:p w14:paraId="6DFCE61A" w14:textId="77777777" w:rsidR="003F1F7A" w:rsidRPr="00B85D62" w:rsidRDefault="003F1F7A" w:rsidP="0066232B">
            <w:pPr>
              <w:rPr>
                <w:rFonts w:cs="Arial"/>
                <w:sz w:val="18"/>
                <w:szCs w:val="18"/>
              </w:rPr>
            </w:pPr>
          </w:p>
        </w:tc>
        <w:tc>
          <w:tcPr>
            <w:tcW w:w="0" w:type="auto"/>
            <w:vMerge/>
            <w:vAlign w:val="center"/>
          </w:tcPr>
          <w:p w14:paraId="33C6C966" w14:textId="77777777" w:rsidR="003F1F7A" w:rsidRPr="00B85D62" w:rsidRDefault="003F1F7A" w:rsidP="0066232B">
            <w:pPr>
              <w:rPr>
                <w:rFonts w:cs="Arial"/>
                <w:sz w:val="18"/>
                <w:szCs w:val="18"/>
              </w:rPr>
            </w:pPr>
          </w:p>
        </w:tc>
        <w:tc>
          <w:tcPr>
            <w:tcW w:w="0" w:type="auto"/>
            <w:vAlign w:val="bottom"/>
          </w:tcPr>
          <w:p w14:paraId="2D987213" w14:textId="17CF246F"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N3_H5_L3_T1</w:t>
            </w:r>
          </w:p>
        </w:tc>
        <w:tc>
          <w:tcPr>
            <w:tcW w:w="0" w:type="auto"/>
            <w:vAlign w:val="bottom"/>
          </w:tcPr>
          <w:p w14:paraId="26E6E35A" w14:textId="159E5DC5"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N3_H5_L2_T1</w:t>
            </w:r>
          </w:p>
        </w:tc>
        <w:tc>
          <w:tcPr>
            <w:tcW w:w="0" w:type="auto"/>
            <w:vAlign w:val="bottom"/>
          </w:tcPr>
          <w:p w14:paraId="7B0762D4" w14:textId="0E9E3581"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449660C5" w14:textId="4AE4D840"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N2_H2_L_T1</w:t>
            </w:r>
          </w:p>
        </w:tc>
        <w:tc>
          <w:tcPr>
            <w:tcW w:w="0" w:type="auto"/>
            <w:vAlign w:val="bottom"/>
          </w:tcPr>
          <w:p w14:paraId="403B1BA5" w14:textId="3EC773C0"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N3_H6_L2_T1</w:t>
            </w:r>
          </w:p>
        </w:tc>
        <w:tc>
          <w:tcPr>
            <w:tcW w:w="0" w:type="auto"/>
            <w:vAlign w:val="bottom"/>
          </w:tcPr>
          <w:p w14:paraId="5BD93451" w14:textId="1A34E411"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0.113</w:t>
            </w:r>
          </w:p>
        </w:tc>
        <w:tc>
          <w:tcPr>
            <w:tcW w:w="0" w:type="auto"/>
            <w:vAlign w:val="bottom"/>
          </w:tcPr>
          <w:p w14:paraId="6B072143" w14:textId="777A9FAB"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£549</w:t>
            </w:r>
          </w:p>
        </w:tc>
        <w:tc>
          <w:tcPr>
            <w:tcW w:w="0" w:type="auto"/>
            <w:vAlign w:val="bottom"/>
          </w:tcPr>
          <w:p w14:paraId="101B0408" w14:textId="292FBB86"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£18,175</w:t>
            </w:r>
          </w:p>
        </w:tc>
      </w:tr>
      <w:tr w:rsidR="00B55E94" w:rsidRPr="00B85D62" w14:paraId="3769BA63" w14:textId="77777777" w:rsidTr="00B85D62">
        <w:trPr>
          <w:cantSplit/>
        </w:trPr>
        <w:tc>
          <w:tcPr>
            <w:tcW w:w="0" w:type="auto"/>
            <w:vMerge/>
            <w:vAlign w:val="center"/>
          </w:tcPr>
          <w:p w14:paraId="51B46753" w14:textId="77777777" w:rsidR="003F1F7A" w:rsidRPr="00B85D62" w:rsidRDefault="003F1F7A" w:rsidP="0066232B">
            <w:pPr>
              <w:rPr>
                <w:rFonts w:cs="Arial"/>
                <w:sz w:val="18"/>
                <w:szCs w:val="18"/>
              </w:rPr>
            </w:pPr>
          </w:p>
        </w:tc>
        <w:tc>
          <w:tcPr>
            <w:tcW w:w="0" w:type="auto"/>
            <w:vMerge/>
            <w:vAlign w:val="center"/>
          </w:tcPr>
          <w:p w14:paraId="6201762C" w14:textId="77777777" w:rsidR="003F1F7A" w:rsidRPr="00B85D62" w:rsidRDefault="003F1F7A" w:rsidP="0066232B">
            <w:pPr>
              <w:rPr>
                <w:rFonts w:cs="Arial"/>
                <w:sz w:val="18"/>
                <w:szCs w:val="18"/>
              </w:rPr>
            </w:pPr>
          </w:p>
        </w:tc>
        <w:tc>
          <w:tcPr>
            <w:tcW w:w="0" w:type="auto"/>
            <w:vMerge/>
            <w:vAlign w:val="center"/>
          </w:tcPr>
          <w:p w14:paraId="41AC8253" w14:textId="77777777" w:rsidR="003F1F7A" w:rsidRPr="00B85D62" w:rsidRDefault="003F1F7A" w:rsidP="0066232B">
            <w:pPr>
              <w:rPr>
                <w:rFonts w:cs="Arial"/>
                <w:sz w:val="18"/>
                <w:szCs w:val="18"/>
              </w:rPr>
            </w:pPr>
          </w:p>
        </w:tc>
        <w:tc>
          <w:tcPr>
            <w:tcW w:w="0" w:type="auto"/>
            <w:vMerge/>
            <w:vAlign w:val="center"/>
          </w:tcPr>
          <w:p w14:paraId="3C90C45C" w14:textId="77777777" w:rsidR="003F1F7A" w:rsidRPr="00B85D62" w:rsidRDefault="003F1F7A" w:rsidP="0066232B">
            <w:pPr>
              <w:rPr>
                <w:rFonts w:cs="Arial"/>
                <w:sz w:val="18"/>
                <w:szCs w:val="18"/>
              </w:rPr>
            </w:pPr>
          </w:p>
        </w:tc>
        <w:tc>
          <w:tcPr>
            <w:tcW w:w="0" w:type="auto"/>
            <w:vAlign w:val="bottom"/>
          </w:tcPr>
          <w:p w14:paraId="326936EC" w14:textId="6F766E27"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N3_H5_L3_T1</w:t>
            </w:r>
          </w:p>
        </w:tc>
        <w:tc>
          <w:tcPr>
            <w:tcW w:w="0" w:type="auto"/>
            <w:vAlign w:val="bottom"/>
          </w:tcPr>
          <w:p w14:paraId="5AA37BF8" w14:textId="1F887F58"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N3_H5_L2_T1</w:t>
            </w:r>
          </w:p>
        </w:tc>
        <w:tc>
          <w:tcPr>
            <w:tcW w:w="0" w:type="auto"/>
            <w:vAlign w:val="bottom"/>
          </w:tcPr>
          <w:p w14:paraId="6D01CF6F" w14:textId="230E4638"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606039A0" w14:textId="1FCCFB96"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N2_H2_L_T1</w:t>
            </w:r>
          </w:p>
        </w:tc>
        <w:tc>
          <w:tcPr>
            <w:tcW w:w="0" w:type="auto"/>
            <w:vAlign w:val="bottom"/>
          </w:tcPr>
          <w:p w14:paraId="5EA2311A" w14:textId="70A22505"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N3_H5_L1_T1</w:t>
            </w:r>
          </w:p>
        </w:tc>
        <w:tc>
          <w:tcPr>
            <w:tcW w:w="0" w:type="auto"/>
            <w:vAlign w:val="bottom"/>
          </w:tcPr>
          <w:p w14:paraId="7E314D16" w14:textId="7720A3B5"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0.113</w:t>
            </w:r>
          </w:p>
        </w:tc>
        <w:tc>
          <w:tcPr>
            <w:tcW w:w="0" w:type="auto"/>
            <w:vAlign w:val="bottom"/>
          </w:tcPr>
          <w:p w14:paraId="1E5CD333" w14:textId="20D57187"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£550</w:t>
            </w:r>
          </w:p>
        </w:tc>
        <w:tc>
          <w:tcPr>
            <w:tcW w:w="0" w:type="auto"/>
            <w:vAlign w:val="bottom"/>
          </w:tcPr>
          <w:p w14:paraId="36E73B74" w14:textId="46C018B8"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£19,288</w:t>
            </w:r>
          </w:p>
        </w:tc>
      </w:tr>
      <w:tr w:rsidR="3341BD48" w:rsidRPr="00B85D62" w14:paraId="0AAE0B67" w14:textId="77777777" w:rsidTr="00B85D62">
        <w:trPr>
          <w:cantSplit/>
        </w:trPr>
        <w:tc>
          <w:tcPr>
            <w:tcW w:w="0" w:type="auto"/>
            <w:vMerge/>
            <w:vAlign w:val="center"/>
          </w:tcPr>
          <w:p w14:paraId="12B1F3A7" w14:textId="77777777" w:rsidR="003F1F7A" w:rsidRPr="00B85D62" w:rsidRDefault="003F1F7A" w:rsidP="0066232B">
            <w:pPr>
              <w:rPr>
                <w:rFonts w:cs="Arial"/>
                <w:sz w:val="18"/>
                <w:szCs w:val="18"/>
              </w:rPr>
            </w:pPr>
          </w:p>
        </w:tc>
        <w:tc>
          <w:tcPr>
            <w:tcW w:w="0" w:type="auto"/>
            <w:vMerge/>
            <w:vAlign w:val="center"/>
          </w:tcPr>
          <w:p w14:paraId="069DB6AD" w14:textId="77777777" w:rsidR="003F1F7A" w:rsidRPr="00B85D62" w:rsidRDefault="003F1F7A" w:rsidP="0066232B">
            <w:pPr>
              <w:rPr>
                <w:rFonts w:cs="Arial"/>
                <w:sz w:val="18"/>
                <w:szCs w:val="18"/>
              </w:rPr>
            </w:pPr>
          </w:p>
        </w:tc>
        <w:tc>
          <w:tcPr>
            <w:tcW w:w="0" w:type="auto"/>
            <w:vMerge/>
            <w:vAlign w:val="center"/>
          </w:tcPr>
          <w:p w14:paraId="55739ADC" w14:textId="77777777" w:rsidR="003F1F7A" w:rsidRPr="00B85D62" w:rsidRDefault="003F1F7A" w:rsidP="0066232B">
            <w:pPr>
              <w:rPr>
                <w:rFonts w:cs="Arial"/>
                <w:sz w:val="18"/>
                <w:szCs w:val="18"/>
              </w:rPr>
            </w:pPr>
          </w:p>
        </w:tc>
        <w:tc>
          <w:tcPr>
            <w:tcW w:w="0" w:type="auto"/>
            <w:vMerge/>
            <w:vAlign w:val="center"/>
          </w:tcPr>
          <w:p w14:paraId="1954E4AC" w14:textId="77777777" w:rsidR="003F1F7A" w:rsidRPr="00B85D62" w:rsidRDefault="003F1F7A" w:rsidP="0066232B">
            <w:pPr>
              <w:rPr>
                <w:rFonts w:cs="Arial"/>
                <w:sz w:val="18"/>
                <w:szCs w:val="18"/>
              </w:rPr>
            </w:pPr>
          </w:p>
        </w:tc>
        <w:tc>
          <w:tcPr>
            <w:tcW w:w="0" w:type="auto"/>
            <w:gridSpan w:val="5"/>
            <w:vAlign w:val="bottom"/>
          </w:tcPr>
          <w:p w14:paraId="5C5C0818" w14:textId="64D3652A"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N3_H6_L2_T1</w:t>
            </w:r>
          </w:p>
        </w:tc>
        <w:tc>
          <w:tcPr>
            <w:tcW w:w="0" w:type="auto"/>
            <w:vAlign w:val="bottom"/>
          </w:tcPr>
          <w:p w14:paraId="3F103E06" w14:textId="121ACB50"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0.115</w:t>
            </w:r>
          </w:p>
        </w:tc>
        <w:tc>
          <w:tcPr>
            <w:tcW w:w="0" w:type="auto"/>
            <w:vAlign w:val="bottom"/>
          </w:tcPr>
          <w:p w14:paraId="78A20EF4" w14:textId="4F0545DC"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£601</w:t>
            </w:r>
          </w:p>
        </w:tc>
        <w:tc>
          <w:tcPr>
            <w:tcW w:w="0" w:type="auto"/>
            <w:vAlign w:val="bottom"/>
          </w:tcPr>
          <w:p w14:paraId="12FFACAB" w14:textId="21F8A969"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£24,342</w:t>
            </w:r>
          </w:p>
        </w:tc>
      </w:tr>
      <w:tr w:rsidR="00B55E94" w:rsidRPr="00B85D62" w14:paraId="0D9E8161" w14:textId="77777777" w:rsidTr="00B85D62">
        <w:trPr>
          <w:cantSplit/>
        </w:trPr>
        <w:tc>
          <w:tcPr>
            <w:tcW w:w="0" w:type="auto"/>
            <w:vMerge/>
            <w:vAlign w:val="center"/>
          </w:tcPr>
          <w:p w14:paraId="708141F0" w14:textId="77777777" w:rsidR="003F1F7A" w:rsidRPr="00B85D62" w:rsidRDefault="003F1F7A" w:rsidP="0066232B">
            <w:pPr>
              <w:rPr>
                <w:rFonts w:cs="Arial"/>
                <w:sz w:val="18"/>
                <w:szCs w:val="18"/>
              </w:rPr>
            </w:pPr>
          </w:p>
        </w:tc>
        <w:tc>
          <w:tcPr>
            <w:tcW w:w="0" w:type="auto"/>
            <w:vMerge/>
            <w:vAlign w:val="center"/>
          </w:tcPr>
          <w:p w14:paraId="50BB481D" w14:textId="77777777" w:rsidR="003F1F7A" w:rsidRPr="00B85D62" w:rsidRDefault="003F1F7A" w:rsidP="0066232B">
            <w:pPr>
              <w:rPr>
                <w:rFonts w:cs="Arial"/>
                <w:sz w:val="18"/>
                <w:szCs w:val="18"/>
              </w:rPr>
            </w:pPr>
          </w:p>
        </w:tc>
        <w:tc>
          <w:tcPr>
            <w:tcW w:w="0" w:type="auto"/>
            <w:vMerge/>
            <w:vAlign w:val="center"/>
          </w:tcPr>
          <w:p w14:paraId="77648888" w14:textId="77777777" w:rsidR="003F1F7A" w:rsidRPr="00B85D62" w:rsidRDefault="003F1F7A" w:rsidP="0066232B">
            <w:pPr>
              <w:rPr>
                <w:rFonts w:cs="Arial"/>
                <w:sz w:val="18"/>
                <w:szCs w:val="18"/>
              </w:rPr>
            </w:pPr>
          </w:p>
        </w:tc>
        <w:tc>
          <w:tcPr>
            <w:tcW w:w="0" w:type="auto"/>
            <w:vMerge/>
            <w:vAlign w:val="center"/>
          </w:tcPr>
          <w:p w14:paraId="0E5304E8" w14:textId="77777777" w:rsidR="003F1F7A" w:rsidRPr="00B85D62" w:rsidRDefault="003F1F7A" w:rsidP="0066232B">
            <w:pPr>
              <w:rPr>
                <w:rFonts w:cs="Arial"/>
                <w:sz w:val="18"/>
                <w:szCs w:val="18"/>
              </w:rPr>
            </w:pPr>
          </w:p>
        </w:tc>
        <w:tc>
          <w:tcPr>
            <w:tcW w:w="0" w:type="auto"/>
            <w:vAlign w:val="bottom"/>
          </w:tcPr>
          <w:p w14:paraId="28498EFA" w14:textId="3722FF2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N5_H_L_T1</w:t>
            </w:r>
          </w:p>
        </w:tc>
        <w:tc>
          <w:tcPr>
            <w:tcW w:w="0" w:type="auto"/>
            <w:vAlign w:val="bottom"/>
          </w:tcPr>
          <w:p w14:paraId="3455A61F" w14:textId="2FF95608"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N5_H_L_T1</w:t>
            </w:r>
          </w:p>
        </w:tc>
        <w:tc>
          <w:tcPr>
            <w:tcW w:w="0" w:type="auto"/>
            <w:vAlign w:val="bottom"/>
          </w:tcPr>
          <w:p w14:paraId="6D573C4D" w14:textId="0C841524"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N5_H_L_T1</w:t>
            </w:r>
          </w:p>
        </w:tc>
        <w:tc>
          <w:tcPr>
            <w:tcW w:w="0" w:type="auto"/>
            <w:vAlign w:val="bottom"/>
          </w:tcPr>
          <w:p w14:paraId="7C989B7E" w14:textId="30CA7C77"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N5_H_L_T1</w:t>
            </w:r>
          </w:p>
        </w:tc>
        <w:tc>
          <w:tcPr>
            <w:tcW w:w="0" w:type="auto"/>
            <w:vAlign w:val="bottom"/>
          </w:tcPr>
          <w:p w14:paraId="287E5430" w14:textId="0475B487"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N5_H_L_T1</w:t>
            </w:r>
          </w:p>
        </w:tc>
        <w:tc>
          <w:tcPr>
            <w:tcW w:w="0" w:type="auto"/>
            <w:vAlign w:val="bottom"/>
          </w:tcPr>
          <w:p w14:paraId="6A54B488" w14:textId="0A4220DC"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0.115</w:t>
            </w:r>
          </w:p>
        </w:tc>
        <w:tc>
          <w:tcPr>
            <w:tcW w:w="0" w:type="auto"/>
            <w:vAlign w:val="bottom"/>
          </w:tcPr>
          <w:p w14:paraId="50850484" w14:textId="178E3E8D"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£625</w:t>
            </w:r>
          </w:p>
        </w:tc>
        <w:tc>
          <w:tcPr>
            <w:tcW w:w="0" w:type="auto"/>
            <w:vAlign w:val="bottom"/>
          </w:tcPr>
          <w:p w14:paraId="73FB8280" w14:textId="4EC74B22"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£61,589</w:t>
            </w:r>
          </w:p>
        </w:tc>
      </w:tr>
      <w:tr w:rsidR="3341BD48" w:rsidRPr="00B85D62" w14:paraId="47DA4382" w14:textId="77777777" w:rsidTr="00B85D62">
        <w:trPr>
          <w:cantSplit/>
        </w:trPr>
        <w:tc>
          <w:tcPr>
            <w:tcW w:w="0" w:type="auto"/>
            <w:gridSpan w:val="12"/>
            <w:shd w:val="clear" w:color="auto" w:fill="E7E6E6" w:themeFill="background2"/>
          </w:tcPr>
          <w:p w14:paraId="60E79D46" w14:textId="0B224291" w:rsidR="3341BD48" w:rsidRPr="00B85D62" w:rsidRDefault="3341BD48" w:rsidP="0066232B">
            <w:pPr>
              <w:ind w:hanging="13"/>
              <w:rPr>
                <w:rFonts w:eastAsia="Calibri" w:cs="Arial"/>
                <w:color w:val="000000" w:themeColor="text1"/>
                <w:sz w:val="18"/>
                <w:szCs w:val="18"/>
              </w:rPr>
            </w:pPr>
            <w:r w:rsidRPr="00B85D62">
              <w:rPr>
                <w:rFonts w:eastAsia="Calibri" w:cs="Arial"/>
                <w:b/>
                <w:bCs/>
                <w:color w:val="000000" w:themeColor="text1"/>
                <w:sz w:val="18"/>
                <w:szCs w:val="18"/>
              </w:rPr>
              <w:t>Including only harmonised strategies</w:t>
            </w:r>
          </w:p>
        </w:tc>
      </w:tr>
      <w:tr w:rsidR="3341BD48" w:rsidRPr="00B85D62" w14:paraId="0B3D5F83" w14:textId="77777777" w:rsidTr="00B85D62">
        <w:trPr>
          <w:cantSplit/>
        </w:trPr>
        <w:tc>
          <w:tcPr>
            <w:tcW w:w="0" w:type="auto"/>
            <w:vMerge w:val="restart"/>
          </w:tcPr>
          <w:p w14:paraId="32B0655A" w14:textId="7019A4B4" w:rsidR="3341BD48" w:rsidRPr="00B85D62" w:rsidRDefault="3341BD48" w:rsidP="0066232B">
            <w:pPr>
              <w:rPr>
                <w:rFonts w:eastAsia="Calibri" w:cs="Arial"/>
                <w:color w:val="000000" w:themeColor="text1"/>
                <w:sz w:val="18"/>
                <w:szCs w:val="18"/>
              </w:rPr>
            </w:pPr>
            <w:r w:rsidRPr="00B85D62">
              <w:rPr>
                <w:rFonts w:eastAsia="Calibri" w:cs="Arial"/>
                <w:color w:val="000000" w:themeColor="text1"/>
                <w:sz w:val="18"/>
                <w:szCs w:val="18"/>
              </w:rPr>
              <w:t>Select indexes to the genetic test; cascade relative from indexes with FH mutation</w:t>
            </w:r>
          </w:p>
        </w:tc>
        <w:tc>
          <w:tcPr>
            <w:tcW w:w="0" w:type="auto"/>
          </w:tcPr>
          <w:p w14:paraId="65D7FE11" w14:textId="3C7C1B5E"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12</w:t>
            </w:r>
          </w:p>
        </w:tc>
        <w:tc>
          <w:tcPr>
            <w:tcW w:w="0" w:type="auto"/>
            <w:vMerge w:val="restart"/>
            <w:vAlign w:val="center"/>
          </w:tcPr>
          <w:p w14:paraId="56CA1DE2" w14:textId="5B4850F1"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sequential</w:t>
            </w:r>
          </w:p>
        </w:tc>
        <w:tc>
          <w:tcPr>
            <w:tcW w:w="0" w:type="auto"/>
            <w:vAlign w:val="center"/>
          </w:tcPr>
          <w:p w14:paraId="2B279B5E" w14:textId="7CCA052D"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indirect</w:t>
            </w:r>
          </w:p>
        </w:tc>
        <w:tc>
          <w:tcPr>
            <w:tcW w:w="0" w:type="auto"/>
            <w:gridSpan w:val="5"/>
            <w:vAlign w:val="bottom"/>
          </w:tcPr>
          <w:p w14:paraId="741EC172" w14:textId="2D8DD04A"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N3_H5_L3_T1</w:t>
            </w:r>
          </w:p>
        </w:tc>
        <w:tc>
          <w:tcPr>
            <w:tcW w:w="0" w:type="auto"/>
            <w:gridSpan w:val="3"/>
            <w:vAlign w:val="bottom"/>
          </w:tcPr>
          <w:p w14:paraId="69BCF1A5" w14:textId="366276EF"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Not applicable as cheapest protocol</w:t>
            </w:r>
          </w:p>
        </w:tc>
      </w:tr>
      <w:tr w:rsidR="3341BD48" w:rsidRPr="00B85D62" w14:paraId="65739F53" w14:textId="77777777" w:rsidTr="00B85D62">
        <w:trPr>
          <w:cantSplit/>
        </w:trPr>
        <w:tc>
          <w:tcPr>
            <w:tcW w:w="0" w:type="auto"/>
            <w:vMerge/>
            <w:vAlign w:val="center"/>
          </w:tcPr>
          <w:p w14:paraId="52CB5EBD" w14:textId="77777777" w:rsidR="003F1F7A" w:rsidRPr="00B85D62" w:rsidRDefault="003F1F7A" w:rsidP="0066232B">
            <w:pPr>
              <w:rPr>
                <w:rFonts w:cs="Arial"/>
                <w:sz w:val="18"/>
                <w:szCs w:val="18"/>
              </w:rPr>
            </w:pPr>
          </w:p>
        </w:tc>
        <w:tc>
          <w:tcPr>
            <w:tcW w:w="0" w:type="auto"/>
          </w:tcPr>
          <w:p w14:paraId="1F2011B8" w14:textId="7367612D"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12</w:t>
            </w:r>
          </w:p>
        </w:tc>
        <w:tc>
          <w:tcPr>
            <w:tcW w:w="0" w:type="auto"/>
            <w:vMerge/>
            <w:vAlign w:val="center"/>
          </w:tcPr>
          <w:p w14:paraId="616ADD16" w14:textId="77777777" w:rsidR="003F1F7A" w:rsidRPr="00B85D62" w:rsidRDefault="003F1F7A" w:rsidP="0066232B">
            <w:pPr>
              <w:rPr>
                <w:rFonts w:cs="Arial"/>
                <w:sz w:val="18"/>
                <w:szCs w:val="18"/>
              </w:rPr>
            </w:pPr>
          </w:p>
        </w:tc>
        <w:tc>
          <w:tcPr>
            <w:tcW w:w="0" w:type="auto"/>
            <w:vMerge w:val="restart"/>
            <w:vAlign w:val="center"/>
          </w:tcPr>
          <w:p w14:paraId="07452D0F" w14:textId="01C5C772"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direct</w:t>
            </w:r>
          </w:p>
        </w:tc>
        <w:tc>
          <w:tcPr>
            <w:tcW w:w="0" w:type="auto"/>
            <w:gridSpan w:val="5"/>
            <w:vAlign w:val="bottom"/>
          </w:tcPr>
          <w:p w14:paraId="751001B9" w14:textId="45A9A079"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4B502BA9" w14:textId="6D32E6D0"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0.010</w:t>
            </w:r>
          </w:p>
        </w:tc>
        <w:tc>
          <w:tcPr>
            <w:tcW w:w="0" w:type="auto"/>
            <w:vAlign w:val="bottom"/>
          </w:tcPr>
          <w:p w14:paraId="7DC772F1" w14:textId="07FDEC78"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£13</w:t>
            </w:r>
          </w:p>
        </w:tc>
        <w:tc>
          <w:tcPr>
            <w:tcW w:w="0" w:type="auto"/>
            <w:vAlign w:val="bottom"/>
          </w:tcPr>
          <w:p w14:paraId="4979ED69" w14:textId="5A2D4FA9"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£1,262</w:t>
            </w:r>
          </w:p>
        </w:tc>
      </w:tr>
      <w:tr w:rsidR="3341BD48" w:rsidRPr="00B85D62" w14:paraId="2B81A28C" w14:textId="77777777" w:rsidTr="00B85D62">
        <w:trPr>
          <w:cantSplit/>
        </w:trPr>
        <w:tc>
          <w:tcPr>
            <w:tcW w:w="0" w:type="auto"/>
            <w:vMerge/>
            <w:vAlign w:val="center"/>
          </w:tcPr>
          <w:p w14:paraId="77A8F720" w14:textId="77777777" w:rsidR="003F1F7A" w:rsidRPr="00B85D62" w:rsidRDefault="003F1F7A" w:rsidP="0066232B">
            <w:pPr>
              <w:rPr>
                <w:rFonts w:cs="Arial"/>
                <w:sz w:val="18"/>
                <w:szCs w:val="18"/>
              </w:rPr>
            </w:pPr>
          </w:p>
        </w:tc>
        <w:tc>
          <w:tcPr>
            <w:tcW w:w="0" w:type="auto"/>
          </w:tcPr>
          <w:p w14:paraId="2D3DD339" w14:textId="039FC3EF"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12</w:t>
            </w:r>
          </w:p>
        </w:tc>
        <w:tc>
          <w:tcPr>
            <w:tcW w:w="0" w:type="auto"/>
            <w:vMerge w:val="restart"/>
            <w:vAlign w:val="center"/>
          </w:tcPr>
          <w:p w14:paraId="11A4B118" w14:textId="770606E7" w:rsidR="3341BD48" w:rsidRPr="00B85D62" w:rsidRDefault="3341BD48" w:rsidP="0066232B">
            <w:pPr>
              <w:ind w:right="113" w:hanging="13"/>
              <w:jc w:val="center"/>
              <w:rPr>
                <w:rFonts w:eastAsia="Calibri" w:cs="Arial"/>
                <w:color w:val="000000" w:themeColor="text1"/>
                <w:sz w:val="18"/>
                <w:szCs w:val="18"/>
              </w:rPr>
            </w:pPr>
            <w:r w:rsidRPr="00B85D62">
              <w:rPr>
                <w:rFonts w:eastAsia="Calibri" w:cs="Arial"/>
                <w:color w:val="000000" w:themeColor="text1"/>
                <w:sz w:val="18"/>
                <w:szCs w:val="18"/>
              </w:rPr>
              <w:t>concomitant</w:t>
            </w:r>
          </w:p>
        </w:tc>
        <w:tc>
          <w:tcPr>
            <w:tcW w:w="0" w:type="auto"/>
            <w:vMerge/>
            <w:vAlign w:val="center"/>
          </w:tcPr>
          <w:p w14:paraId="4BA44F73" w14:textId="77777777" w:rsidR="003F1F7A" w:rsidRPr="00B85D62" w:rsidRDefault="003F1F7A" w:rsidP="0066232B">
            <w:pPr>
              <w:rPr>
                <w:rFonts w:cs="Arial"/>
                <w:sz w:val="18"/>
                <w:szCs w:val="18"/>
              </w:rPr>
            </w:pPr>
          </w:p>
        </w:tc>
        <w:tc>
          <w:tcPr>
            <w:tcW w:w="0" w:type="auto"/>
            <w:gridSpan w:val="5"/>
            <w:vAlign w:val="bottom"/>
          </w:tcPr>
          <w:p w14:paraId="10DB5DCD" w14:textId="5543973B"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7375F4E6" w14:textId="12AF4E19"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0.019</w:t>
            </w:r>
          </w:p>
        </w:tc>
        <w:tc>
          <w:tcPr>
            <w:tcW w:w="0" w:type="auto"/>
            <w:vAlign w:val="bottom"/>
          </w:tcPr>
          <w:p w14:paraId="59470474" w14:textId="01AB4255"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£38</w:t>
            </w:r>
          </w:p>
        </w:tc>
        <w:tc>
          <w:tcPr>
            <w:tcW w:w="0" w:type="auto"/>
            <w:vAlign w:val="bottom"/>
          </w:tcPr>
          <w:p w14:paraId="19500E89" w14:textId="4347CFF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£2,896</w:t>
            </w:r>
          </w:p>
        </w:tc>
      </w:tr>
      <w:tr w:rsidR="3341BD48" w:rsidRPr="00B85D62" w14:paraId="7A221469" w14:textId="77777777" w:rsidTr="00B85D62">
        <w:trPr>
          <w:cantSplit/>
        </w:trPr>
        <w:tc>
          <w:tcPr>
            <w:tcW w:w="0" w:type="auto"/>
            <w:vMerge/>
            <w:vAlign w:val="center"/>
          </w:tcPr>
          <w:p w14:paraId="00F91F36" w14:textId="77777777" w:rsidR="003F1F7A" w:rsidRPr="00B85D62" w:rsidRDefault="003F1F7A" w:rsidP="0066232B">
            <w:pPr>
              <w:rPr>
                <w:rFonts w:cs="Arial"/>
                <w:sz w:val="18"/>
                <w:szCs w:val="18"/>
              </w:rPr>
            </w:pPr>
          </w:p>
        </w:tc>
        <w:tc>
          <w:tcPr>
            <w:tcW w:w="0" w:type="auto"/>
          </w:tcPr>
          <w:p w14:paraId="7FFF0627" w14:textId="794A1EB1"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10</w:t>
            </w:r>
          </w:p>
        </w:tc>
        <w:tc>
          <w:tcPr>
            <w:tcW w:w="0" w:type="auto"/>
            <w:vMerge/>
            <w:vAlign w:val="center"/>
          </w:tcPr>
          <w:p w14:paraId="33597D6B" w14:textId="77777777" w:rsidR="003F1F7A" w:rsidRPr="00B85D62" w:rsidRDefault="003F1F7A" w:rsidP="0066232B">
            <w:pPr>
              <w:rPr>
                <w:rFonts w:cs="Arial"/>
                <w:sz w:val="18"/>
                <w:szCs w:val="18"/>
              </w:rPr>
            </w:pPr>
          </w:p>
        </w:tc>
        <w:tc>
          <w:tcPr>
            <w:tcW w:w="0" w:type="auto"/>
            <w:vMerge/>
            <w:vAlign w:val="center"/>
          </w:tcPr>
          <w:p w14:paraId="45CE9439" w14:textId="77777777" w:rsidR="003F1F7A" w:rsidRPr="00B85D62" w:rsidRDefault="003F1F7A" w:rsidP="0066232B">
            <w:pPr>
              <w:rPr>
                <w:rFonts w:cs="Arial"/>
                <w:sz w:val="18"/>
                <w:szCs w:val="18"/>
              </w:rPr>
            </w:pPr>
          </w:p>
        </w:tc>
        <w:tc>
          <w:tcPr>
            <w:tcW w:w="0" w:type="auto"/>
            <w:gridSpan w:val="5"/>
            <w:vAlign w:val="bottom"/>
          </w:tcPr>
          <w:p w14:paraId="3E16FE32" w14:textId="73F16EAA"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3C19D2EF" w14:textId="4A5D327D"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0.043</w:t>
            </w:r>
          </w:p>
        </w:tc>
        <w:tc>
          <w:tcPr>
            <w:tcW w:w="0" w:type="auto"/>
            <w:vAlign w:val="bottom"/>
          </w:tcPr>
          <w:p w14:paraId="455604C4" w14:textId="4453F309"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£131</w:t>
            </w:r>
          </w:p>
        </w:tc>
        <w:tc>
          <w:tcPr>
            <w:tcW w:w="0" w:type="auto"/>
            <w:vAlign w:val="bottom"/>
          </w:tcPr>
          <w:p w14:paraId="5239E726" w14:textId="7F58C569"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£3,883</w:t>
            </w:r>
          </w:p>
        </w:tc>
      </w:tr>
      <w:tr w:rsidR="3341BD48" w:rsidRPr="00B85D62" w14:paraId="7DED2C58" w14:textId="77777777" w:rsidTr="00B85D62">
        <w:trPr>
          <w:cantSplit/>
        </w:trPr>
        <w:tc>
          <w:tcPr>
            <w:tcW w:w="0" w:type="auto"/>
            <w:vMerge/>
            <w:vAlign w:val="center"/>
          </w:tcPr>
          <w:p w14:paraId="58E2696D" w14:textId="77777777" w:rsidR="003F1F7A" w:rsidRPr="00B85D62" w:rsidRDefault="003F1F7A" w:rsidP="0066232B">
            <w:pPr>
              <w:rPr>
                <w:rFonts w:cs="Arial"/>
                <w:sz w:val="18"/>
                <w:szCs w:val="18"/>
              </w:rPr>
            </w:pPr>
          </w:p>
        </w:tc>
        <w:tc>
          <w:tcPr>
            <w:tcW w:w="0" w:type="auto"/>
          </w:tcPr>
          <w:p w14:paraId="24DD8B74" w14:textId="35B16E51"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9</w:t>
            </w:r>
          </w:p>
        </w:tc>
        <w:tc>
          <w:tcPr>
            <w:tcW w:w="0" w:type="auto"/>
            <w:vMerge/>
            <w:vAlign w:val="center"/>
          </w:tcPr>
          <w:p w14:paraId="7AE1373B" w14:textId="77777777" w:rsidR="003F1F7A" w:rsidRPr="00B85D62" w:rsidRDefault="003F1F7A" w:rsidP="0066232B">
            <w:pPr>
              <w:rPr>
                <w:rFonts w:cs="Arial"/>
                <w:sz w:val="18"/>
                <w:szCs w:val="18"/>
              </w:rPr>
            </w:pPr>
          </w:p>
        </w:tc>
        <w:tc>
          <w:tcPr>
            <w:tcW w:w="0" w:type="auto"/>
            <w:vMerge/>
            <w:vAlign w:val="center"/>
          </w:tcPr>
          <w:p w14:paraId="444C9383" w14:textId="77777777" w:rsidR="003F1F7A" w:rsidRPr="00B85D62" w:rsidRDefault="003F1F7A" w:rsidP="0066232B">
            <w:pPr>
              <w:rPr>
                <w:rFonts w:cs="Arial"/>
                <w:sz w:val="18"/>
                <w:szCs w:val="18"/>
              </w:rPr>
            </w:pPr>
          </w:p>
        </w:tc>
        <w:tc>
          <w:tcPr>
            <w:tcW w:w="0" w:type="auto"/>
            <w:gridSpan w:val="5"/>
            <w:vAlign w:val="bottom"/>
          </w:tcPr>
          <w:p w14:paraId="33A0D3B7" w14:textId="1FA487F4"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5EB0FF36" w14:textId="5AB64775"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0.059</w:t>
            </w:r>
          </w:p>
        </w:tc>
        <w:tc>
          <w:tcPr>
            <w:tcW w:w="0" w:type="auto"/>
            <w:vAlign w:val="bottom"/>
          </w:tcPr>
          <w:p w14:paraId="440F7D1E" w14:textId="3089400C"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£200</w:t>
            </w:r>
          </w:p>
        </w:tc>
        <w:tc>
          <w:tcPr>
            <w:tcW w:w="0" w:type="auto"/>
            <w:vAlign w:val="bottom"/>
          </w:tcPr>
          <w:p w14:paraId="5CC55EC6" w14:textId="345B3126"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£4,197</w:t>
            </w:r>
          </w:p>
        </w:tc>
      </w:tr>
      <w:tr w:rsidR="3341BD48" w:rsidRPr="00B85D62" w14:paraId="465E9083" w14:textId="77777777" w:rsidTr="00B85D62">
        <w:trPr>
          <w:cantSplit/>
        </w:trPr>
        <w:tc>
          <w:tcPr>
            <w:tcW w:w="0" w:type="auto"/>
            <w:vMerge/>
            <w:vAlign w:val="center"/>
          </w:tcPr>
          <w:p w14:paraId="3290E673" w14:textId="77777777" w:rsidR="003F1F7A" w:rsidRPr="00B85D62" w:rsidRDefault="003F1F7A" w:rsidP="0066232B">
            <w:pPr>
              <w:rPr>
                <w:rFonts w:cs="Arial"/>
                <w:sz w:val="18"/>
                <w:szCs w:val="18"/>
              </w:rPr>
            </w:pPr>
          </w:p>
        </w:tc>
        <w:tc>
          <w:tcPr>
            <w:tcW w:w="0" w:type="auto"/>
          </w:tcPr>
          <w:p w14:paraId="46D47AD7" w14:textId="7047313D"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7</w:t>
            </w:r>
          </w:p>
        </w:tc>
        <w:tc>
          <w:tcPr>
            <w:tcW w:w="0" w:type="auto"/>
            <w:vMerge/>
            <w:vAlign w:val="center"/>
          </w:tcPr>
          <w:p w14:paraId="3356BD5B" w14:textId="77777777" w:rsidR="003F1F7A" w:rsidRPr="00B85D62" w:rsidRDefault="003F1F7A" w:rsidP="0066232B">
            <w:pPr>
              <w:rPr>
                <w:rFonts w:cs="Arial"/>
                <w:sz w:val="18"/>
                <w:szCs w:val="18"/>
              </w:rPr>
            </w:pPr>
          </w:p>
        </w:tc>
        <w:tc>
          <w:tcPr>
            <w:tcW w:w="0" w:type="auto"/>
            <w:vMerge/>
            <w:vAlign w:val="center"/>
          </w:tcPr>
          <w:p w14:paraId="61EB9499" w14:textId="77777777" w:rsidR="003F1F7A" w:rsidRPr="00B85D62" w:rsidRDefault="003F1F7A" w:rsidP="0066232B">
            <w:pPr>
              <w:rPr>
                <w:rFonts w:cs="Arial"/>
                <w:sz w:val="18"/>
                <w:szCs w:val="18"/>
              </w:rPr>
            </w:pPr>
          </w:p>
        </w:tc>
        <w:tc>
          <w:tcPr>
            <w:tcW w:w="0" w:type="auto"/>
            <w:gridSpan w:val="5"/>
            <w:vAlign w:val="bottom"/>
          </w:tcPr>
          <w:p w14:paraId="312AFA7C" w14:textId="5A972711"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0F3E769B" w14:textId="00D2F8E6"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0.083</w:t>
            </w:r>
          </w:p>
        </w:tc>
        <w:tc>
          <w:tcPr>
            <w:tcW w:w="0" w:type="auto"/>
            <w:vAlign w:val="bottom"/>
          </w:tcPr>
          <w:p w14:paraId="7E1D6267" w14:textId="566447A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£340</w:t>
            </w:r>
          </w:p>
        </w:tc>
        <w:tc>
          <w:tcPr>
            <w:tcW w:w="0" w:type="auto"/>
            <w:vAlign w:val="bottom"/>
          </w:tcPr>
          <w:p w14:paraId="7305A301" w14:textId="37CC9657"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£5,972</w:t>
            </w:r>
          </w:p>
        </w:tc>
      </w:tr>
      <w:tr w:rsidR="3341BD48" w:rsidRPr="00B85D62" w14:paraId="5AD08EC3" w14:textId="77777777" w:rsidTr="00B85D62">
        <w:trPr>
          <w:cantSplit/>
        </w:trPr>
        <w:tc>
          <w:tcPr>
            <w:tcW w:w="0" w:type="auto"/>
            <w:vMerge/>
            <w:vAlign w:val="center"/>
          </w:tcPr>
          <w:p w14:paraId="055CE585" w14:textId="77777777" w:rsidR="003F1F7A" w:rsidRPr="00B85D62" w:rsidRDefault="003F1F7A" w:rsidP="0066232B">
            <w:pPr>
              <w:rPr>
                <w:rFonts w:cs="Arial"/>
                <w:sz w:val="18"/>
                <w:szCs w:val="18"/>
              </w:rPr>
            </w:pPr>
          </w:p>
        </w:tc>
        <w:tc>
          <w:tcPr>
            <w:tcW w:w="0" w:type="auto"/>
          </w:tcPr>
          <w:p w14:paraId="09739F88" w14:textId="767F4903"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6</w:t>
            </w:r>
          </w:p>
        </w:tc>
        <w:tc>
          <w:tcPr>
            <w:tcW w:w="0" w:type="auto"/>
            <w:vMerge/>
            <w:vAlign w:val="center"/>
          </w:tcPr>
          <w:p w14:paraId="4B2C72F3" w14:textId="77777777" w:rsidR="003F1F7A" w:rsidRPr="00B85D62" w:rsidRDefault="003F1F7A" w:rsidP="0066232B">
            <w:pPr>
              <w:rPr>
                <w:rFonts w:cs="Arial"/>
                <w:sz w:val="18"/>
                <w:szCs w:val="18"/>
              </w:rPr>
            </w:pPr>
          </w:p>
        </w:tc>
        <w:tc>
          <w:tcPr>
            <w:tcW w:w="0" w:type="auto"/>
            <w:vMerge/>
            <w:vAlign w:val="center"/>
          </w:tcPr>
          <w:p w14:paraId="046EBB32" w14:textId="77777777" w:rsidR="003F1F7A" w:rsidRPr="00B85D62" w:rsidRDefault="003F1F7A" w:rsidP="0066232B">
            <w:pPr>
              <w:rPr>
                <w:rFonts w:cs="Arial"/>
                <w:sz w:val="18"/>
                <w:szCs w:val="18"/>
              </w:rPr>
            </w:pPr>
          </w:p>
        </w:tc>
        <w:tc>
          <w:tcPr>
            <w:tcW w:w="0" w:type="auto"/>
            <w:gridSpan w:val="5"/>
            <w:vAlign w:val="bottom"/>
          </w:tcPr>
          <w:p w14:paraId="1F662442" w14:textId="04885D5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N3_H6_L3_T1</w:t>
            </w:r>
          </w:p>
        </w:tc>
        <w:tc>
          <w:tcPr>
            <w:tcW w:w="0" w:type="auto"/>
            <w:vAlign w:val="bottom"/>
          </w:tcPr>
          <w:p w14:paraId="2931C8DC" w14:textId="671DAAA2"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0.110</w:t>
            </w:r>
          </w:p>
        </w:tc>
        <w:tc>
          <w:tcPr>
            <w:tcW w:w="0" w:type="auto"/>
            <w:vAlign w:val="bottom"/>
          </w:tcPr>
          <w:p w14:paraId="658C2191" w14:textId="72784455"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£510</w:t>
            </w:r>
          </w:p>
        </w:tc>
        <w:tc>
          <w:tcPr>
            <w:tcW w:w="0" w:type="auto"/>
            <w:vAlign w:val="bottom"/>
          </w:tcPr>
          <w:p w14:paraId="2D401BB9" w14:textId="43D9CB43"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£6,222</w:t>
            </w:r>
          </w:p>
        </w:tc>
      </w:tr>
      <w:tr w:rsidR="3341BD48" w:rsidRPr="00B85D62" w14:paraId="3E494146" w14:textId="77777777" w:rsidTr="00B85D62">
        <w:trPr>
          <w:cantSplit/>
        </w:trPr>
        <w:tc>
          <w:tcPr>
            <w:tcW w:w="0" w:type="auto"/>
            <w:vMerge/>
            <w:vAlign w:val="center"/>
          </w:tcPr>
          <w:p w14:paraId="2645A224" w14:textId="77777777" w:rsidR="003F1F7A" w:rsidRPr="00B85D62" w:rsidRDefault="003F1F7A" w:rsidP="0066232B">
            <w:pPr>
              <w:rPr>
                <w:rFonts w:cs="Arial"/>
                <w:sz w:val="18"/>
                <w:szCs w:val="18"/>
              </w:rPr>
            </w:pPr>
          </w:p>
        </w:tc>
        <w:tc>
          <w:tcPr>
            <w:tcW w:w="0" w:type="auto"/>
            <w:vAlign w:val="center"/>
          </w:tcPr>
          <w:p w14:paraId="424A90E2" w14:textId="66B3F45E"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6</w:t>
            </w:r>
          </w:p>
        </w:tc>
        <w:tc>
          <w:tcPr>
            <w:tcW w:w="0" w:type="auto"/>
            <w:vMerge/>
            <w:vAlign w:val="center"/>
          </w:tcPr>
          <w:p w14:paraId="5E352CF1" w14:textId="77777777" w:rsidR="003F1F7A" w:rsidRPr="00B85D62" w:rsidRDefault="003F1F7A" w:rsidP="0066232B">
            <w:pPr>
              <w:rPr>
                <w:rFonts w:cs="Arial"/>
                <w:sz w:val="18"/>
                <w:szCs w:val="18"/>
              </w:rPr>
            </w:pPr>
          </w:p>
        </w:tc>
        <w:tc>
          <w:tcPr>
            <w:tcW w:w="0" w:type="auto"/>
            <w:vMerge/>
            <w:vAlign w:val="center"/>
          </w:tcPr>
          <w:p w14:paraId="39C24EA5" w14:textId="77777777" w:rsidR="003F1F7A" w:rsidRPr="00B85D62" w:rsidRDefault="003F1F7A" w:rsidP="0066232B">
            <w:pPr>
              <w:rPr>
                <w:rFonts w:cs="Arial"/>
                <w:sz w:val="18"/>
                <w:szCs w:val="18"/>
              </w:rPr>
            </w:pPr>
          </w:p>
        </w:tc>
        <w:tc>
          <w:tcPr>
            <w:tcW w:w="0" w:type="auto"/>
            <w:gridSpan w:val="5"/>
            <w:vAlign w:val="center"/>
          </w:tcPr>
          <w:p w14:paraId="312513D4" w14:textId="097030B2"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N3_H6_L2_T1</w:t>
            </w:r>
          </w:p>
        </w:tc>
        <w:tc>
          <w:tcPr>
            <w:tcW w:w="0" w:type="auto"/>
            <w:vAlign w:val="bottom"/>
          </w:tcPr>
          <w:p w14:paraId="59B161D0" w14:textId="05C9BAA5"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0.115</w:t>
            </w:r>
          </w:p>
        </w:tc>
        <w:tc>
          <w:tcPr>
            <w:tcW w:w="0" w:type="auto"/>
            <w:vAlign w:val="bottom"/>
          </w:tcPr>
          <w:p w14:paraId="0C1F4A43" w14:textId="7C344A47"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£601</w:t>
            </w:r>
          </w:p>
        </w:tc>
        <w:tc>
          <w:tcPr>
            <w:tcW w:w="0" w:type="auto"/>
            <w:vAlign w:val="bottom"/>
          </w:tcPr>
          <w:p w14:paraId="32E28E00" w14:textId="48FB3BA4"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£19,092</w:t>
            </w:r>
          </w:p>
        </w:tc>
      </w:tr>
      <w:tr w:rsidR="3341BD48" w:rsidRPr="00B85D62" w14:paraId="542EBA61" w14:textId="77777777" w:rsidTr="00B85D62">
        <w:trPr>
          <w:cantSplit/>
        </w:trPr>
        <w:tc>
          <w:tcPr>
            <w:tcW w:w="0" w:type="auto"/>
            <w:vMerge/>
            <w:vAlign w:val="center"/>
          </w:tcPr>
          <w:p w14:paraId="345D5941" w14:textId="77777777" w:rsidR="003F1F7A" w:rsidRPr="00B85D62" w:rsidRDefault="003F1F7A" w:rsidP="0066232B">
            <w:pPr>
              <w:rPr>
                <w:rFonts w:cs="Arial"/>
                <w:sz w:val="18"/>
                <w:szCs w:val="18"/>
              </w:rPr>
            </w:pPr>
          </w:p>
        </w:tc>
        <w:tc>
          <w:tcPr>
            <w:tcW w:w="0" w:type="auto"/>
            <w:vAlign w:val="center"/>
          </w:tcPr>
          <w:p w14:paraId="7BC441A8" w14:textId="18F7EC4D" w:rsidR="3341BD48" w:rsidRPr="00B85D62" w:rsidRDefault="3341BD48" w:rsidP="0066232B">
            <w:pPr>
              <w:ind w:hanging="13"/>
              <w:jc w:val="right"/>
              <w:rPr>
                <w:rFonts w:eastAsia="Calibri" w:cs="Arial"/>
                <w:color w:val="000000" w:themeColor="text1"/>
                <w:sz w:val="18"/>
                <w:szCs w:val="18"/>
              </w:rPr>
            </w:pPr>
            <w:r w:rsidRPr="00B85D62">
              <w:rPr>
                <w:rFonts w:eastAsia="Calibri" w:cs="Arial"/>
                <w:color w:val="000000" w:themeColor="text1"/>
                <w:sz w:val="18"/>
                <w:szCs w:val="18"/>
              </w:rPr>
              <w:t>6</w:t>
            </w:r>
          </w:p>
        </w:tc>
        <w:tc>
          <w:tcPr>
            <w:tcW w:w="0" w:type="auto"/>
            <w:vMerge/>
            <w:vAlign w:val="center"/>
          </w:tcPr>
          <w:p w14:paraId="53F585D4" w14:textId="77777777" w:rsidR="003F1F7A" w:rsidRPr="00B85D62" w:rsidRDefault="003F1F7A" w:rsidP="0066232B">
            <w:pPr>
              <w:rPr>
                <w:rFonts w:cs="Arial"/>
                <w:sz w:val="18"/>
                <w:szCs w:val="18"/>
              </w:rPr>
            </w:pPr>
          </w:p>
        </w:tc>
        <w:tc>
          <w:tcPr>
            <w:tcW w:w="0" w:type="auto"/>
            <w:vMerge/>
            <w:vAlign w:val="center"/>
          </w:tcPr>
          <w:p w14:paraId="36BF1B85" w14:textId="77777777" w:rsidR="003F1F7A" w:rsidRPr="00B85D62" w:rsidRDefault="003F1F7A" w:rsidP="0066232B">
            <w:pPr>
              <w:rPr>
                <w:rFonts w:cs="Arial"/>
                <w:sz w:val="18"/>
                <w:szCs w:val="18"/>
              </w:rPr>
            </w:pPr>
          </w:p>
        </w:tc>
        <w:tc>
          <w:tcPr>
            <w:tcW w:w="0" w:type="auto"/>
            <w:gridSpan w:val="5"/>
            <w:vAlign w:val="center"/>
          </w:tcPr>
          <w:p w14:paraId="52E27F24" w14:textId="3FC9C817"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N5_H_L_T1</w:t>
            </w:r>
          </w:p>
        </w:tc>
        <w:tc>
          <w:tcPr>
            <w:tcW w:w="0" w:type="auto"/>
            <w:vAlign w:val="bottom"/>
          </w:tcPr>
          <w:p w14:paraId="56644BC3" w14:textId="7AAD52C0"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0.115</w:t>
            </w:r>
          </w:p>
        </w:tc>
        <w:tc>
          <w:tcPr>
            <w:tcW w:w="0" w:type="auto"/>
            <w:vAlign w:val="bottom"/>
          </w:tcPr>
          <w:p w14:paraId="23DC10EB" w14:textId="66EEF552"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£625</w:t>
            </w:r>
          </w:p>
        </w:tc>
        <w:tc>
          <w:tcPr>
            <w:tcW w:w="0" w:type="auto"/>
            <w:vAlign w:val="bottom"/>
          </w:tcPr>
          <w:p w14:paraId="6A900746" w14:textId="46756DF6" w:rsidR="3341BD48" w:rsidRPr="00B85D62" w:rsidRDefault="3341BD48" w:rsidP="0066232B">
            <w:pPr>
              <w:ind w:hanging="13"/>
              <w:jc w:val="center"/>
              <w:rPr>
                <w:rFonts w:eastAsia="Calibri" w:cs="Arial"/>
                <w:color w:val="000000" w:themeColor="text1"/>
                <w:sz w:val="18"/>
                <w:szCs w:val="18"/>
              </w:rPr>
            </w:pPr>
            <w:r w:rsidRPr="00B85D62">
              <w:rPr>
                <w:rFonts w:eastAsia="Calibri" w:cs="Arial"/>
                <w:color w:val="000000" w:themeColor="text1"/>
                <w:sz w:val="18"/>
                <w:szCs w:val="18"/>
              </w:rPr>
              <w:t>£61,589</w:t>
            </w:r>
          </w:p>
        </w:tc>
      </w:tr>
      <w:tr w:rsidR="3341BD48" w:rsidRPr="00B85D62" w14:paraId="74A98F3D" w14:textId="77777777" w:rsidTr="00B85D62">
        <w:trPr>
          <w:cantSplit/>
        </w:trPr>
        <w:tc>
          <w:tcPr>
            <w:tcW w:w="0" w:type="auto"/>
            <w:gridSpan w:val="12"/>
          </w:tcPr>
          <w:p w14:paraId="7D162D76" w14:textId="5F746F4C" w:rsidR="3341BD48" w:rsidRPr="00B85D62" w:rsidRDefault="3341BD48" w:rsidP="0066232B">
            <w:pPr>
              <w:ind w:hanging="13"/>
              <w:rPr>
                <w:rFonts w:eastAsia="Calibri" w:cs="Arial"/>
                <w:color w:val="000000" w:themeColor="text1"/>
                <w:sz w:val="18"/>
                <w:szCs w:val="18"/>
              </w:rPr>
            </w:pPr>
            <w:r w:rsidRPr="00B85D62">
              <w:rPr>
                <w:rFonts w:eastAsia="Calibri" w:cs="Arial"/>
                <w:color w:val="000000" w:themeColor="text1"/>
                <w:sz w:val="18"/>
                <w:szCs w:val="18"/>
              </w:rPr>
              <w:t xml:space="preserve">Testing strategies starting with N3 are strategies where relatives who are not on LLT are tested for their LDL-C, with relatives whose LDL-C </w:t>
            </w:r>
            <w:r w:rsidR="00B85D62" w:rsidRPr="00B85D62">
              <w:rPr>
                <w:rFonts w:eastAsia="Calibri" w:cs="Arial"/>
                <w:color w:val="00B0F0"/>
                <w:sz w:val="18"/>
                <w:szCs w:val="18"/>
              </w:rPr>
              <w:t>≥</w:t>
            </w:r>
            <w:r w:rsidR="00B85D62" w:rsidRPr="00B85D62">
              <w:rPr>
                <w:rFonts w:eastAsia="Calibri" w:cs="Arial"/>
                <w:color w:val="00B0F0"/>
                <w:sz w:val="18"/>
                <w:szCs w:val="18"/>
              </w:rPr>
              <w:t> </w:t>
            </w:r>
            <w:r w:rsidRPr="00B85D62">
              <w:rPr>
                <w:rFonts w:eastAsia="Calibri" w:cs="Arial"/>
                <w:color w:val="000000" w:themeColor="text1"/>
                <w:sz w:val="18"/>
                <w:szCs w:val="18"/>
              </w:rPr>
              <w:t xml:space="preserve">higher cut-off are assumed to have FH, relatives with LDL-C between the higher and the lower cut-off are genetically tested, and relatives with LDL-C </w:t>
            </w:r>
            <w:r w:rsidR="00B85D62" w:rsidRPr="00B85D62">
              <w:rPr>
                <w:rFonts w:eastAsia="Calibri" w:cs="Arial"/>
                <w:color w:val="00B0F0"/>
                <w:sz w:val="18"/>
                <w:szCs w:val="18"/>
              </w:rPr>
              <w:t>&lt;</w:t>
            </w:r>
            <w:r w:rsidR="00B85D62" w:rsidRPr="00B85D62">
              <w:rPr>
                <w:rFonts w:eastAsia="Calibri" w:cs="Arial"/>
                <w:color w:val="00B0F0"/>
                <w:sz w:val="18"/>
                <w:szCs w:val="18"/>
              </w:rPr>
              <w:t> </w:t>
            </w:r>
            <w:r w:rsidRPr="00B85D62">
              <w:rPr>
                <w:rFonts w:eastAsia="Calibri" w:cs="Arial"/>
                <w:color w:val="000000" w:themeColor="text1"/>
                <w:sz w:val="18"/>
                <w:szCs w:val="18"/>
              </w:rPr>
              <w:t>lower cut-off are assumed not to have FH.</w:t>
            </w:r>
          </w:p>
          <w:p w14:paraId="1B8746B1" w14:textId="454C21D4" w:rsidR="3341BD48" w:rsidRPr="00B85D62" w:rsidRDefault="3341BD48" w:rsidP="0066232B">
            <w:pPr>
              <w:ind w:hanging="13"/>
              <w:rPr>
                <w:rFonts w:eastAsia="Calibri" w:cs="Arial"/>
                <w:color w:val="000000" w:themeColor="text1"/>
                <w:sz w:val="18"/>
                <w:szCs w:val="18"/>
              </w:rPr>
            </w:pPr>
            <w:r w:rsidRPr="00B85D62">
              <w:rPr>
                <w:rFonts w:eastAsia="Calibri" w:cs="Arial"/>
                <w:color w:val="000000" w:themeColor="text1"/>
                <w:sz w:val="18"/>
                <w:szCs w:val="18"/>
              </w:rPr>
              <w:t xml:space="preserve">Strategies starting with N2 are strategies where relatives who are not on LLT are tested for their LDL-C, with relatives whose LDL-C </w:t>
            </w:r>
            <w:r w:rsidR="00B85D62" w:rsidRPr="00B85D62">
              <w:rPr>
                <w:rFonts w:eastAsia="Calibri" w:cs="Arial"/>
                <w:color w:val="00B0F0"/>
                <w:sz w:val="18"/>
                <w:szCs w:val="18"/>
              </w:rPr>
              <w:t>≥</w:t>
            </w:r>
            <w:r w:rsidR="00B85D62" w:rsidRPr="00B85D62">
              <w:rPr>
                <w:rFonts w:eastAsia="Calibri" w:cs="Arial"/>
                <w:color w:val="00B0F0"/>
                <w:sz w:val="18"/>
                <w:szCs w:val="18"/>
              </w:rPr>
              <w:t> </w:t>
            </w:r>
            <w:r w:rsidRPr="00B85D62">
              <w:rPr>
                <w:rFonts w:eastAsia="Calibri" w:cs="Arial"/>
                <w:color w:val="000000" w:themeColor="text1"/>
                <w:sz w:val="18"/>
                <w:szCs w:val="18"/>
              </w:rPr>
              <w:t xml:space="preserve">higher cut-off are genetically tested, and relatives with LDL-C </w:t>
            </w:r>
            <w:r w:rsidR="00B85D62" w:rsidRPr="00B85D62">
              <w:rPr>
                <w:rFonts w:eastAsia="Calibri" w:cs="Arial"/>
                <w:color w:val="00B0F0"/>
                <w:sz w:val="18"/>
                <w:szCs w:val="18"/>
              </w:rPr>
              <w:t>&lt;</w:t>
            </w:r>
            <w:r w:rsidR="00B85D62" w:rsidRPr="00B85D62">
              <w:rPr>
                <w:rFonts w:eastAsia="Calibri" w:cs="Arial"/>
                <w:color w:val="00B0F0"/>
                <w:sz w:val="18"/>
                <w:szCs w:val="18"/>
              </w:rPr>
              <w:t> </w:t>
            </w:r>
            <w:r w:rsidRPr="00B85D62">
              <w:rPr>
                <w:rFonts w:eastAsia="Calibri" w:cs="Arial"/>
                <w:color w:val="000000" w:themeColor="text1"/>
                <w:sz w:val="18"/>
                <w:szCs w:val="18"/>
              </w:rPr>
              <w:t>higher cut-off are assumed not to have FH.</w:t>
            </w:r>
          </w:p>
          <w:p w14:paraId="69781D29" w14:textId="61E3ADDF" w:rsidR="3341BD48" w:rsidRPr="00B85D62" w:rsidRDefault="3341BD48" w:rsidP="0066232B">
            <w:pPr>
              <w:ind w:hanging="13"/>
              <w:rPr>
                <w:rFonts w:eastAsia="Calibri" w:cs="Arial"/>
                <w:color w:val="000000" w:themeColor="text1"/>
                <w:sz w:val="18"/>
                <w:szCs w:val="18"/>
              </w:rPr>
            </w:pPr>
            <w:r w:rsidRPr="00B85D62">
              <w:rPr>
                <w:rFonts w:eastAsia="Calibri" w:cs="Arial"/>
                <w:color w:val="000000" w:themeColor="text1"/>
                <w:sz w:val="18"/>
                <w:szCs w:val="18"/>
              </w:rPr>
              <w:t xml:space="preserve">The number next to the letter </w:t>
            </w:r>
            <w:r w:rsidR="00B85D62" w:rsidRPr="00B85D62">
              <w:rPr>
                <w:rFonts w:eastAsia="Calibri" w:cs="Arial"/>
                <w:color w:val="000000" w:themeColor="text1"/>
                <w:sz w:val="18"/>
                <w:szCs w:val="18"/>
              </w:rPr>
              <w:t>“</w:t>
            </w:r>
            <w:r w:rsidRPr="00B85D62">
              <w:rPr>
                <w:rFonts w:eastAsia="Calibri" w:cs="Arial"/>
                <w:color w:val="000000" w:themeColor="text1"/>
                <w:sz w:val="18"/>
                <w:szCs w:val="18"/>
              </w:rPr>
              <w:t>H</w:t>
            </w:r>
            <w:r w:rsidR="00B85D62" w:rsidRPr="00B85D62">
              <w:rPr>
                <w:rFonts w:eastAsia="Calibri" w:cs="Arial"/>
                <w:color w:val="000000" w:themeColor="text1"/>
                <w:sz w:val="18"/>
                <w:szCs w:val="18"/>
              </w:rPr>
              <w:t>”</w:t>
            </w:r>
            <w:r w:rsidRPr="00B85D62">
              <w:rPr>
                <w:rFonts w:eastAsia="Calibri" w:cs="Arial"/>
                <w:color w:val="000000" w:themeColor="text1"/>
                <w:sz w:val="18"/>
                <w:szCs w:val="18"/>
              </w:rPr>
              <w:t xml:space="preserve"> represents the higher cut-off for LDL-C.</w:t>
            </w:r>
          </w:p>
          <w:p w14:paraId="3C0A7494" w14:textId="484B31B5" w:rsidR="3341BD48" w:rsidRPr="00B85D62" w:rsidRDefault="3341BD48" w:rsidP="0066232B">
            <w:pPr>
              <w:ind w:hanging="13"/>
              <w:rPr>
                <w:rFonts w:eastAsia="Calibri" w:cs="Arial"/>
                <w:color w:val="000000" w:themeColor="text1"/>
                <w:sz w:val="18"/>
                <w:szCs w:val="18"/>
              </w:rPr>
            </w:pPr>
            <w:r w:rsidRPr="00B85D62">
              <w:rPr>
                <w:rFonts w:eastAsia="Calibri" w:cs="Arial"/>
                <w:color w:val="000000" w:themeColor="text1"/>
                <w:sz w:val="18"/>
                <w:szCs w:val="18"/>
              </w:rPr>
              <w:t xml:space="preserve">The number next to the letter </w:t>
            </w:r>
            <w:r w:rsidR="00B85D62" w:rsidRPr="00B85D62">
              <w:rPr>
                <w:rFonts w:eastAsia="Calibri" w:cs="Arial"/>
                <w:color w:val="000000" w:themeColor="text1"/>
                <w:sz w:val="18"/>
                <w:szCs w:val="18"/>
              </w:rPr>
              <w:t>“</w:t>
            </w:r>
            <w:r w:rsidRPr="00B85D62">
              <w:rPr>
                <w:rFonts w:eastAsia="Calibri" w:cs="Arial"/>
                <w:color w:val="000000" w:themeColor="text1"/>
                <w:sz w:val="18"/>
                <w:szCs w:val="18"/>
              </w:rPr>
              <w:t>L</w:t>
            </w:r>
            <w:r w:rsidR="00B85D62" w:rsidRPr="00B85D62">
              <w:rPr>
                <w:rFonts w:eastAsia="Calibri" w:cs="Arial"/>
                <w:color w:val="000000" w:themeColor="text1"/>
                <w:sz w:val="18"/>
                <w:szCs w:val="18"/>
              </w:rPr>
              <w:t>”</w:t>
            </w:r>
            <w:r w:rsidRPr="00B85D62">
              <w:rPr>
                <w:rFonts w:eastAsia="Calibri" w:cs="Arial"/>
                <w:color w:val="000000" w:themeColor="text1"/>
                <w:sz w:val="18"/>
                <w:szCs w:val="18"/>
              </w:rPr>
              <w:t xml:space="preserve"> represents the lower cut-off for LDL-C, where applicable.</w:t>
            </w:r>
          </w:p>
          <w:p w14:paraId="04461884" w14:textId="30C629F8" w:rsidR="3341BD48" w:rsidRPr="00B85D62" w:rsidRDefault="3341BD48" w:rsidP="0066232B">
            <w:pPr>
              <w:ind w:hanging="13"/>
              <w:rPr>
                <w:rFonts w:eastAsia="Calibri" w:cs="Arial"/>
                <w:color w:val="000000" w:themeColor="text1"/>
                <w:sz w:val="18"/>
                <w:szCs w:val="18"/>
              </w:rPr>
            </w:pPr>
            <w:r w:rsidRPr="00B85D62">
              <w:rPr>
                <w:rFonts w:eastAsia="Calibri" w:cs="Arial"/>
                <w:color w:val="000000" w:themeColor="text1"/>
                <w:sz w:val="18"/>
                <w:szCs w:val="18"/>
              </w:rPr>
              <w:t>Strategies terminating in T1 assume that relatives who are on LLT at the time of the cascade have FH without further testing.</w:t>
            </w:r>
          </w:p>
          <w:p w14:paraId="4CA7184C" w14:textId="59D91361" w:rsidR="3341BD48" w:rsidRPr="00B85D62" w:rsidRDefault="3341BD48" w:rsidP="0066232B">
            <w:pPr>
              <w:ind w:hanging="13"/>
              <w:rPr>
                <w:rFonts w:eastAsia="Calibri" w:cs="Arial"/>
                <w:color w:val="000000" w:themeColor="text1"/>
                <w:sz w:val="18"/>
                <w:szCs w:val="18"/>
              </w:rPr>
            </w:pPr>
            <w:r w:rsidRPr="00B85D62">
              <w:rPr>
                <w:rFonts w:eastAsia="Calibri" w:cs="Arial"/>
                <w:color w:val="000000" w:themeColor="text1"/>
                <w:sz w:val="18"/>
                <w:szCs w:val="18"/>
              </w:rPr>
              <w:t xml:space="preserve">QALYs: </w:t>
            </w:r>
            <w:r w:rsidR="00B85D62" w:rsidRPr="00B85D62">
              <w:rPr>
                <w:rFonts w:eastAsia="Calibri" w:cs="Arial"/>
                <w:color w:val="00B0F0"/>
                <w:sz w:val="18"/>
                <w:szCs w:val="18"/>
              </w:rPr>
              <w:t>Quality-adjusted</w:t>
            </w:r>
            <w:r w:rsidRPr="00B85D62">
              <w:rPr>
                <w:rFonts w:eastAsia="Calibri" w:cs="Arial"/>
                <w:color w:val="000000" w:themeColor="text1"/>
                <w:sz w:val="18"/>
                <w:szCs w:val="18"/>
              </w:rPr>
              <w:t xml:space="preserve"> </w:t>
            </w:r>
            <w:r w:rsidR="00B85D62" w:rsidRPr="00B85D62">
              <w:rPr>
                <w:rFonts w:eastAsia="Calibri" w:cs="Arial"/>
                <w:color w:val="00B0F0"/>
                <w:sz w:val="18"/>
                <w:szCs w:val="18"/>
              </w:rPr>
              <w:t>Life-year</w:t>
            </w:r>
            <w:r w:rsidRPr="00B85D62">
              <w:rPr>
                <w:rFonts w:eastAsia="Calibri" w:cs="Arial"/>
                <w:color w:val="000000" w:themeColor="text1"/>
                <w:sz w:val="18"/>
                <w:szCs w:val="18"/>
              </w:rPr>
              <w:t>s; WDLCN: Welsh-modified Dutch Lipid Clinic Network.</w:t>
            </w:r>
          </w:p>
        </w:tc>
      </w:tr>
    </w:tbl>
    <w:p w14:paraId="059C5ED1" w14:textId="797AB0CA" w:rsidR="00B55E94" w:rsidRPr="00B85D62" w:rsidRDefault="00B85D62" w:rsidP="00B55E94">
      <w:pPr>
        <w:pStyle w:val="Caption"/>
        <w:keepNext/>
        <w:rPr>
          <w:rFonts w:cs="Arial"/>
        </w:rPr>
      </w:pPr>
      <w:r w:rsidRPr="00B85D62">
        <w:rPr>
          <w:rFonts w:eastAsia="Calibri" w:cs="Arial"/>
          <w:color w:val="000000" w:themeColor="text1"/>
        </w:rPr>
        <w:t xml:space="preserve"> </w:t>
      </w:r>
      <w:bookmarkStart w:id="244" w:name="_Toc79740215"/>
      <w:bookmarkStart w:id="245" w:name="_Toc107157374"/>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20</w:t>
      </w:r>
      <w:r w:rsidR="00B55E94" w:rsidRPr="00B85D62">
        <w:rPr>
          <w:rFonts w:cs="Arial"/>
        </w:rPr>
        <w:t xml:space="preserve"> Cascade protocol with highest net gain (</w:t>
      </w:r>
      <w:r w:rsidRPr="00B85D62">
        <w:rPr>
          <w:rFonts w:cs="Arial"/>
        </w:rPr>
        <w:t>“</w:t>
      </w:r>
      <w:r w:rsidR="00B55E94" w:rsidRPr="00B85D62">
        <w:rPr>
          <w:rFonts w:cs="Arial"/>
        </w:rPr>
        <w:t>base-case cost-effective protocol</w:t>
      </w:r>
      <w:r w:rsidRPr="00B85D62">
        <w:rPr>
          <w:rFonts w:cs="Arial"/>
        </w:rPr>
        <w:t>”</w:t>
      </w:r>
      <w:r w:rsidR="00B55E94" w:rsidRPr="00B85D62">
        <w:rPr>
          <w:rFonts w:cs="Arial"/>
        </w:rPr>
        <w:t>) and cascade protocol using the same testing strategy across the age groups with the highest net health gain (</w:t>
      </w:r>
      <w:r w:rsidRPr="00B85D62">
        <w:rPr>
          <w:rFonts w:cs="Arial"/>
        </w:rPr>
        <w:t>“</w:t>
      </w:r>
      <w:r w:rsidR="00B55E94" w:rsidRPr="00B85D62">
        <w:rPr>
          <w:rFonts w:cs="Arial"/>
        </w:rPr>
        <w:t>harmonised cost-effective protocol</w:t>
      </w:r>
      <w:r w:rsidRPr="00B85D62">
        <w:rPr>
          <w:rFonts w:cs="Arial"/>
        </w:rPr>
        <w:t>”</w:t>
      </w:r>
      <w:r w:rsidR="00B55E94" w:rsidRPr="00B85D62">
        <w:rPr>
          <w:rFonts w:cs="Arial"/>
        </w:rPr>
        <w:t>), both at the £15,000/QALY threshold</w:t>
      </w:r>
      <w:bookmarkEnd w:id="244"/>
      <w:bookmarkEnd w:id="24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85"/>
        <w:gridCol w:w="1030"/>
        <w:gridCol w:w="2763"/>
        <w:gridCol w:w="2948"/>
      </w:tblGrid>
      <w:tr w:rsidR="3341BD48" w:rsidRPr="00B85D62" w14:paraId="35E0439B" w14:textId="77777777" w:rsidTr="00B85D62">
        <w:trPr>
          <w:cantSplit/>
        </w:trPr>
        <w:tc>
          <w:tcPr>
            <w:tcW w:w="0" w:type="auto"/>
            <w:gridSpan w:val="2"/>
            <w:shd w:val="clear" w:color="auto" w:fill="auto"/>
          </w:tcPr>
          <w:p w14:paraId="06137929" w14:textId="0ADBE6C9" w:rsidR="3341BD48" w:rsidRPr="00B85D62" w:rsidRDefault="3341BD48" w:rsidP="0066232B">
            <w:pPr>
              <w:rPr>
                <w:rFonts w:eastAsia="Calibri" w:cs="Arial"/>
              </w:rPr>
            </w:pPr>
            <w:r w:rsidRPr="00B85D62">
              <w:rPr>
                <w:rFonts w:eastAsia="Calibri" w:cs="Arial"/>
                <w:b/>
                <w:bCs/>
              </w:rPr>
              <w:t>Component</w:t>
            </w:r>
          </w:p>
        </w:tc>
        <w:tc>
          <w:tcPr>
            <w:tcW w:w="0" w:type="auto"/>
            <w:shd w:val="clear" w:color="auto" w:fill="auto"/>
          </w:tcPr>
          <w:p w14:paraId="1B28579E" w14:textId="1E175BA0" w:rsidR="3341BD48" w:rsidRPr="00B85D62" w:rsidRDefault="3341BD48" w:rsidP="0066232B">
            <w:pPr>
              <w:rPr>
                <w:rFonts w:eastAsia="Calibri" w:cs="Arial"/>
              </w:rPr>
            </w:pPr>
            <w:r w:rsidRPr="00B85D62">
              <w:rPr>
                <w:rFonts w:eastAsia="Calibri" w:cs="Arial"/>
                <w:b/>
                <w:bCs/>
              </w:rPr>
              <w:t>Base-case cost-effective protocol</w:t>
            </w:r>
          </w:p>
        </w:tc>
        <w:tc>
          <w:tcPr>
            <w:tcW w:w="0" w:type="auto"/>
            <w:shd w:val="clear" w:color="auto" w:fill="auto"/>
          </w:tcPr>
          <w:p w14:paraId="3403F3D5" w14:textId="72AF2304" w:rsidR="3341BD48" w:rsidRPr="00B85D62" w:rsidRDefault="3341BD48" w:rsidP="0066232B">
            <w:pPr>
              <w:rPr>
                <w:rFonts w:eastAsia="Calibri" w:cs="Arial"/>
              </w:rPr>
            </w:pPr>
            <w:r w:rsidRPr="00B85D62">
              <w:rPr>
                <w:rFonts w:eastAsia="Calibri" w:cs="Arial"/>
                <w:b/>
                <w:bCs/>
              </w:rPr>
              <w:t>Harmonised cost-effective protocol</w:t>
            </w:r>
          </w:p>
        </w:tc>
      </w:tr>
      <w:tr w:rsidR="3341BD48" w:rsidRPr="00B85D62" w14:paraId="246A974D" w14:textId="77777777" w:rsidTr="00B85D62">
        <w:trPr>
          <w:cantSplit/>
        </w:trPr>
        <w:tc>
          <w:tcPr>
            <w:tcW w:w="0" w:type="auto"/>
            <w:gridSpan w:val="2"/>
            <w:shd w:val="clear" w:color="auto" w:fill="auto"/>
          </w:tcPr>
          <w:p w14:paraId="48721ED4" w14:textId="5C2164B2" w:rsidR="3341BD48" w:rsidRPr="00B85D62" w:rsidRDefault="3341BD48" w:rsidP="0066232B">
            <w:pPr>
              <w:rPr>
                <w:rFonts w:eastAsia="Calibri" w:cs="Arial"/>
              </w:rPr>
            </w:pPr>
            <w:r w:rsidRPr="00B85D62">
              <w:rPr>
                <w:rFonts w:eastAsia="Calibri" w:cs="Arial"/>
              </w:rPr>
              <w:t>Index strategy</w:t>
            </w:r>
          </w:p>
        </w:tc>
        <w:tc>
          <w:tcPr>
            <w:tcW w:w="0" w:type="auto"/>
            <w:gridSpan w:val="2"/>
            <w:shd w:val="clear" w:color="auto" w:fill="auto"/>
          </w:tcPr>
          <w:p w14:paraId="728DE48B" w14:textId="55C6348F" w:rsidR="3341BD48" w:rsidRPr="00B85D62" w:rsidRDefault="3341BD48" w:rsidP="0066232B">
            <w:pPr>
              <w:rPr>
                <w:rFonts w:eastAsia="Calibri" w:cs="Arial"/>
              </w:rPr>
            </w:pPr>
            <w:r w:rsidRPr="00B85D62">
              <w:rPr>
                <w:rFonts w:eastAsia="Calibri" w:cs="Arial"/>
              </w:rPr>
              <w:t>Select index</w:t>
            </w:r>
            <w:r w:rsidR="006D4A14" w:rsidRPr="00B85D62">
              <w:rPr>
                <w:rFonts w:eastAsia="Calibri" w:cs="Arial"/>
              </w:rPr>
              <w:t xml:space="preserve"> cas</w:t>
            </w:r>
            <w:r w:rsidRPr="00B85D62">
              <w:rPr>
                <w:rFonts w:eastAsia="Calibri" w:cs="Arial"/>
              </w:rPr>
              <w:t xml:space="preserve">es with WDLCN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6 to have the genetic test.</w:t>
            </w:r>
          </w:p>
          <w:p w14:paraId="0B680803" w14:textId="2B4F62F6" w:rsidR="3341BD48" w:rsidRPr="00B85D62" w:rsidRDefault="3341BD48" w:rsidP="0066232B">
            <w:pPr>
              <w:rPr>
                <w:rFonts w:eastAsia="Calibri" w:cs="Arial"/>
              </w:rPr>
            </w:pPr>
            <w:r w:rsidRPr="00B85D62">
              <w:rPr>
                <w:rFonts w:eastAsia="Calibri" w:cs="Arial"/>
              </w:rPr>
              <w:t>Contact relatives of index</w:t>
            </w:r>
            <w:r w:rsidR="006D4A14" w:rsidRPr="00B85D62">
              <w:rPr>
                <w:rFonts w:eastAsia="Calibri" w:cs="Arial"/>
              </w:rPr>
              <w:t xml:space="preserve"> cas</w:t>
            </w:r>
            <w:r w:rsidRPr="00B85D62">
              <w:rPr>
                <w:rFonts w:eastAsia="Calibri" w:cs="Arial"/>
              </w:rPr>
              <w:t xml:space="preserve">es in whom </w:t>
            </w:r>
            <w:r w:rsidRPr="00B85D62">
              <w:rPr>
                <w:rFonts w:eastAsia="Calibri" w:cs="Arial"/>
                <w:highlight w:val="magenta"/>
              </w:rPr>
              <w:t>an F</w:t>
            </w:r>
            <w:r w:rsidRPr="00B85D62">
              <w:rPr>
                <w:rFonts w:eastAsia="Calibri" w:cs="Arial"/>
              </w:rPr>
              <w:t>H mutation was detected.</w:t>
            </w:r>
          </w:p>
        </w:tc>
      </w:tr>
      <w:tr w:rsidR="3341BD48" w:rsidRPr="00B85D62" w14:paraId="339AA344" w14:textId="77777777" w:rsidTr="00B85D62">
        <w:trPr>
          <w:cantSplit/>
        </w:trPr>
        <w:tc>
          <w:tcPr>
            <w:tcW w:w="0" w:type="auto"/>
            <w:gridSpan w:val="2"/>
            <w:shd w:val="clear" w:color="auto" w:fill="auto"/>
          </w:tcPr>
          <w:p w14:paraId="267414F0" w14:textId="2145685D" w:rsidR="3341BD48" w:rsidRPr="00B85D62" w:rsidRDefault="3341BD48" w:rsidP="0066232B">
            <w:pPr>
              <w:rPr>
                <w:rFonts w:eastAsia="Calibri" w:cs="Arial"/>
              </w:rPr>
            </w:pPr>
            <w:r w:rsidRPr="00B85D62">
              <w:rPr>
                <w:rFonts w:eastAsia="Calibri" w:cs="Arial"/>
              </w:rPr>
              <w:t>Type of cascade</w:t>
            </w:r>
          </w:p>
        </w:tc>
        <w:tc>
          <w:tcPr>
            <w:tcW w:w="0" w:type="auto"/>
            <w:gridSpan w:val="2"/>
            <w:shd w:val="clear" w:color="auto" w:fill="auto"/>
          </w:tcPr>
          <w:p w14:paraId="167B9EC2" w14:textId="44A63FC9" w:rsidR="3341BD48" w:rsidRPr="00B85D62" w:rsidRDefault="3341BD48" w:rsidP="0066232B">
            <w:pPr>
              <w:rPr>
                <w:rFonts w:eastAsia="Calibri" w:cs="Arial"/>
              </w:rPr>
            </w:pPr>
            <w:r w:rsidRPr="00B85D62">
              <w:rPr>
                <w:rFonts w:eastAsia="Calibri" w:cs="Arial"/>
              </w:rPr>
              <w:t xml:space="preserve">Simultaneous: contact </w:t>
            </w:r>
            <w:r w:rsidR="00B85D62" w:rsidRPr="00B85D62">
              <w:rPr>
                <w:rFonts w:eastAsia="Calibri" w:cs="Arial"/>
                <w:color w:val="00B0F0"/>
              </w:rPr>
              <w:t>1st</w:t>
            </w:r>
            <w:r w:rsidRPr="00B85D62">
              <w:rPr>
                <w:rFonts w:eastAsia="Calibri" w:cs="Arial"/>
              </w:rPr>
              <w:t xml:space="preserve"> and </w:t>
            </w:r>
            <w:r w:rsidR="00B85D62" w:rsidRPr="00B85D62">
              <w:rPr>
                <w:rFonts w:eastAsia="Calibri" w:cs="Arial"/>
                <w:color w:val="00B0F0"/>
              </w:rPr>
              <w:t>2nd</w:t>
            </w:r>
            <w:r w:rsidRPr="00B85D62">
              <w:rPr>
                <w:rFonts w:eastAsia="Calibri" w:cs="Arial"/>
              </w:rPr>
              <w:t xml:space="preserve"> degree relatives.</w:t>
            </w:r>
          </w:p>
        </w:tc>
      </w:tr>
      <w:tr w:rsidR="3341BD48" w:rsidRPr="00B85D62" w14:paraId="0F9E8B31" w14:textId="77777777" w:rsidTr="00B85D62">
        <w:trPr>
          <w:cantSplit/>
        </w:trPr>
        <w:tc>
          <w:tcPr>
            <w:tcW w:w="0" w:type="auto"/>
            <w:gridSpan w:val="2"/>
            <w:shd w:val="clear" w:color="auto" w:fill="auto"/>
          </w:tcPr>
          <w:p w14:paraId="0756BB4A" w14:textId="2CF3A5F0" w:rsidR="3341BD48" w:rsidRPr="00B85D62" w:rsidRDefault="3341BD48" w:rsidP="0066232B">
            <w:pPr>
              <w:rPr>
                <w:rFonts w:eastAsia="Calibri" w:cs="Arial"/>
              </w:rPr>
            </w:pPr>
            <w:r w:rsidRPr="00B85D62">
              <w:rPr>
                <w:rFonts w:eastAsia="Calibri" w:cs="Arial"/>
              </w:rPr>
              <w:t>Method of contact</w:t>
            </w:r>
          </w:p>
        </w:tc>
        <w:tc>
          <w:tcPr>
            <w:tcW w:w="0" w:type="auto"/>
            <w:gridSpan w:val="2"/>
            <w:shd w:val="clear" w:color="auto" w:fill="auto"/>
          </w:tcPr>
          <w:p w14:paraId="16B06B5A" w14:textId="1441D3D4" w:rsidR="3341BD48" w:rsidRPr="00B85D62" w:rsidRDefault="3341BD48" w:rsidP="0066232B">
            <w:pPr>
              <w:rPr>
                <w:rFonts w:eastAsia="Calibri" w:cs="Arial"/>
              </w:rPr>
            </w:pPr>
            <w:r w:rsidRPr="00B85D62">
              <w:rPr>
                <w:rFonts w:eastAsia="Calibri" w:cs="Arial"/>
              </w:rPr>
              <w:t>Direct: FH service to contact relatives directly</w:t>
            </w:r>
          </w:p>
        </w:tc>
      </w:tr>
      <w:tr w:rsidR="3341BD48" w:rsidRPr="00B85D62" w14:paraId="2B8F6823" w14:textId="77777777" w:rsidTr="00B85D62">
        <w:trPr>
          <w:cantSplit/>
        </w:trPr>
        <w:tc>
          <w:tcPr>
            <w:tcW w:w="0" w:type="auto"/>
            <w:gridSpan w:val="2"/>
            <w:shd w:val="clear" w:color="auto" w:fill="auto"/>
          </w:tcPr>
          <w:p w14:paraId="3D61EDA1" w14:textId="50CFA6A0" w:rsidR="3341BD48" w:rsidRPr="00B85D62" w:rsidRDefault="3341BD48" w:rsidP="0066232B">
            <w:pPr>
              <w:rPr>
                <w:rFonts w:eastAsia="Calibri" w:cs="Arial"/>
              </w:rPr>
            </w:pPr>
            <w:r w:rsidRPr="00B85D62">
              <w:rPr>
                <w:rFonts w:eastAsia="Calibri" w:cs="Arial"/>
              </w:rPr>
              <w:t>Relatives on LLT at the time of the cascade</w:t>
            </w:r>
          </w:p>
        </w:tc>
        <w:tc>
          <w:tcPr>
            <w:tcW w:w="0" w:type="auto"/>
            <w:gridSpan w:val="2"/>
            <w:shd w:val="clear" w:color="auto" w:fill="auto"/>
          </w:tcPr>
          <w:p w14:paraId="0116AA4F" w14:textId="4B4CD293" w:rsidR="3341BD48" w:rsidRPr="00B85D62" w:rsidRDefault="3341BD48" w:rsidP="0066232B">
            <w:pPr>
              <w:rPr>
                <w:rFonts w:eastAsia="Calibri" w:cs="Arial"/>
              </w:rPr>
            </w:pPr>
            <w:r w:rsidRPr="00B85D62">
              <w:rPr>
                <w:rFonts w:eastAsia="Calibri" w:cs="Arial"/>
              </w:rPr>
              <w:t>Assume that they have FH</w:t>
            </w:r>
          </w:p>
        </w:tc>
      </w:tr>
      <w:tr w:rsidR="3341BD48" w:rsidRPr="00B85D62" w14:paraId="2B7CC578" w14:textId="77777777" w:rsidTr="00B85D62">
        <w:trPr>
          <w:cantSplit/>
        </w:trPr>
        <w:tc>
          <w:tcPr>
            <w:tcW w:w="0" w:type="auto"/>
            <w:vMerge w:val="restart"/>
            <w:shd w:val="clear" w:color="auto" w:fill="auto"/>
          </w:tcPr>
          <w:p w14:paraId="63282B76" w14:textId="16219AB4" w:rsidR="3341BD48" w:rsidRPr="00B85D62" w:rsidRDefault="3341BD48" w:rsidP="0066232B">
            <w:pPr>
              <w:rPr>
                <w:rFonts w:eastAsia="Calibri" w:cs="Arial"/>
              </w:rPr>
            </w:pPr>
            <w:r w:rsidRPr="00B85D62">
              <w:rPr>
                <w:rFonts w:eastAsia="Calibri" w:cs="Arial"/>
              </w:rPr>
              <w:t>Relatives not on LLT at the time of the cascade</w:t>
            </w:r>
          </w:p>
        </w:tc>
        <w:tc>
          <w:tcPr>
            <w:tcW w:w="0" w:type="auto"/>
            <w:shd w:val="clear" w:color="auto" w:fill="auto"/>
          </w:tcPr>
          <w:p w14:paraId="3A760779" w14:textId="653C716D" w:rsidR="3341BD48" w:rsidRPr="00B85D62" w:rsidRDefault="3341BD48" w:rsidP="0066232B">
            <w:pPr>
              <w:rPr>
                <w:rFonts w:eastAsia="Calibri" w:cs="Arial"/>
              </w:rPr>
            </w:pPr>
            <w:r w:rsidRPr="00B85D62">
              <w:rPr>
                <w:rFonts w:eastAsia="Calibri" w:cs="Arial"/>
              </w:rPr>
              <w:t>Aged 0</w:t>
            </w:r>
            <w:r w:rsidR="00B85D62" w:rsidRPr="00B85D62">
              <w:rPr>
                <w:rFonts w:eastAsia="Calibri" w:cs="Arial"/>
                <w:color w:val="00B0F0"/>
              </w:rPr>
              <w:t>–</w:t>
            </w:r>
            <w:r w:rsidR="00B85D62" w:rsidRPr="00B85D62">
              <w:rPr>
                <w:rFonts w:eastAsia="Calibri" w:cs="Arial"/>
                <w:color w:val="00B0F0"/>
              </w:rPr>
              <w:t>1</w:t>
            </w:r>
            <w:r w:rsidRPr="00B85D62">
              <w:rPr>
                <w:rFonts w:eastAsia="Calibri" w:cs="Arial"/>
              </w:rPr>
              <w:t>7 years</w:t>
            </w:r>
          </w:p>
          <w:p w14:paraId="13B89DBE" w14:textId="3C0A28AD" w:rsidR="3341BD48" w:rsidRPr="00B85D62" w:rsidRDefault="3341BD48" w:rsidP="0066232B">
            <w:pPr>
              <w:rPr>
                <w:rFonts w:eastAsia="Calibri" w:cs="Arial"/>
              </w:rPr>
            </w:pPr>
          </w:p>
        </w:tc>
        <w:tc>
          <w:tcPr>
            <w:tcW w:w="0" w:type="auto"/>
            <w:shd w:val="clear" w:color="auto" w:fill="auto"/>
          </w:tcPr>
          <w:p w14:paraId="6A52C1BA" w14:textId="340D12F3" w:rsidR="3341BD48" w:rsidRPr="00B85D62" w:rsidRDefault="3341BD48" w:rsidP="0066232B">
            <w:pPr>
              <w:rPr>
                <w:rFonts w:eastAsia="Calibri" w:cs="Arial"/>
              </w:rPr>
            </w:pPr>
            <w:r w:rsidRPr="00B85D62">
              <w:rPr>
                <w:rFonts w:eastAsia="Calibri" w:cs="Arial"/>
              </w:rPr>
              <w:t>Conduct LDL-C test.</w:t>
            </w:r>
          </w:p>
          <w:p w14:paraId="41A66F97" w14:textId="05B8BB3B"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5 mmol/L, assume they have FH.</w:t>
            </w:r>
          </w:p>
          <w:p w14:paraId="28D5698D" w14:textId="5CBD62C1"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rPr>
              <w:t xml:space="preserve">5 mmol/L and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3 mmol/L, conduct genetic test.</w:t>
            </w:r>
          </w:p>
          <w:p w14:paraId="0FAEFE24" w14:textId="6DFB160D"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rPr>
              <w:t>3 mmol/L, assume they do not have FH.</w:t>
            </w:r>
          </w:p>
        </w:tc>
        <w:tc>
          <w:tcPr>
            <w:tcW w:w="0" w:type="auto"/>
            <w:vMerge w:val="restart"/>
            <w:shd w:val="clear" w:color="auto" w:fill="auto"/>
          </w:tcPr>
          <w:p w14:paraId="0531F73E" w14:textId="7687BFBA" w:rsidR="3341BD48" w:rsidRPr="00B85D62" w:rsidRDefault="3341BD48" w:rsidP="0066232B">
            <w:pPr>
              <w:rPr>
                <w:rFonts w:eastAsia="Calibri" w:cs="Arial"/>
              </w:rPr>
            </w:pPr>
            <w:r w:rsidRPr="00B85D62">
              <w:rPr>
                <w:rFonts w:eastAsia="Calibri" w:cs="Arial"/>
              </w:rPr>
              <w:t>Conduct LDL-C test.</w:t>
            </w:r>
          </w:p>
          <w:p w14:paraId="0FBA809B" w14:textId="46F8B35E"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6 mmol/L, assume they have FH.</w:t>
            </w:r>
          </w:p>
          <w:p w14:paraId="57C1C2F8" w14:textId="5618E4B7"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rPr>
              <w:t xml:space="preserve">6 mmol/L and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3 mmol/L, conduct genetic test.</w:t>
            </w:r>
          </w:p>
          <w:p w14:paraId="36B424A5" w14:textId="0BA10F13"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rPr>
              <w:t>3 mmol/L, assume they do not have FH.</w:t>
            </w:r>
          </w:p>
        </w:tc>
      </w:tr>
      <w:tr w:rsidR="3341BD48" w:rsidRPr="00B85D62" w14:paraId="348F7569" w14:textId="77777777" w:rsidTr="00B85D62">
        <w:trPr>
          <w:cantSplit/>
        </w:trPr>
        <w:tc>
          <w:tcPr>
            <w:tcW w:w="0" w:type="auto"/>
            <w:vMerge/>
            <w:shd w:val="clear" w:color="auto" w:fill="auto"/>
            <w:vAlign w:val="center"/>
          </w:tcPr>
          <w:p w14:paraId="081EE965" w14:textId="77777777" w:rsidR="003F1F7A" w:rsidRPr="00B85D62" w:rsidRDefault="003F1F7A" w:rsidP="0066232B">
            <w:pPr>
              <w:rPr>
                <w:rFonts w:cs="Arial"/>
              </w:rPr>
            </w:pPr>
          </w:p>
        </w:tc>
        <w:tc>
          <w:tcPr>
            <w:tcW w:w="0" w:type="auto"/>
            <w:shd w:val="clear" w:color="auto" w:fill="auto"/>
          </w:tcPr>
          <w:p w14:paraId="129BA3ED" w14:textId="40295A24" w:rsidR="3341BD48" w:rsidRPr="00B85D62" w:rsidRDefault="3341BD48" w:rsidP="0066232B">
            <w:pPr>
              <w:rPr>
                <w:rFonts w:eastAsia="Calibri" w:cs="Arial"/>
              </w:rPr>
            </w:pPr>
            <w:r w:rsidRPr="00B85D62">
              <w:rPr>
                <w:rFonts w:eastAsia="Calibri" w:cs="Arial"/>
              </w:rPr>
              <w:t>Aged 18</w:t>
            </w:r>
            <w:r w:rsidR="00B85D62" w:rsidRPr="00B85D62">
              <w:rPr>
                <w:rFonts w:eastAsia="Calibri" w:cs="Arial"/>
                <w:color w:val="00B0F0"/>
              </w:rPr>
              <w:t>–</w:t>
            </w:r>
            <w:r w:rsidR="00B85D62" w:rsidRPr="00B85D62">
              <w:rPr>
                <w:rFonts w:eastAsia="Calibri" w:cs="Arial"/>
                <w:color w:val="00B0F0"/>
              </w:rPr>
              <w:t>3</w:t>
            </w:r>
            <w:r w:rsidRPr="00B85D62">
              <w:rPr>
                <w:rFonts w:eastAsia="Calibri" w:cs="Arial"/>
              </w:rPr>
              <w:t>9 years</w:t>
            </w:r>
          </w:p>
        </w:tc>
        <w:tc>
          <w:tcPr>
            <w:tcW w:w="0" w:type="auto"/>
            <w:shd w:val="clear" w:color="auto" w:fill="auto"/>
          </w:tcPr>
          <w:p w14:paraId="49295733" w14:textId="6E271942" w:rsidR="3341BD48" w:rsidRPr="00B85D62" w:rsidRDefault="3341BD48" w:rsidP="0066232B">
            <w:pPr>
              <w:rPr>
                <w:rFonts w:eastAsia="Calibri" w:cs="Arial"/>
              </w:rPr>
            </w:pPr>
            <w:r w:rsidRPr="00B85D62">
              <w:rPr>
                <w:rFonts w:eastAsia="Calibri" w:cs="Arial"/>
              </w:rPr>
              <w:t>Conduct LDL-C test.</w:t>
            </w:r>
          </w:p>
          <w:p w14:paraId="6A9D752D" w14:textId="77986ED9"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6 mmol/L, assume they have FH.</w:t>
            </w:r>
          </w:p>
          <w:p w14:paraId="62C1431C" w14:textId="7AE934D7"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rPr>
              <w:t xml:space="preserve">6 mmol/L and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3 mmol/L, conduct genetic test.</w:t>
            </w:r>
          </w:p>
          <w:p w14:paraId="585FF368" w14:textId="2837412D"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rPr>
              <w:t>3 mmol/L, assume they do not have FH.</w:t>
            </w:r>
          </w:p>
        </w:tc>
        <w:tc>
          <w:tcPr>
            <w:tcW w:w="0" w:type="auto"/>
            <w:vMerge/>
            <w:shd w:val="clear" w:color="auto" w:fill="auto"/>
            <w:vAlign w:val="center"/>
          </w:tcPr>
          <w:p w14:paraId="6D00DF4A" w14:textId="77777777" w:rsidR="003F1F7A" w:rsidRPr="00B85D62" w:rsidRDefault="003F1F7A" w:rsidP="0066232B">
            <w:pPr>
              <w:rPr>
                <w:rFonts w:cs="Arial"/>
              </w:rPr>
            </w:pPr>
          </w:p>
        </w:tc>
      </w:tr>
      <w:tr w:rsidR="3341BD48" w:rsidRPr="00B85D62" w14:paraId="12FDC61A" w14:textId="77777777" w:rsidTr="00B85D62">
        <w:trPr>
          <w:cantSplit/>
        </w:trPr>
        <w:tc>
          <w:tcPr>
            <w:tcW w:w="0" w:type="auto"/>
            <w:vMerge/>
            <w:shd w:val="clear" w:color="auto" w:fill="auto"/>
            <w:vAlign w:val="center"/>
          </w:tcPr>
          <w:p w14:paraId="57A7FE0B" w14:textId="77777777" w:rsidR="003F1F7A" w:rsidRPr="00B85D62" w:rsidRDefault="003F1F7A" w:rsidP="0066232B">
            <w:pPr>
              <w:rPr>
                <w:rFonts w:cs="Arial"/>
              </w:rPr>
            </w:pPr>
          </w:p>
        </w:tc>
        <w:tc>
          <w:tcPr>
            <w:tcW w:w="0" w:type="auto"/>
            <w:shd w:val="clear" w:color="auto" w:fill="auto"/>
          </w:tcPr>
          <w:p w14:paraId="7B808429" w14:textId="3423E889" w:rsidR="3341BD48" w:rsidRPr="00B85D62" w:rsidRDefault="3341BD48" w:rsidP="0066232B">
            <w:pPr>
              <w:rPr>
                <w:rFonts w:eastAsia="Calibri" w:cs="Arial"/>
              </w:rPr>
            </w:pPr>
            <w:r w:rsidRPr="00B85D62">
              <w:rPr>
                <w:rFonts w:eastAsia="Calibri" w:cs="Arial"/>
              </w:rPr>
              <w:t>Aged 40</w:t>
            </w:r>
            <w:r w:rsidR="00B85D62" w:rsidRPr="00B85D62">
              <w:rPr>
                <w:rFonts w:eastAsia="Calibri" w:cs="Arial"/>
                <w:color w:val="00B0F0"/>
              </w:rPr>
              <w:t>–</w:t>
            </w:r>
            <w:r w:rsidR="00B85D62" w:rsidRPr="00B85D62">
              <w:rPr>
                <w:rFonts w:eastAsia="Calibri" w:cs="Arial"/>
                <w:color w:val="00B0F0"/>
              </w:rPr>
              <w:t>5</w:t>
            </w:r>
            <w:r w:rsidRPr="00B85D62">
              <w:rPr>
                <w:rFonts w:eastAsia="Calibri" w:cs="Arial"/>
              </w:rPr>
              <w:t>9 years</w:t>
            </w:r>
          </w:p>
        </w:tc>
        <w:tc>
          <w:tcPr>
            <w:tcW w:w="0" w:type="auto"/>
            <w:shd w:val="clear" w:color="auto" w:fill="auto"/>
          </w:tcPr>
          <w:p w14:paraId="2DAE64CF" w14:textId="58E9D572" w:rsidR="3341BD48" w:rsidRPr="00B85D62" w:rsidRDefault="3341BD48" w:rsidP="0066232B">
            <w:pPr>
              <w:rPr>
                <w:rFonts w:eastAsia="Calibri" w:cs="Arial"/>
              </w:rPr>
            </w:pPr>
            <w:r w:rsidRPr="00B85D62">
              <w:rPr>
                <w:rFonts w:eastAsia="Calibri" w:cs="Arial"/>
              </w:rPr>
              <w:t>Conduct LDL-C test.</w:t>
            </w:r>
          </w:p>
          <w:p w14:paraId="44ABD1A3" w14:textId="34F67D12"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2 mmol/L, conduct genetic test.</w:t>
            </w:r>
          </w:p>
          <w:p w14:paraId="5EF4A2C8" w14:textId="0FC22E47"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rPr>
              <w:t>2 mmol/L, assume they do not have FH.</w:t>
            </w:r>
          </w:p>
        </w:tc>
        <w:tc>
          <w:tcPr>
            <w:tcW w:w="0" w:type="auto"/>
            <w:vMerge/>
            <w:shd w:val="clear" w:color="auto" w:fill="auto"/>
            <w:vAlign w:val="center"/>
          </w:tcPr>
          <w:p w14:paraId="4C4DCAF1" w14:textId="77777777" w:rsidR="003F1F7A" w:rsidRPr="00B85D62" w:rsidRDefault="003F1F7A" w:rsidP="0066232B">
            <w:pPr>
              <w:rPr>
                <w:rFonts w:cs="Arial"/>
              </w:rPr>
            </w:pPr>
          </w:p>
        </w:tc>
      </w:tr>
      <w:tr w:rsidR="3341BD48" w:rsidRPr="00B85D62" w14:paraId="5E858AF2" w14:textId="77777777" w:rsidTr="00B85D62">
        <w:trPr>
          <w:cantSplit/>
        </w:trPr>
        <w:tc>
          <w:tcPr>
            <w:tcW w:w="0" w:type="auto"/>
            <w:vMerge/>
            <w:shd w:val="clear" w:color="auto" w:fill="auto"/>
            <w:vAlign w:val="center"/>
          </w:tcPr>
          <w:p w14:paraId="2F131AA6" w14:textId="77777777" w:rsidR="003F1F7A" w:rsidRPr="00B85D62" w:rsidRDefault="003F1F7A" w:rsidP="0066232B">
            <w:pPr>
              <w:rPr>
                <w:rFonts w:cs="Arial"/>
              </w:rPr>
            </w:pPr>
          </w:p>
        </w:tc>
        <w:tc>
          <w:tcPr>
            <w:tcW w:w="0" w:type="auto"/>
            <w:shd w:val="clear" w:color="auto" w:fill="auto"/>
          </w:tcPr>
          <w:p w14:paraId="306A5E08" w14:textId="508206F0" w:rsidR="3341BD48" w:rsidRPr="00B85D62" w:rsidRDefault="3341BD48" w:rsidP="0066232B">
            <w:pPr>
              <w:rPr>
                <w:rFonts w:eastAsia="Calibri" w:cs="Arial"/>
              </w:rPr>
            </w:pPr>
            <w:r w:rsidRPr="00B85D62">
              <w:rPr>
                <w:rFonts w:eastAsia="Calibri" w:cs="Arial"/>
              </w:rPr>
              <w:t>Aged 6</w:t>
            </w:r>
            <w:r w:rsidR="00B85D62" w:rsidRPr="00B85D62">
              <w:rPr>
                <w:rFonts w:eastAsia="Calibri" w:cs="Arial"/>
                <w:color w:val="00B0F0"/>
              </w:rPr>
              <w:t>0</w:t>
            </w:r>
            <w:r w:rsidR="00B85D62" w:rsidRPr="00B85D62">
              <w:rPr>
                <w:rFonts w:eastAsia="Calibri" w:cs="Arial"/>
                <w:color w:val="00B0F0"/>
              </w:rPr>
              <w:t> </w:t>
            </w:r>
            <w:r w:rsidR="00B85D62" w:rsidRPr="00B85D62">
              <w:rPr>
                <w:rFonts w:eastAsia="Calibri" w:cs="Arial"/>
                <w:color w:val="00B0F0"/>
              </w:rPr>
              <w:t>+</w:t>
            </w:r>
            <w:r w:rsidRPr="00B85D62">
              <w:rPr>
                <w:rFonts w:eastAsia="Calibri" w:cs="Arial"/>
              </w:rPr>
              <w:t xml:space="preserve"> years</w:t>
            </w:r>
          </w:p>
        </w:tc>
        <w:tc>
          <w:tcPr>
            <w:tcW w:w="0" w:type="auto"/>
            <w:shd w:val="clear" w:color="auto" w:fill="auto"/>
          </w:tcPr>
          <w:p w14:paraId="4EFB2DA9" w14:textId="363A2DF5" w:rsidR="3341BD48" w:rsidRPr="00B85D62" w:rsidRDefault="3341BD48" w:rsidP="0066232B">
            <w:pPr>
              <w:rPr>
                <w:rFonts w:eastAsia="Calibri" w:cs="Arial"/>
              </w:rPr>
            </w:pPr>
            <w:r w:rsidRPr="00B85D62">
              <w:rPr>
                <w:rFonts w:eastAsia="Calibri" w:cs="Arial"/>
              </w:rPr>
              <w:t>Conduct LDL-C test.</w:t>
            </w:r>
          </w:p>
          <w:p w14:paraId="24A2260F" w14:textId="784C51B3"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6 mmol/L, assume they have FH.</w:t>
            </w:r>
          </w:p>
          <w:p w14:paraId="7E097FD9" w14:textId="2119BC2D"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rPr>
              <w:t xml:space="preserve">6 mmol/L and </w:t>
            </w:r>
            <w:r w:rsidR="00B85D62" w:rsidRPr="00B85D62">
              <w:rPr>
                <w:rFonts w:eastAsia="Calibri" w:cs="Arial"/>
                <w:color w:val="00B0F0"/>
              </w:rPr>
              <w:t>≥</w:t>
            </w:r>
            <w:r w:rsidR="00B85D62" w:rsidRPr="00B85D62">
              <w:rPr>
                <w:rFonts w:eastAsia="Calibri" w:cs="Arial"/>
                <w:color w:val="00B0F0"/>
              </w:rPr>
              <w:t> </w:t>
            </w:r>
            <w:r w:rsidRPr="00B85D62">
              <w:rPr>
                <w:rFonts w:eastAsia="Calibri" w:cs="Arial"/>
              </w:rPr>
              <w:t>2 mmol/L, conduct genetic test.</w:t>
            </w:r>
          </w:p>
          <w:p w14:paraId="020A4BA3" w14:textId="167028E7" w:rsidR="3341BD48" w:rsidRPr="00B85D62" w:rsidRDefault="3341BD48" w:rsidP="0066232B">
            <w:pPr>
              <w:rPr>
                <w:rFonts w:eastAsia="Calibri" w:cs="Arial"/>
              </w:rPr>
            </w:pPr>
            <w:r w:rsidRPr="00B85D62">
              <w:rPr>
                <w:rFonts w:eastAsia="Calibri" w:cs="Arial"/>
              </w:rPr>
              <w:t xml:space="preserve">If LDL-C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rPr>
              <w:t>2 mmol/L, assume they do not have FH.</w:t>
            </w:r>
          </w:p>
        </w:tc>
        <w:tc>
          <w:tcPr>
            <w:tcW w:w="0" w:type="auto"/>
            <w:vMerge/>
            <w:shd w:val="clear" w:color="auto" w:fill="auto"/>
            <w:vAlign w:val="center"/>
          </w:tcPr>
          <w:p w14:paraId="5BCB07A9" w14:textId="77777777" w:rsidR="003F1F7A" w:rsidRPr="00B85D62" w:rsidRDefault="003F1F7A" w:rsidP="0066232B">
            <w:pPr>
              <w:rPr>
                <w:rFonts w:cs="Arial"/>
              </w:rPr>
            </w:pPr>
          </w:p>
        </w:tc>
      </w:tr>
      <w:tr w:rsidR="3341BD48" w:rsidRPr="00B85D62" w14:paraId="2FF598C7" w14:textId="77777777" w:rsidTr="00B85D62">
        <w:trPr>
          <w:cantSplit/>
        </w:trPr>
        <w:tc>
          <w:tcPr>
            <w:tcW w:w="0" w:type="auto"/>
            <w:gridSpan w:val="4"/>
            <w:shd w:val="clear" w:color="auto" w:fill="auto"/>
          </w:tcPr>
          <w:p w14:paraId="1F21B2F3" w14:textId="40C9687F" w:rsidR="3341BD48" w:rsidRPr="00B85D62" w:rsidRDefault="3341BD48" w:rsidP="0066232B">
            <w:pPr>
              <w:rPr>
                <w:rFonts w:eastAsia="Calibri" w:cs="Arial"/>
                <w:sz w:val="18"/>
                <w:szCs w:val="18"/>
              </w:rPr>
            </w:pPr>
            <w:r w:rsidRPr="00B85D62">
              <w:rPr>
                <w:rFonts w:eastAsia="Calibri" w:cs="Arial"/>
                <w:sz w:val="18"/>
                <w:szCs w:val="18"/>
              </w:rPr>
              <w:t xml:space="preserve">FH: Familial Hypercholesterolaemia. LDL-C: Low-Density Lipoprotein Cholesterol. WDLCN: Welsh-modified Dutch Lipid Clinic Network score. </w:t>
            </w:r>
          </w:p>
        </w:tc>
      </w:tr>
    </w:tbl>
    <w:p w14:paraId="6DE0F4D2" w14:textId="3C0CD55E" w:rsidR="3341BD48" w:rsidRPr="00B85D62" w:rsidRDefault="3341BD48" w:rsidP="0066232B">
      <w:pPr>
        <w:rPr>
          <w:rFonts w:eastAsia="Calibri" w:cs="Arial"/>
          <w:color w:val="000000" w:themeColor="text1"/>
        </w:rPr>
      </w:pPr>
    </w:p>
    <w:p w14:paraId="1C4B7B73" w14:textId="16B0FEF8" w:rsidR="45F12F84" w:rsidRPr="00B85D62" w:rsidRDefault="45F12F84" w:rsidP="006C7E71">
      <w:pPr>
        <w:pStyle w:val="Heading4"/>
        <w:numPr>
          <w:ilvl w:val="0"/>
          <w:numId w:val="0"/>
        </w:numPr>
      </w:pPr>
      <w:r w:rsidRPr="00B85D62">
        <w:t>Scenario: genetic testing is not available</w:t>
      </w:r>
    </w:p>
    <w:p w14:paraId="384097F6" w14:textId="64A826AA" w:rsidR="00B85D62" w:rsidRPr="00B85D62" w:rsidRDefault="195142BD" w:rsidP="0066232B">
      <w:pPr>
        <w:rPr>
          <w:rFonts w:eastAsia="Calibri" w:cs="Arial"/>
          <w:color w:val="000000" w:themeColor="text1"/>
        </w:rPr>
      </w:pPr>
      <w:r w:rsidRPr="00B85D62">
        <w:rPr>
          <w:rFonts w:eastAsia="Calibri" w:cs="Arial"/>
          <w:color w:val="000000" w:themeColor="text1"/>
        </w:rPr>
        <w:t>If genetic testing is not available, the protocol with the highest net health gain at the £15,000/QALY threshold is to select index</w:t>
      </w:r>
      <w:r w:rsidR="006D4A14" w:rsidRPr="00B85D62">
        <w:rPr>
          <w:rFonts w:eastAsia="Calibri" w:cs="Arial"/>
          <w:color w:val="000000" w:themeColor="text1"/>
        </w:rPr>
        <w:t xml:space="preserve"> cas</w:t>
      </w:r>
      <w:r w:rsidRPr="00B85D62">
        <w:rPr>
          <w:rFonts w:eastAsia="Calibri" w:cs="Arial"/>
          <w:color w:val="000000" w:themeColor="text1"/>
        </w:rPr>
        <w:t xml:space="preserve">es with WDLCN </w:t>
      </w:r>
      <w:r w:rsidR="00B85D62" w:rsidRPr="00B85D62">
        <w:rPr>
          <w:rFonts w:eastAsia="Calibri" w:cs="Arial"/>
          <w:color w:val="00B0F0"/>
        </w:rPr>
        <w:t>≥</w:t>
      </w:r>
      <w:r w:rsidR="00B85D62" w:rsidRPr="00B85D62">
        <w:rPr>
          <w:rFonts w:eastAsia="Calibri" w:cs="Arial"/>
          <w:color w:val="00B0F0"/>
        </w:rPr>
        <w:t> </w:t>
      </w:r>
      <w:r w:rsidRPr="00B85D62">
        <w:rPr>
          <w:rFonts w:eastAsia="Calibri" w:cs="Arial"/>
          <w:color w:val="000000" w:themeColor="text1"/>
        </w:rPr>
        <w:t xml:space="preserve">6, directly contact their </w:t>
      </w:r>
      <w:r w:rsidR="00B85D62" w:rsidRPr="00B85D62">
        <w:rPr>
          <w:rFonts w:eastAsia="Calibri" w:cs="Arial"/>
          <w:color w:val="00B0F0"/>
        </w:rPr>
        <w:t>1st</w:t>
      </w:r>
      <w:r w:rsidRPr="00B85D62">
        <w:rPr>
          <w:rFonts w:eastAsia="Calibri" w:cs="Arial"/>
          <w:color w:val="000000" w:themeColor="text1"/>
        </w:rPr>
        <w:t xml:space="preserve"> and </w:t>
      </w:r>
      <w:r w:rsidR="00B85D62" w:rsidRPr="00B85D62">
        <w:rPr>
          <w:rFonts w:eastAsia="Calibri" w:cs="Arial"/>
          <w:color w:val="00B0F0"/>
        </w:rPr>
        <w:t>2nd</w:t>
      </w:r>
      <w:r w:rsidRPr="00B85D62">
        <w:rPr>
          <w:rFonts w:eastAsia="Calibri" w:cs="Arial"/>
          <w:color w:val="000000" w:themeColor="text1"/>
        </w:rPr>
        <w:t xml:space="preserve"> relatives simultaneously, and assume that relatives have FH if they are on LLT or if their PT-LDL-C </w:t>
      </w:r>
      <w:r w:rsidR="00B85D62" w:rsidRPr="00B85D62">
        <w:rPr>
          <w:rFonts w:eastAsia="Calibri" w:cs="Arial"/>
          <w:color w:val="00B0F0"/>
        </w:rPr>
        <w:t>≥</w:t>
      </w:r>
      <w:r w:rsidR="00B85D62" w:rsidRPr="00B85D62">
        <w:rPr>
          <w:rFonts w:eastAsia="Calibri" w:cs="Arial"/>
          <w:color w:val="00B0F0"/>
        </w:rPr>
        <w:t> </w:t>
      </w:r>
      <w:r w:rsidRPr="00B85D62">
        <w:rPr>
          <w:rFonts w:eastAsia="Calibri" w:cs="Arial"/>
          <w:color w:val="000000" w:themeColor="text1"/>
        </w:rPr>
        <w:t>4 mmol/L (or 5 mmol/L if aged 40</w:t>
      </w:r>
      <w:r w:rsidR="00B85D62" w:rsidRPr="00B85D62">
        <w:rPr>
          <w:rFonts w:eastAsia="Calibri" w:cs="Arial"/>
          <w:color w:val="00B0F0"/>
        </w:rPr>
        <w:t>–</w:t>
      </w:r>
      <w:r w:rsidR="00B85D62" w:rsidRPr="00B85D62">
        <w:rPr>
          <w:rFonts w:eastAsia="Calibri" w:cs="Arial"/>
          <w:color w:val="00B0F0"/>
        </w:rPr>
        <w:t>5</w:t>
      </w:r>
      <w:r w:rsidRPr="00B85D62">
        <w:rPr>
          <w:rFonts w:eastAsia="Calibri" w:cs="Arial"/>
          <w:color w:val="000000" w:themeColor="text1"/>
        </w:rPr>
        <w:t xml:space="preserve">9 years). This protocol diagnoses 41% of </w:t>
      </w:r>
      <w:r w:rsidR="258350EB" w:rsidRPr="00B85D62">
        <w:rPr>
          <w:rFonts w:eastAsia="Calibri" w:cs="Arial"/>
          <w:color w:val="000000" w:themeColor="text1"/>
        </w:rPr>
        <w:t>FH</w:t>
      </w:r>
      <w:r w:rsidRPr="00B85D62">
        <w:rPr>
          <w:rFonts w:eastAsia="Calibri" w:cs="Arial"/>
          <w:color w:val="000000" w:themeColor="text1"/>
        </w:rPr>
        <w:t xml:space="preserve"> relatives at a diagnostic cost of £388 per index assessed. </w:t>
      </w:r>
      <w:r w:rsidRPr="00B85D62">
        <w:rPr>
          <w:rFonts w:eastAsia="Calibri" w:cs="Arial"/>
          <w:color w:val="000000" w:themeColor="text1"/>
          <w:highlight w:val="magenta"/>
        </w:rPr>
        <w:t>Compared to</w:t>
      </w:r>
      <w:r w:rsidRPr="00B85D62">
        <w:rPr>
          <w:rFonts w:eastAsia="Calibri" w:cs="Arial"/>
          <w:color w:val="000000" w:themeColor="text1"/>
        </w:rPr>
        <w:t xml:space="preserve"> no cascade, this protocol results in a net health gain of 0.07 QALYs per index family; but it is not cost-effective </w:t>
      </w:r>
      <w:r w:rsidRPr="00B85D62">
        <w:rPr>
          <w:rFonts w:eastAsia="Calibri" w:cs="Arial"/>
          <w:color w:val="000000" w:themeColor="text1"/>
          <w:highlight w:val="magenta"/>
        </w:rPr>
        <w:t>compared to</w:t>
      </w:r>
      <w:r w:rsidRPr="00B85D62">
        <w:rPr>
          <w:rFonts w:eastAsia="Calibri" w:cs="Arial"/>
          <w:color w:val="000000" w:themeColor="text1"/>
        </w:rPr>
        <w:t xml:space="preserve"> the base-case cost-effective protocol if genetic testing is available (net health loss</w:t>
      </w:r>
      <w:r w:rsidR="00B85D62" w:rsidRPr="00B85D62">
        <w:rPr>
          <w:rFonts w:eastAsia="Calibri" w:cs="Arial"/>
          <w:color w:val="00B0F0"/>
        </w:rPr>
        <w:t>=</w:t>
      </w:r>
      <w:r w:rsidRPr="00B85D62">
        <w:rPr>
          <w:rFonts w:eastAsia="Calibri" w:cs="Arial"/>
          <w:color w:val="000000" w:themeColor="text1"/>
        </w:rPr>
        <w:t>0.02 QALYs per index family). Full results presented in S</w:t>
      </w:r>
      <w:r w:rsidRPr="00B85D62">
        <w:rPr>
          <w:rFonts w:eastAsia="Calibri" w:cs="Arial"/>
          <w:i/>
          <w:iCs/>
          <w:color w:val="000000" w:themeColor="text1"/>
        </w:rPr>
        <w:t>cenario: genetic testing is not available</w:t>
      </w:r>
      <w:r w:rsidR="2B399A9D" w:rsidRPr="00B85D62">
        <w:rPr>
          <w:rFonts w:eastAsia="Calibri" w:cs="Arial"/>
          <w:color w:val="000000" w:themeColor="text1"/>
        </w:rPr>
        <w:t xml:space="preserve"> section of </w:t>
      </w:r>
      <w:r w:rsidR="00C33960" w:rsidRPr="00B85D62">
        <w:rPr>
          <w:rFonts w:eastAsia="Arial" w:cs="Arial"/>
          <w:i/>
          <w:color w:val="000000" w:themeColor="text1"/>
        </w:rPr>
        <w:t>Online Supplementary file 5</w:t>
      </w:r>
      <w:r w:rsidRPr="00B85D62">
        <w:rPr>
          <w:rFonts w:eastAsia="Calibri" w:cs="Arial"/>
          <w:color w:val="000000" w:themeColor="text1"/>
        </w:rPr>
        <w:t>.</w:t>
      </w:r>
    </w:p>
    <w:p w14:paraId="5901B271" w14:textId="6173F310" w:rsidR="45F12F84" w:rsidRPr="00B85D62" w:rsidRDefault="45F12F84" w:rsidP="006C7E71">
      <w:pPr>
        <w:pStyle w:val="Heading4"/>
        <w:numPr>
          <w:ilvl w:val="0"/>
          <w:numId w:val="0"/>
        </w:numPr>
      </w:pPr>
      <w:r w:rsidRPr="00B85D62">
        <w:t>Expected value of perfect information</w:t>
      </w:r>
    </w:p>
    <w:p w14:paraId="5F0A1DBD" w14:textId="77777777" w:rsidR="00B85D62" w:rsidRPr="00B85D62" w:rsidRDefault="195142BD" w:rsidP="0066232B">
      <w:pPr>
        <w:rPr>
          <w:rFonts w:eastAsia="Calibri" w:cs="Arial"/>
          <w:color w:val="000000" w:themeColor="text1"/>
        </w:rPr>
      </w:pPr>
      <w:r w:rsidRPr="00B85D62">
        <w:rPr>
          <w:rFonts w:eastAsia="Calibri" w:cs="Arial"/>
          <w:color w:val="000000" w:themeColor="text1"/>
        </w:rPr>
        <w:t>If the average number of index</w:t>
      </w:r>
      <w:r w:rsidR="006D4A14" w:rsidRPr="00B85D62">
        <w:rPr>
          <w:rFonts w:eastAsia="Calibri" w:cs="Arial"/>
          <w:color w:val="000000" w:themeColor="text1"/>
        </w:rPr>
        <w:t xml:space="preserve"> cas</w:t>
      </w:r>
      <w:r w:rsidRPr="00B85D62">
        <w:rPr>
          <w:rFonts w:eastAsia="Calibri" w:cs="Arial"/>
          <w:color w:val="000000" w:themeColor="text1"/>
        </w:rPr>
        <w:t>es who were assessed by the FH service in Wales per year (N=181) is representative of the UK, and generalisable for a period of 10 years, the effective population of index</w:t>
      </w:r>
      <w:r w:rsidR="006D4A14" w:rsidRPr="00B85D62">
        <w:rPr>
          <w:rFonts w:eastAsia="Calibri" w:cs="Arial"/>
          <w:color w:val="000000" w:themeColor="text1"/>
        </w:rPr>
        <w:t xml:space="preserve"> cas</w:t>
      </w:r>
      <w:r w:rsidRPr="00B85D62">
        <w:rPr>
          <w:rFonts w:eastAsia="Calibri" w:cs="Arial"/>
          <w:color w:val="000000" w:themeColor="text1"/>
        </w:rPr>
        <w:t xml:space="preserve">es who could be assessed over this period is 27,793 (including discounting to present values at 3.5% per annum </w:t>
      </w:r>
      <w:r w:rsidRPr="00B85D62">
        <w:rPr>
          <w:rFonts w:eastAsia="Calibri" w:cs="Arial"/>
          <w:color w:val="000000" w:themeColor="text1"/>
          <w:vertAlign w:val="superscript"/>
        </w:rPr>
        <w:t>15</w:t>
      </w:r>
      <w:r w:rsidRPr="00B85D62">
        <w:rPr>
          <w:rFonts w:eastAsia="Calibri" w:cs="Arial"/>
          <w:color w:val="000000" w:themeColor="text1"/>
        </w:rPr>
        <w:t>). The expected value of perfect information is low at £225,442 at the £15,000/QALY threshold and £368,890 at the £20,000/QALY threshold (</w:t>
      </w:r>
      <w:r w:rsidR="7CD117E0" w:rsidRPr="00B85D62">
        <w:rPr>
          <w:rFonts w:eastAsia="Calibri" w:cs="Arial"/>
          <w:color w:val="000000" w:themeColor="text1"/>
        </w:rPr>
        <w:t xml:space="preserve">see </w:t>
      </w:r>
      <w:r w:rsidRPr="00B85D62">
        <w:rPr>
          <w:rFonts w:eastAsia="Calibri" w:cs="Arial"/>
          <w:i/>
          <w:iCs/>
          <w:color w:val="000000" w:themeColor="text1"/>
        </w:rPr>
        <w:t>Expected value of perfect information</w:t>
      </w:r>
      <w:r w:rsidR="310023B0" w:rsidRPr="00B85D62">
        <w:rPr>
          <w:rFonts w:eastAsia="Calibri" w:cs="Arial"/>
          <w:color w:val="000000" w:themeColor="text1"/>
        </w:rPr>
        <w:t xml:space="preserve"> section of </w:t>
      </w:r>
      <w:r w:rsidR="00C33960" w:rsidRPr="00B85D62">
        <w:rPr>
          <w:rFonts w:eastAsia="Arial" w:cs="Arial"/>
          <w:i/>
          <w:color w:val="000000" w:themeColor="text1"/>
        </w:rPr>
        <w:t>Online Supplementary file 5</w:t>
      </w:r>
      <w:r w:rsidRPr="00B85D62">
        <w:rPr>
          <w:rFonts w:eastAsia="Calibri" w:cs="Arial"/>
          <w:color w:val="000000" w:themeColor="text1"/>
        </w:rPr>
        <w:t xml:space="preserve">). For comparison, this project funding cost was £840,042 </w:t>
      </w:r>
      <w:r w:rsidRPr="00B85D62">
        <w:rPr>
          <w:rFonts w:eastAsia="Calibri" w:cs="Arial"/>
          <w:color w:val="000000" w:themeColor="text1"/>
          <w:vertAlign w:val="superscript"/>
        </w:rPr>
        <w:t>29</w:t>
      </w:r>
      <w:r w:rsidRPr="00B85D62">
        <w:rPr>
          <w:rFonts w:eastAsia="Calibri" w:cs="Arial"/>
          <w:color w:val="000000" w:themeColor="text1"/>
        </w:rPr>
        <w:t>.</w:t>
      </w:r>
    </w:p>
    <w:p w14:paraId="6330B482" w14:textId="21128878" w:rsidR="45F12F84" w:rsidRPr="00B85D62" w:rsidRDefault="45F12F84" w:rsidP="006C7E71">
      <w:pPr>
        <w:pStyle w:val="Heading4"/>
        <w:numPr>
          <w:ilvl w:val="0"/>
          <w:numId w:val="0"/>
        </w:numPr>
      </w:pPr>
      <w:r w:rsidRPr="00B85D62">
        <w:t>Scenario analysis</w:t>
      </w:r>
    </w:p>
    <w:p w14:paraId="4EB1C446" w14:textId="3024E8DB" w:rsidR="00B85D62" w:rsidRPr="00B85D62" w:rsidRDefault="195142BD" w:rsidP="0066232B">
      <w:pPr>
        <w:rPr>
          <w:rFonts w:eastAsia="Calibri" w:cs="Arial"/>
          <w:color w:val="000000" w:themeColor="text1"/>
        </w:rPr>
      </w:pPr>
      <w:r w:rsidRPr="00B85D62">
        <w:rPr>
          <w:rFonts w:eastAsia="Calibri" w:cs="Arial"/>
          <w:color w:val="000000" w:themeColor="text1"/>
        </w:rPr>
        <w:t>The base-case cost-effective protocol was the protocol most often associated with the greatest net health gain in the scenarios, including using the possible Simon Broome criteria to select index</w:t>
      </w:r>
      <w:r w:rsidR="006D4A14" w:rsidRPr="00B85D62">
        <w:rPr>
          <w:rFonts w:eastAsia="Calibri" w:cs="Arial"/>
          <w:color w:val="000000" w:themeColor="text1"/>
        </w:rPr>
        <w:t xml:space="preserve"> cas</w:t>
      </w:r>
      <w:r w:rsidRPr="00B85D62">
        <w:rPr>
          <w:rFonts w:eastAsia="Calibri" w:cs="Arial"/>
          <w:color w:val="000000" w:themeColor="text1"/>
        </w:rPr>
        <w:t xml:space="preserve">es </w:t>
      </w:r>
      <w:r w:rsidR="006D4A14" w:rsidRPr="00B85D62">
        <w:rPr>
          <w:rFonts w:eastAsia="Calibri" w:cs="Arial"/>
          <w:color w:val="000000" w:themeColor="text1"/>
        </w:rPr>
        <w:t>for</w:t>
      </w:r>
      <w:r w:rsidRPr="00B85D62">
        <w:rPr>
          <w:rFonts w:eastAsia="Calibri" w:cs="Arial"/>
          <w:color w:val="000000" w:themeColor="text1"/>
        </w:rPr>
        <w:t xml:space="preserve"> genetic test</w:t>
      </w:r>
      <w:r w:rsidR="006D4A14" w:rsidRPr="00B85D62">
        <w:rPr>
          <w:rFonts w:eastAsia="Calibri" w:cs="Arial"/>
          <w:color w:val="000000" w:themeColor="text1"/>
        </w:rPr>
        <w:t>ing</w:t>
      </w:r>
      <w:r w:rsidRPr="00B85D62">
        <w:rPr>
          <w:rFonts w:eastAsia="Calibri" w:cs="Arial"/>
          <w:color w:val="000000" w:themeColor="text1"/>
        </w:rPr>
        <w:t xml:space="preserve"> (see </w:t>
      </w:r>
      <w:r w:rsidRPr="00B85D62">
        <w:rPr>
          <w:rFonts w:eastAsia="Calibri" w:cs="Arial"/>
          <w:i/>
          <w:iCs/>
          <w:color w:val="000000" w:themeColor="text1"/>
        </w:rPr>
        <w:t>Results of scenario analysis</w:t>
      </w:r>
      <w:r w:rsidRPr="00B85D62">
        <w:rPr>
          <w:rFonts w:eastAsia="Calibri" w:cs="Arial"/>
          <w:color w:val="000000" w:themeColor="text1"/>
        </w:rPr>
        <w:t xml:space="preserve"> </w:t>
      </w:r>
      <w:r w:rsidR="28C66C08" w:rsidRPr="00B85D62">
        <w:rPr>
          <w:rFonts w:eastAsia="Calibri" w:cs="Arial"/>
          <w:color w:val="000000" w:themeColor="text1"/>
        </w:rPr>
        <w:t xml:space="preserve">section of </w:t>
      </w:r>
      <w:r w:rsidR="00F66846" w:rsidRPr="00B85D62">
        <w:rPr>
          <w:rFonts w:eastAsia="Calibri" w:cs="Arial"/>
          <w:i/>
          <w:color w:val="000000" w:themeColor="text1"/>
        </w:rPr>
        <w:t xml:space="preserve">Online Supplementary file 5 </w:t>
      </w:r>
      <w:r w:rsidRPr="00B85D62">
        <w:rPr>
          <w:rFonts w:eastAsia="Calibri" w:cs="Arial"/>
          <w:color w:val="000000" w:themeColor="text1"/>
        </w:rPr>
        <w:t>for details). Where this was not the case, there was typically a small difference in net health gain between the base-case cost-effective protocol and the protocol that had the highest net health gain in the scenario (</w:t>
      </w:r>
      <w:r w:rsidR="00B85D62" w:rsidRPr="00B85D62">
        <w:rPr>
          <w:rFonts w:eastAsia="Calibri" w:cs="Arial"/>
          <w:color w:val="00B0F0"/>
        </w:rPr>
        <w:t>&lt;</w:t>
      </w:r>
      <w:r w:rsidR="00B85D62" w:rsidRPr="00B85D62">
        <w:rPr>
          <w:rFonts w:eastAsia="Calibri" w:cs="Arial"/>
          <w:color w:val="00B0F0"/>
        </w:rPr>
        <w:t> </w:t>
      </w:r>
      <w:r w:rsidRPr="00B85D62">
        <w:rPr>
          <w:rFonts w:eastAsia="Calibri" w:cs="Arial"/>
          <w:color w:val="000000" w:themeColor="text1"/>
        </w:rPr>
        <w:t>0.0001 QALY).</w:t>
      </w:r>
    </w:p>
    <w:p w14:paraId="3004423C" w14:textId="52D5814F" w:rsidR="00B85D62" w:rsidRPr="00B85D62" w:rsidRDefault="195142BD" w:rsidP="0066232B">
      <w:pPr>
        <w:rPr>
          <w:rFonts w:eastAsia="Calibri" w:cs="Arial"/>
          <w:color w:val="000000" w:themeColor="text1"/>
        </w:rPr>
      </w:pPr>
      <w:r w:rsidRPr="00B85D62">
        <w:rPr>
          <w:rFonts w:eastAsia="Calibri" w:cs="Arial"/>
          <w:color w:val="000000" w:themeColor="text1"/>
        </w:rPr>
        <w:t xml:space="preserve">Two of the scenarios relating to the longer-term outcomes had a greater impact. In the scenario including the benefits of misdiagnosis as FH </w:t>
      </w:r>
      <w:r w:rsidR="00B85D62" w:rsidRPr="00B85D62">
        <w:rPr>
          <w:rFonts w:eastAsia="Calibri" w:cs="Arial"/>
          <w:color w:val="00B0F0"/>
        </w:rPr>
        <w:t>among</w:t>
      </w:r>
      <w:r w:rsidRPr="00B85D62">
        <w:rPr>
          <w:rFonts w:eastAsia="Calibri" w:cs="Arial"/>
          <w:color w:val="000000" w:themeColor="text1"/>
        </w:rPr>
        <w:t xml:space="preserve"> non-</w:t>
      </w:r>
      <w:r w:rsidR="20ABA314" w:rsidRPr="00B85D62">
        <w:rPr>
          <w:rFonts w:eastAsia="Calibri" w:cs="Arial"/>
          <w:color w:val="000000" w:themeColor="text1"/>
        </w:rPr>
        <w:t>FH</w:t>
      </w:r>
      <w:r w:rsidRPr="00B85D62">
        <w:rPr>
          <w:rFonts w:eastAsia="Calibri" w:cs="Arial"/>
          <w:color w:val="000000" w:themeColor="text1"/>
        </w:rPr>
        <w:t xml:space="preserve"> relatives, the protocol with the highest net health gain assumes that relatives aged 6</w:t>
      </w:r>
      <w:r w:rsidR="00B85D62" w:rsidRPr="00B85D62">
        <w:rPr>
          <w:rFonts w:eastAsia="Calibri" w:cs="Arial"/>
          <w:color w:val="00B0F0"/>
        </w:rPr>
        <w:t>0</w:t>
      </w:r>
      <w:r w:rsidR="00B85D62" w:rsidRPr="00B85D62">
        <w:rPr>
          <w:rFonts w:eastAsia="Calibri" w:cs="Arial"/>
          <w:color w:val="00B0F0"/>
        </w:rPr>
        <w:t> </w:t>
      </w:r>
      <w:r w:rsidR="00B85D62" w:rsidRPr="00B85D62">
        <w:rPr>
          <w:rFonts w:eastAsia="Calibri" w:cs="Arial"/>
          <w:color w:val="00B0F0"/>
        </w:rPr>
        <w:t>+</w:t>
      </w:r>
      <w:r w:rsidRPr="00B85D62">
        <w:rPr>
          <w:rFonts w:eastAsia="Calibri" w:cs="Arial"/>
          <w:color w:val="000000" w:themeColor="text1"/>
        </w:rPr>
        <w:t xml:space="preserve"> are treated as if they had FH regardless of their other characteristics. This occurs because, under this scenario, misdiagnosis of non-</w:t>
      </w:r>
      <w:r w:rsidR="287EE344" w:rsidRPr="00B85D62">
        <w:rPr>
          <w:rFonts w:eastAsia="Calibri" w:cs="Arial"/>
          <w:color w:val="000000" w:themeColor="text1"/>
        </w:rPr>
        <w:t>FH</w:t>
      </w:r>
      <w:r w:rsidRPr="00B85D62">
        <w:rPr>
          <w:rFonts w:eastAsia="Calibri" w:cs="Arial"/>
          <w:color w:val="000000" w:themeColor="text1"/>
        </w:rPr>
        <w:t xml:space="preserve"> relatives who are at high </w:t>
      </w:r>
      <w:r w:rsidR="003F7ED9" w:rsidRPr="00B85D62">
        <w:rPr>
          <w:rFonts w:eastAsia="Calibri" w:cs="Arial"/>
          <w:color w:val="000000" w:themeColor="text1"/>
        </w:rPr>
        <w:t>cardiovascular</w:t>
      </w:r>
      <w:r w:rsidR="003F7ED9" w:rsidRPr="00B85D62" w:rsidDel="003F7ED9">
        <w:rPr>
          <w:rFonts w:eastAsia="Calibri" w:cs="Arial"/>
          <w:color w:val="000000" w:themeColor="text1"/>
        </w:rPr>
        <w:t xml:space="preserve"> </w:t>
      </w:r>
      <w:r w:rsidRPr="00B85D62">
        <w:rPr>
          <w:rFonts w:eastAsia="Calibri" w:cs="Arial"/>
          <w:color w:val="000000" w:themeColor="text1"/>
        </w:rPr>
        <w:t>risk but who are not on LLT represents a net health gain.</w:t>
      </w:r>
    </w:p>
    <w:p w14:paraId="4B3F6828" w14:textId="6D709F9D" w:rsidR="45F12F84" w:rsidRPr="00B85D62" w:rsidRDefault="195142BD" w:rsidP="0066232B">
      <w:pPr>
        <w:rPr>
          <w:rFonts w:eastAsia="Calibri" w:cs="Arial"/>
          <w:color w:val="000000" w:themeColor="text1"/>
        </w:rPr>
      </w:pPr>
      <w:r w:rsidRPr="00B85D62">
        <w:rPr>
          <w:rFonts w:eastAsia="Calibri" w:cs="Arial"/>
          <w:color w:val="000000" w:themeColor="text1"/>
        </w:rPr>
        <w:t xml:space="preserve">In the scenario excluding the effect of LDL-C burden, i.e. assuming that the effect of elevated LDL-C on </w:t>
      </w:r>
      <w:r w:rsidR="006D4A14" w:rsidRPr="00B85D62">
        <w:rPr>
          <w:rFonts w:eastAsia="Calibri" w:cs="Arial"/>
          <w:color w:val="000000" w:themeColor="text1"/>
        </w:rPr>
        <w:t>cardiovascular</w:t>
      </w:r>
      <w:r w:rsidRPr="00B85D62">
        <w:rPr>
          <w:rFonts w:eastAsia="Calibri" w:cs="Arial"/>
          <w:color w:val="000000" w:themeColor="text1"/>
        </w:rPr>
        <w:t xml:space="preserve"> risk does not increase over time (which is informed by the results of Scenario 8 of the cost-effectiveness analysis on long-term outcomes from diagnosis in </w:t>
      </w:r>
      <w:r w:rsidR="294A9E2A" w:rsidRPr="00B85D62">
        <w:rPr>
          <w:rFonts w:eastAsia="Calibri" w:cs="Arial"/>
          <w:color w:val="000000" w:themeColor="text1"/>
        </w:rPr>
        <w:t xml:space="preserve">section </w:t>
      </w:r>
      <w:r w:rsidR="003F7ED9" w:rsidRPr="00B85D62">
        <w:rPr>
          <w:rFonts w:eastAsia="Calibri" w:cs="Arial"/>
          <w:color w:val="000000" w:themeColor="text1"/>
        </w:rPr>
        <w:t>8</w:t>
      </w:r>
      <w:r w:rsidR="294A9E2A" w:rsidRPr="00B85D62">
        <w:rPr>
          <w:rFonts w:eastAsia="Calibri" w:cs="Arial"/>
          <w:color w:val="000000" w:themeColor="text1"/>
        </w:rPr>
        <w:t>.4</w:t>
      </w:r>
      <w:r w:rsidR="006D4A14" w:rsidRPr="00B85D62">
        <w:rPr>
          <w:rFonts w:eastAsia="Calibri" w:cs="Arial"/>
          <w:color w:val="000000" w:themeColor="text1"/>
        </w:rPr>
        <w:t>)</w:t>
      </w:r>
      <w:r w:rsidRPr="00B85D62">
        <w:rPr>
          <w:rFonts w:eastAsia="Calibri" w:cs="Arial"/>
          <w:color w:val="000000" w:themeColor="text1"/>
        </w:rPr>
        <w:t>, the protocol with the highest net health gain was similar to the base-case cost-effective protocol, although only index</w:t>
      </w:r>
      <w:r w:rsidR="006D4A14" w:rsidRPr="00B85D62">
        <w:rPr>
          <w:rFonts w:eastAsia="Calibri" w:cs="Arial"/>
          <w:color w:val="000000" w:themeColor="text1"/>
        </w:rPr>
        <w:t xml:space="preserve"> cases</w:t>
      </w:r>
      <w:r w:rsidRPr="00B85D62">
        <w:rPr>
          <w:rFonts w:eastAsia="Calibri" w:cs="Arial"/>
          <w:color w:val="000000" w:themeColor="text1"/>
        </w:rPr>
        <w:t xml:space="preserve"> with WDLCN </w:t>
      </w:r>
      <w:r w:rsidR="00B85D62" w:rsidRPr="00B85D62">
        <w:rPr>
          <w:rFonts w:eastAsia="Calibri" w:cs="Arial"/>
          <w:color w:val="00B0F0"/>
        </w:rPr>
        <w:t>≥</w:t>
      </w:r>
      <w:r w:rsidR="00B85D62" w:rsidRPr="00B85D62">
        <w:rPr>
          <w:rFonts w:eastAsia="Calibri" w:cs="Arial"/>
          <w:color w:val="00B0F0"/>
        </w:rPr>
        <w:t> </w:t>
      </w:r>
      <w:r w:rsidRPr="00B85D62">
        <w:rPr>
          <w:rFonts w:eastAsia="Calibri" w:cs="Arial"/>
          <w:color w:val="000000" w:themeColor="text1"/>
        </w:rPr>
        <w:t xml:space="preserve">9 are selected </w:t>
      </w:r>
      <w:r w:rsidR="006D4A14" w:rsidRPr="00B85D62">
        <w:rPr>
          <w:rFonts w:eastAsia="Calibri" w:cs="Arial"/>
          <w:color w:val="000000" w:themeColor="text1"/>
        </w:rPr>
        <w:t>for</w:t>
      </w:r>
      <w:r w:rsidRPr="00B85D62">
        <w:rPr>
          <w:rFonts w:eastAsia="Calibri" w:cs="Arial"/>
          <w:color w:val="000000" w:themeColor="text1"/>
        </w:rPr>
        <w:t xml:space="preserve"> genetic test</w:t>
      </w:r>
      <w:r w:rsidR="006D4A14" w:rsidRPr="00B85D62">
        <w:rPr>
          <w:rFonts w:eastAsia="Calibri" w:cs="Arial"/>
          <w:color w:val="000000" w:themeColor="text1"/>
        </w:rPr>
        <w:t>ing</w:t>
      </w:r>
      <w:r w:rsidRPr="00B85D62">
        <w:rPr>
          <w:rFonts w:eastAsia="Calibri" w:cs="Arial"/>
          <w:color w:val="000000" w:themeColor="text1"/>
        </w:rPr>
        <w:t>, relatives aged 0</w:t>
      </w:r>
      <w:r w:rsidR="00B85D62" w:rsidRPr="00B85D62">
        <w:rPr>
          <w:rFonts w:eastAsia="Calibri" w:cs="Arial"/>
          <w:color w:val="00B0F0"/>
        </w:rPr>
        <w:t>–</w:t>
      </w:r>
      <w:r w:rsidR="00B85D62" w:rsidRPr="00B85D62">
        <w:rPr>
          <w:rFonts w:eastAsia="Calibri" w:cs="Arial"/>
          <w:color w:val="00B0F0"/>
        </w:rPr>
        <w:t>9</w:t>
      </w:r>
      <w:r w:rsidRPr="00B85D62">
        <w:rPr>
          <w:rFonts w:eastAsia="Calibri" w:cs="Arial"/>
          <w:color w:val="000000" w:themeColor="text1"/>
        </w:rPr>
        <w:t xml:space="preserve"> years and 10</w:t>
      </w:r>
      <w:r w:rsidR="00B85D62" w:rsidRPr="00B85D62">
        <w:rPr>
          <w:rFonts w:eastAsia="Calibri" w:cs="Arial"/>
          <w:color w:val="00B0F0"/>
        </w:rPr>
        <w:t>–</w:t>
      </w:r>
      <w:r w:rsidR="00B85D62" w:rsidRPr="00B85D62">
        <w:rPr>
          <w:rFonts w:eastAsia="Calibri" w:cs="Arial"/>
          <w:color w:val="00B0F0"/>
        </w:rPr>
        <w:t>1</w:t>
      </w:r>
      <w:r w:rsidRPr="00B85D62">
        <w:rPr>
          <w:rFonts w:eastAsia="Calibri" w:cs="Arial"/>
          <w:color w:val="000000" w:themeColor="text1"/>
        </w:rPr>
        <w:t xml:space="preserve">7 years are diagnosed with FH if their PT-LDL-C </w:t>
      </w:r>
      <w:r w:rsidR="00B85D62" w:rsidRPr="00B85D62">
        <w:rPr>
          <w:rFonts w:eastAsia="Calibri" w:cs="Arial"/>
          <w:color w:val="00B0F0"/>
        </w:rPr>
        <w:t>≥</w:t>
      </w:r>
      <w:r w:rsidR="00B85D62" w:rsidRPr="00B85D62">
        <w:rPr>
          <w:rFonts w:eastAsia="Calibri" w:cs="Arial"/>
          <w:color w:val="00B0F0"/>
        </w:rPr>
        <w:t> </w:t>
      </w:r>
      <w:r w:rsidRPr="00B85D62">
        <w:rPr>
          <w:rFonts w:eastAsia="Calibri" w:cs="Arial"/>
          <w:color w:val="000000" w:themeColor="text1"/>
        </w:rPr>
        <w:t>6</w:t>
      </w:r>
      <w:r w:rsidR="00895586" w:rsidRPr="00B85D62">
        <w:rPr>
          <w:rFonts w:eastAsia="Calibri" w:cs="Arial"/>
          <w:color w:val="000000" w:themeColor="text1"/>
        </w:rPr>
        <w:t xml:space="preserve"> </w:t>
      </w:r>
      <w:r w:rsidRPr="00B85D62">
        <w:rPr>
          <w:rFonts w:eastAsia="Calibri" w:cs="Arial"/>
          <w:color w:val="000000" w:themeColor="text1"/>
        </w:rPr>
        <w:t xml:space="preserve">mmol/L, and the PT-LDL-C cut-offs to select older relatives to the genetic test are more stringent. This occurs because, without accounting for LDL-C burden, the </w:t>
      </w:r>
      <w:r w:rsidR="006D4A14" w:rsidRPr="00B85D62">
        <w:rPr>
          <w:rFonts w:eastAsia="Calibri" w:cs="Arial"/>
          <w:color w:val="000000" w:themeColor="text1"/>
        </w:rPr>
        <w:t>cardiovascular</w:t>
      </w:r>
      <w:r w:rsidRPr="00B85D62">
        <w:rPr>
          <w:rFonts w:eastAsia="Calibri" w:cs="Arial"/>
          <w:color w:val="000000" w:themeColor="text1"/>
        </w:rPr>
        <w:t xml:space="preserve"> risk of undiagnosed individuals is lower, hence the benefits of diagnosis are smaller; as a result, there is less scope to invest in diagnosis.</w:t>
      </w:r>
    </w:p>
    <w:p w14:paraId="02D0DE63" w14:textId="02F89A29" w:rsidR="45F12F84" w:rsidRPr="00B85D62" w:rsidRDefault="45F12F84" w:rsidP="006C7E71">
      <w:pPr>
        <w:pStyle w:val="Heading4"/>
        <w:numPr>
          <w:ilvl w:val="0"/>
          <w:numId w:val="0"/>
        </w:numPr>
      </w:pPr>
      <w:r w:rsidRPr="00B85D62">
        <w:t>Threshold sensitivity analysis</w:t>
      </w:r>
    </w:p>
    <w:p w14:paraId="0B3DBEC6" w14:textId="14607880" w:rsidR="45F12F84" w:rsidRPr="00B85D62" w:rsidRDefault="45F12F84" w:rsidP="0066232B">
      <w:pPr>
        <w:rPr>
          <w:rFonts w:eastAsia="Calibri" w:cs="Arial"/>
          <w:color w:val="000000" w:themeColor="text1"/>
        </w:rPr>
      </w:pPr>
      <w:r w:rsidRPr="00B85D62">
        <w:rPr>
          <w:rFonts w:eastAsia="Calibri" w:cs="Arial"/>
          <w:color w:val="000000" w:themeColor="text1"/>
        </w:rPr>
        <w:t>The base-case results were robust to reductions in the odds ratio of direct contact on cascade completion down to an odds ratio of 1.02 (base-case</w:t>
      </w:r>
      <w:r w:rsidR="00B85D62" w:rsidRPr="00B85D62">
        <w:rPr>
          <w:rFonts w:eastAsia="Calibri" w:cs="Arial"/>
          <w:color w:val="00B0F0"/>
        </w:rPr>
        <w:t>=</w:t>
      </w:r>
      <w:r w:rsidRPr="00B85D62">
        <w:rPr>
          <w:rFonts w:eastAsia="Calibri" w:cs="Arial"/>
          <w:color w:val="000000" w:themeColor="text1"/>
        </w:rPr>
        <w:t>2.11 (95% CI 1.67 to 2.69)), where the protocol with the highest net health gain switched from direct to indirect contact at the £15,000/QALY threshold. For contacting relatives indirectly to be a net health gain, the additional costs of contacting relatives directly would have to be at least £270 per relative at the £15,000/QALY threshold (</w:t>
      </w:r>
      <w:r w:rsidRPr="00B85D62">
        <w:rPr>
          <w:rFonts w:eastAsia="Calibri" w:cs="Arial"/>
          <w:color w:val="000000" w:themeColor="text1"/>
          <w:highlight w:val="magenta"/>
        </w:rPr>
        <w:t>compared to</w:t>
      </w:r>
      <w:r w:rsidRPr="00B85D62">
        <w:rPr>
          <w:rFonts w:eastAsia="Calibri" w:cs="Arial"/>
          <w:color w:val="000000" w:themeColor="text1"/>
        </w:rPr>
        <w:t xml:space="preserve"> £8 in the base-case). The testing strategy with the highest net health gain changed to genetic testing if the relatives</w:t>
      </w:r>
      <w:r w:rsidR="00B85D62" w:rsidRPr="00B85D62">
        <w:rPr>
          <w:rFonts w:eastAsia="Calibri" w:cs="Arial"/>
          <w:color w:val="000000" w:themeColor="text1"/>
        </w:rPr>
        <w:t>’</w:t>
      </w:r>
      <w:r w:rsidRPr="00B85D62">
        <w:rPr>
          <w:rFonts w:eastAsia="Calibri" w:cs="Arial"/>
          <w:color w:val="000000" w:themeColor="text1"/>
        </w:rPr>
        <w:t xml:space="preserve"> genetic test costs </w:t>
      </w:r>
      <w:r w:rsidR="00B85D62" w:rsidRPr="00B85D62">
        <w:rPr>
          <w:rFonts w:eastAsia="Calibri" w:cs="Arial"/>
          <w:color w:val="00B0F0"/>
        </w:rPr>
        <w:t>≤</w:t>
      </w:r>
      <w:r w:rsidR="00B85D62" w:rsidRPr="00B85D62">
        <w:rPr>
          <w:rFonts w:eastAsia="Calibri" w:cs="Arial"/>
          <w:color w:val="00B0F0"/>
        </w:rPr>
        <w:t> </w:t>
      </w:r>
      <w:r w:rsidRPr="00B85D62">
        <w:rPr>
          <w:rFonts w:eastAsia="Calibri" w:cs="Arial"/>
          <w:color w:val="000000" w:themeColor="text1"/>
        </w:rPr>
        <w:t>£10.80 per relative (10% of base-case cost of £108) at the £15,000/QALY threshold, or if the relatives</w:t>
      </w:r>
      <w:r w:rsidR="00B85D62" w:rsidRPr="00B85D62">
        <w:rPr>
          <w:rFonts w:eastAsia="Calibri" w:cs="Arial"/>
          <w:color w:val="000000" w:themeColor="text1"/>
        </w:rPr>
        <w:t>’</w:t>
      </w:r>
      <w:r w:rsidRPr="00B85D62">
        <w:rPr>
          <w:rFonts w:eastAsia="Calibri" w:cs="Arial"/>
          <w:color w:val="000000" w:themeColor="text1"/>
        </w:rPr>
        <w:t xml:space="preserve"> genetic test costs fell below £32.4 (30% of the base-case cost) at the £20,000/QALY threshold.</w:t>
      </w:r>
    </w:p>
    <w:p w14:paraId="2E49B4D6" w14:textId="785F1C03" w:rsidR="45F12F84" w:rsidRPr="00B85D62" w:rsidRDefault="45F12F84" w:rsidP="006C7E71">
      <w:pPr>
        <w:pStyle w:val="Heading4"/>
        <w:numPr>
          <w:ilvl w:val="0"/>
          <w:numId w:val="0"/>
        </w:numPr>
      </w:pPr>
      <w:r w:rsidRPr="00B85D62">
        <w:t xml:space="preserve">Implications </w:t>
      </w:r>
      <w:r w:rsidR="00312AA2" w:rsidRPr="00B85D62">
        <w:t>on service development</w:t>
      </w:r>
    </w:p>
    <w:p w14:paraId="451EB6C0" w14:textId="77777777" w:rsidR="00B85D62" w:rsidRPr="00B85D62" w:rsidRDefault="195142BD" w:rsidP="0066232B">
      <w:pPr>
        <w:rPr>
          <w:rFonts w:eastAsia="Calibri" w:cs="Arial"/>
          <w:color w:val="000000" w:themeColor="text1"/>
        </w:rPr>
      </w:pPr>
      <w:r w:rsidRPr="00B85D62">
        <w:rPr>
          <w:rFonts w:eastAsia="Calibri" w:cs="Arial"/>
          <w:color w:val="000000" w:themeColor="text1"/>
        </w:rPr>
        <w:t xml:space="preserve">Since 2005, the Welsh FH service has assessed 2618 indexes, amounting to 181 indexes/year. Assuming that this number generalises to the UK and scaling up to account for population size (the UK population being ~ 18 times larger than the Welsh population), 3229 index families could be assessed per year in the UK. If these indexes were assessed and their relatives cascaded with the base-case cost-effective protocol, 1,175 </w:t>
      </w:r>
      <w:r w:rsidR="7157DBCA" w:rsidRPr="00B85D62">
        <w:rPr>
          <w:rFonts w:eastAsia="Calibri" w:cs="Arial"/>
          <w:color w:val="000000" w:themeColor="text1"/>
        </w:rPr>
        <w:t>FH</w:t>
      </w:r>
      <w:r w:rsidRPr="00B85D62">
        <w:rPr>
          <w:rFonts w:eastAsia="Calibri" w:cs="Arial"/>
          <w:color w:val="000000" w:themeColor="text1"/>
        </w:rPr>
        <w:t xml:space="preserve"> relatives would be diagnosed, at a diagnosis cost of £2.06 million and requiring 5,555 genetic tests. Compared with not conducting cascade, the incremental net health gain is 387 QALYs.</w:t>
      </w:r>
    </w:p>
    <w:p w14:paraId="6C1C9229" w14:textId="2E6DCB58" w:rsidR="45F12F84" w:rsidRPr="00B85D62" w:rsidRDefault="195142BD" w:rsidP="0066232B">
      <w:pPr>
        <w:rPr>
          <w:rFonts w:eastAsia="Calibri" w:cs="Arial"/>
          <w:color w:val="000000" w:themeColor="text1"/>
        </w:rPr>
      </w:pPr>
      <w:r w:rsidRPr="00B85D62">
        <w:rPr>
          <w:rFonts w:eastAsia="Calibri" w:cs="Arial"/>
          <w:color w:val="000000" w:themeColor="text1"/>
        </w:rPr>
        <w:t xml:space="preserve">The cost-effective harmonised protocol achieves similar outcomes, with 1,153 </w:t>
      </w:r>
      <w:r w:rsidR="7157DBCA" w:rsidRPr="00B85D62">
        <w:rPr>
          <w:rFonts w:eastAsia="Calibri" w:cs="Arial"/>
          <w:color w:val="000000" w:themeColor="text1"/>
        </w:rPr>
        <w:t>FH</w:t>
      </w:r>
      <w:r w:rsidRPr="00B85D62">
        <w:rPr>
          <w:rFonts w:eastAsia="Calibri" w:cs="Arial"/>
          <w:color w:val="000000" w:themeColor="text1"/>
        </w:rPr>
        <w:t xml:space="preserve"> relatives diagnosed, at a diagnosis cost of £2.03 million, and requiring 5,324 genetic tests. </w:t>
      </w:r>
      <w:r w:rsidRPr="00B85D62">
        <w:rPr>
          <w:rFonts w:eastAsia="Calibri" w:cs="Arial"/>
          <w:color w:val="000000" w:themeColor="text1"/>
          <w:highlight w:val="magenta"/>
        </w:rPr>
        <w:t>Compared to</w:t>
      </w:r>
      <w:r w:rsidRPr="00B85D62">
        <w:rPr>
          <w:rFonts w:eastAsia="Calibri" w:cs="Arial"/>
          <w:color w:val="000000" w:themeColor="text1"/>
        </w:rPr>
        <w:t xml:space="preserve"> this protocol, the base-case cost-effective protocol results in an incremental health gain of 1.3 QALYs.</w:t>
      </w:r>
    </w:p>
    <w:p w14:paraId="62685AC0" w14:textId="30AA95FD" w:rsidR="00B85D62" w:rsidRPr="00B85D62" w:rsidRDefault="195142BD" w:rsidP="0066232B">
      <w:pPr>
        <w:rPr>
          <w:rFonts w:eastAsia="Calibri" w:cs="Arial"/>
          <w:color w:val="000000" w:themeColor="text1"/>
        </w:rPr>
      </w:pPr>
      <w:r w:rsidRPr="00B85D62">
        <w:rPr>
          <w:rFonts w:eastAsia="Calibri" w:cs="Arial"/>
          <w:color w:val="000000" w:themeColor="text1"/>
        </w:rPr>
        <w:t xml:space="preserve">Under the usual protocol of indirectly contacting relatives, only contacting the </w:t>
      </w:r>
      <w:r w:rsidR="00B85D62" w:rsidRPr="00B85D62">
        <w:rPr>
          <w:rFonts w:eastAsia="Calibri" w:cs="Arial"/>
          <w:color w:val="00B0F0"/>
        </w:rPr>
        <w:t>2nd</w:t>
      </w:r>
      <w:r w:rsidRPr="00B85D62">
        <w:rPr>
          <w:rFonts w:eastAsia="Calibri" w:cs="Arial"/>
          <w:color w:val="000000" w:themeColor="text1"/>
        </w:rPr>
        <w:t xml:space="preserve"> degree relatives following diagnosis of the </w:t>
      </w:r>
      <w:r w:rsidR="00B85D62" w:rsidRPr="00B85D62">
        <w:rPr>
          <w:rFonts w:eastAsia="Calibri" w:cs="Arial"/>
          <w:color w:val="00B0F0"/>
        </w:rPr>
        <w:t>1st</w:t>
      </w:r>
      <w:r w:rsidRPr="00B85D62">
        <w:rPr>
          <w:rFonts w:eastAsia="Calibri" w:cs="Arial"/>
          <w:color w:val="000000" w:themeColor="text1"/>
        </w:rPr>
        <w:t xml:space="preserve"> degree relative, and offering genetic tests to all relatives, 808 </w:t>
      </w:r>
      <w:r w:rsidR="0CF5DF2F" w:rsidRPr="00B85D62">
        <w:rPr>
          <w:rFonts w:eastAsia="Calibri" w:cs="Arial"/>
          <w:color w:val="000000" w:themeColor="text1"/>
        </w:rPr>
        <w:t>FH</w:t>
      </w:r>
      <w:r w:rsidRPr="00B85D62">
        <w:rPr>
          <w:rFonts w:eastAsia="Calibri" w:cs="Arial"/>
          <w:color w:val="000000" w:themeColor="text1"/>
        </w:rPr>
        <w:t xml:space="preserve"> relatives are diagnosed, at a cost of £1.85 million and involving 5,447 genetic tests. </w:t>
      </w:r>
      <w:r w:rsidRPr="00B85D62">
        <w:rPr>
          <w:rFonts w:eastAsia="Calibri" w:cs="Arial"/>
          <w:color w:val="000000" w:themeColor="text1"/>
          <w:highlight w:val="magenta"/>
        </w:rPr>
        <w:t>Compared to</w:t>
      </w:r>
      <w:r w:rsidRPr="00B85D62">
        <w:rPr>
          <w:rFonts w:eastAsia="Calibri" w:cs="Arial"/>
          <w:color w:val="000000" w:themeColor="text1"/>
        </w:rPr>
        <w:t xml:space="preserve"> this protocol, the base-case cost-effective protocol results in an incremental net health gain of 171 QALYs.</w:t>
      </w:r>
    </w:p>
    <w:p w14:paraId="78BED741" w14:textId="0DD3D6F7" w:rsidR="45F12F84" w:rsidRPr="00B85D62" w:rsidRDefault="195142BD" w:rsidP="0066232B">
      <w:pPr>
        <w:rPr>
          <w:rFonts w:eastAsia="Calibri" w:cs="Arial"/>
          <w:color w:val="000000" w:themeColor="text1"/>
        </w:rPr>
      </w:pPr>
      <w:r w:rsidRPr="00B85D62">
        <w:rPr>
          <w:rFonts w:eastAsia="Calibri" w:cs="Arial"/>
          <w:color w:val="000000" w:themeColor="text1"/>
        </w:rPr>
        <w:t xml:space="preserve">Under the best yield testing strategy, where services directly contact the </w:t>
      </w:r>
      <w:r w:rsidR="00B85D62" w:rsidRPr="00B85D62">
        <w:rPr>
          <w:rFonts w:eastAsia="Calibri" w:cs="Arial"/>
          <w:color w:val="00B0F0"/>
        </w:rPr>
        <w:t>1st</w:t>
      </w:r>
      <w:r w:rsidRPr="00B85D62">
        <w:rPr>
          <w:rFonts w:eastAsia="Calibri" w:cs="Arial"/>
          <w:color w:val="000000" w:themeColor="text1"/>
        </w:rPr>
        <w:t xml:space="preserve"> and </w:t>
      </w:r>
      <w:r w:rsidR="00B85D62" w:rsidRPr="00B85D62">
        <w:rPr>
          <w:rFonts w:eastAsia="Calibri" w:cs="Arial"/>
          <w:color w:val="00B0F0"/>
        </w:rPr>
        <w:t>2nd</w:t>
      </w:r>
      <w:r w:rsidRPr="00B85D62">
        <w:rPr>
          <w:rFonts w:eastAsia="Calibri" w:cs="Arial"/>
          <w:color w:val="000000" w:themeColor="text1"/>
        </w:rPr>
        <w:t xml:space="preserve"> degree relatives simultaneously, and offer genetic tests to all, 1,276 </w:t>
      </w:r>
      <w:r w:rsidR="6AB6F852" w:rsidRPr="00B85D62">
        <w:rPr>
          <w:rFonts w:eastAsia="Calibri" w:cs="Arial"/>
          <w:color w:val="000000" w:themeColor="text1"/>
        </w:rPr>
        <w:t>FH</w:t>
      </w:r>
      <w:r w:rsidRPr="00B85D62">
        <w:rPr>
          <w:rFonts w:eastAsia="Calibri" w:cs="Arial"/>
          <w:color w:val="000000" w:themeColor="text1"/>
        </w:rPr>
        <w:t xml:space="preserve"> relatives are diagnosed, at a diagnosis cost of £2.26 million, and requiring 7,488 genetic tests. </w:t>
      </w:r>
      <w:r w:rsidRPr="00B85D62">
        <w:rPr>
          <w:rFonts w:eastAsia="Calibri" w:cs="Arial"/>
          <w:color w:val="000000" w:themeColor="text1"/>
          <w:highlight w:val="magenta"/>
        </w:rPr>
        <w:t>Compared to</w:t>
      </w:r>
      <w:r w:rsidRPr="00B85D62">
        <w:rPr>
          <w:rFonts w:eastAsia="Calibri" w:cs="Arial"/>
          <w:color w:val="000000" w:themeColor="text1"/>
        </w:rPr>
        <w:t xml:space="preserve"> the base-case cost-effective protocol, this protocol results in a net loss of health at 12.2 QALYs.</w:t>
      </w:r>
    </w:p>
    <w:p w14:paraId="08EF08B1" w14:textId="6D8AE628" w:rsidR="45F12F84" w:rsidRPr="00B85D62" w:rsidRDefault="195142BD" w:rsidP="0066232B">
      <w:pPr>
        <w:rPr>
          <w:rFonts w:eastAsia="Calibri" w:cs="Arial"/>
          <w:color w:val="000000" w:themeColor="text1"/>
        </w:rPr>
      </w:pPr>
      <w:r w:rsidRPr="00B85D62">
        <w:rPr>
          <w:rFonts w:eastAsia="Calibri" w:cs="Arial"/>
          <w:color w:val="000000" w:themeColor="text1"/>
        </w:rPr>
        <w:t xml:space="preserve">If there was a UK joined up service which reaches out-of-area relatives, 32% more relatives could be contacted (according to PASS Wales </w:t>
      </w:r>
      <w:r w:rsidRPr="00B85D62">
        <w:rPr>
          <w:rFonts w:eastAsia="Calibri" w:cs="Arial"/>
          <w:color w:val="000000" w:themeColor="text1"/>
          <w:highlight w:val="magenta"/>
        </w:rPr>
        <w:t>data</w:t>
      </w:r>
      <w:r w:rsidRPr="00B85D62">
        <w:rPr>
          <w:rFonts w:eastAsia="Calibri" w:cs="Arial"/>
          <w:color w:val="000000" w:themeColor="text1"/>
        </w:rPr>
        <w:t xml:space="preserve">), tested and diagnosed. Therefore, with the base-case cost-effective protocol, 1,553 </w:t>
      </w:r>
      <w:r w:rsidR="6AB6F852" w:rsidRPr="00B85D62">
        <w:rPr>
          <w:rFonts w:eastAsia="Calibri" w:cs="Arial"/>
          <w:color w:val="000000" w:themeColor="text1"/>
        </w:rPr>
        <w:t>FH</w:t>
      </w:r>
      <w:r w:rsidRPr="00B85D62">
        <w:rPr>
          <w:rFonts w:eastAsia="Calibri" w:cs="Arial"/>
          <w:color w:val="000000" w:themeColor="text1"/>
        </w:rPr>
        <w:t xml:space="preserve"> relatives would be diagnosed at a cost of £2.72 million.</w:t>
      </w:r>
    </w:p>
    <w:p w14:paraId="12228E28" w14:textId="441019B4" w:rsidR="45F12F84" w:rsidRPr="00B85D62" w:rsidRDefault="00D87E78" w:rsidP="006C7E71">
      <w:pPr>
        <w:pStyle w:val="Heading3"/>
      </w:pPr>
      <w:bookmarkStart w:id="246" w:name="_Toc107157498"/>
      <w:r w:rsidRPr="00B85D62">
        <w:t>Summary</w:t>
      </w:r>
      <w:r w:rsidR="000731D6" w:rsidRPr="00B85D62">
        <w:t xml:space="preserve"> of Results and Study limitations</w:t>
      </w:r>
      <w:bookmarkEnd w:id="246"/>
    </w:p>
    <w:p w14:paraId="1D36C8C5" w14:textId="72E4CD95" w:rsidR="00B85D62" w:rsidRPr="00B85D62" w:rsidRDefault="45F12F84" w:rsidP="0066232B">
      <w:pPr>
        <w:rPr>
          <w:rFonts w:eastAsia="Calibri" w:cs="Arial"/>
          <w:color w:val="000000" w:themeColor="text1"/>
        </w:rPr>
      </w:pPr>
      <w:r w:rsidRPr="00B85D62">
        <w:rPr>
          <w:rFonts w:eastAsia="Calibri" w:cs="Arial"/>
          <w:color w:val="000000" w:themeColor="text1"/>
        </w:rPr>
        <w:t>The cascade protocols diagnosing the most relatives and achieving the highest net health gains were those where index</w:t>
      </w:r>
      <w:r w:rsidR="00C0733C" w:rsidRPr="00B85D62">
        <w:rPr>
          <w:rFonts w:eastAsia="Calibri" w:cs="Arial"/>
          <w:color w:val="000000" w:themeColor="text1"/>
        </w:rPr>
        <w:t xml:space="preserve"> cas</w:t>
      </w:r>
      <w:r w:rsidRPr="00B85D62">
        <w:rPr>
          <w:rFonts w:eastAsia="Calibri" w:cs="Arial"/>
          <w:color w:val="000000" w:themeColor="text1"/>
        </w:rPr>
        <w:t>es were genetic test</w:t>
      </w:r>
      <w:r w:rsidR="00C0733C" w:rsidRPr="00B85D62">
        <w:rPr>
          <w:rFonts w:eastAsia="Calibri" w:cs="Arial"/>
          <w:color w:val="000000" w:themeColor="text1"/>
        </w:rPr>
        <w:t>ed</w:t>
      </w:r>
      <w:r w:rsidRPr="00B85D62">
        <w:rPr>
          <w:rFonts w:eastAsia="Calibri" w:cs="Arial"/>
          <w:color w:val="000000" w:themeColor="text1"/>
        </w:rPr>
        <w:t xml:space="preserve"> if their clinical scores were those currently used by the Wales and Wessex FH services (i.e. WDLCN </w:t>
      </w:r>
      <w:r w:rsidR="00B85D62" w:rsidRPr="00B85D62">
        <w:rPr>
          <w:rFonts w:eastAsia="Calibri" w:cs="Arial"/>
          <w:color w:val="00B0F0"/>
        </w:rPr>
        <w:t>≥</w:t>
      </w:r>
      <w:r w:rsidR="00B85D62" w:rsidRPr="00B85D62">
        <w:rPr>
          <w:rFonts w:eastAsia="Calibri" w:cs="Arial"/>
          <w:color w:val="00B0F0"/>
        </w:rPr>
        <w:t> </w:t>
      </w:r>
      <w:r w:rsidRPr="00B85D62">
        <w:rPr>
          <w:rFonts w:eastAsia="Calibri" w:cs="Arial"/>
          <w:color w:val="000000" w:themeColor="text1"/>
        </w:rPr>
        <w:t xml:space="preserve">6 or Simon-Broome possible or definite </w:t>
      </w:r>
      <w:r w:rsidR="00C0733C" w:rsidRPr="00B85D62">
        <w:rPr>
          <w:rFonts w:eastAsia="Calibri" w:cs="Arial"/>
          <w:color w:val="000000" w:themeColor="text1"/>
        </w:rPr>
        <w:t>criteria</w:t>
      </w:r>
      <w:r w:rsidRPr="00B85D62">
        <w:rPr>
          <w:rFonts w:eastAsia="Calibri" w:cs="Arial"/>
          <w:color w:val="000000" w:themeColor="text1"/>
        </w:rPr>
        <w:t>)</w:t>
      </w:r>
      <w:r w:rsidR="00FB28B4" w:rsidRPr="00B85D62">
        <w:rPr>
          <w:rFonts w:eastAsia="Calibri" w:cs="Arial"/>
          <w:color w:val="000000" w:themeColor="text1"/>
        </w:rPr>
        <w:t xml:space="preserve"> </w:t>
      </w:r>
      <w:r w:rsidRPr="00B85D62">
        <w:rPr>
          <w:rFonts w:eastAsia="Calibri" w:cs="Arial"/>
          <w:color w:val="000000" w:themeColor="text1"/>
        </w:rPr>
        <w:t xml:space="preserve">and involved direct contact by the FH service of </w:t>
      </w:r>
      <w:r w:rsidR="00B85D62" w:rsidRPr="00B85D62">
        <w:rPr>
          <w:rFonts w:eastAsia="Calibri" w:cs="Arial"/>
          <w:color w:val="00B0F0"/>
        </w:rPr>
        <w:t>1st</w:t>
      </w:r>
      <w:r w:rsidRPr="00B85D62">
        <w:rPr>
          <w:rFonts w:eastAsia="Calibri" w:cs="Arial"/>
          <w:color w:val="000000" w:themeColor="text1"/>
        </w:rPr>
        <w:t xml:space="preserve"> and </w:t>
      </w:r>
      <w:r w:rsidR="00B85D62" w:rsidRPr="00B85D62">
        <w:rPr>
          <w:rFonts w:eastAsia="Calibri" w:cs="Arial"/>
          <w:color w:val="00B0F0"/>
        </w:rPr>
        <w:t>2nd</w:t>
      </w:r>
      <w:r w:rsidRPr="00B85D62">
        <w:rPr>
          <w:rFonts w:eastAsia="Calibri" w:cs="Arial"/>
          <w:color w:val="000000" w:themeColor="text1"/>
        </w:rPr>
        <w:t xml:space="preserve"> degree relatives simultaneously.</w:t>
      </w:r>
    </w:p>
    <w:p w14:paraId="57FEEF3C" w14:textId="50379728" w:rsidR="00B85D62" w:rsidRPr="00B85D62" w:rsidRDefault="195142BD" w:rsidP="0066232B">
      <w:pPr>
        <w:rPr>
          <w:rFonts w:eastAsia="Calibri" w:cs="Arial"/>
          <w:color w:val="000000" w:themeColor="text1"/>
        </w:rPr>
      </w:pPr>
      <w:r w:rsidRPr="00B85D62">
        <w:rPr>
          <w:rFonts w:eastAsia="Calibri" w:cs="Arial"/>
          <w:color w:val="000000" w:themeColor="text1"/>
        </w:rPr>
        <w:t>The cascade protocol with the highest net health gain</w:t>
      </w:r>
      <w:r w:rsidR="00B85D62" w:rsidRPr="00B85D62">
        <w:rPr>
          <w:rFonts w:eastAsia="Calibri" w:cs="Arial"/>
          <w:color w:val="00B0F0"/>
        </w:rPr>
        <w:t xml:space="preserve"> – </w:t>
      </w:r>
      <w:r w:rsidRPr="00B85D62">
        <w:rPr>
          <w:rFonts w:eastAsia="Calibri" w:cs="Arial"/>
          <w:color w:val="000000" w:themeColor="text1"/>
        </w:rPr>
        <w:t>the base-case cost-effective protocol</w:t>
      </w:r>
      <w:r w:rsidR="00B85D62" w:rsidRPr="00B85D62">
        <w:rPr>
          <w:rFonts w:eastAsia="Calibri" w:cs="Arial"/>
          <w:color w:val="00B0F0"/>
        </w:rPr>
        <w:t xml:space="preserve"> – </w:t>
      </w:r>
      <w:r w:rsidRPr="00B85D62">
        <w:rPr>
          <w:rFonts w:eastAsia="Calibri" w:cs="Arial"/>
          <w:color w:val="000000" w:themeColor="text1"/>
        </w:rPr>
        <w:t xml:space="preserve">involved diagnosing relatives according to their age, whether on LLT, PT-LDLC and where this information provided insufficient diagnostic certainty, conducting genetic testing (see </w:t>
      </w:r>
      <w:r w:rsidR="00B85D62" w:rsidRPr="00B85D62">
        <w:rPr>
          <w:rFonts w:eastAsia="Calibri" w:cs="Arial"/>
          <w:i/>
          <w:color w:val="FF0000"/>
        </w:rPr>
        <w:t>T</w:t>
      </w:r>
      <w:r w:rsidR="00B85D62" w:rsidRPr="00B85D62">
        <w:rPr>
          <w:rFonts w:eastAsia="Calibri" w:cs="Arial"/>
          <w:i/>
          <w:color w:val="FF0000"/>
        </w:rPr>
        <w:t>able</w:t>
      </w:r>
      <w:r w:rsidR="00B85D62" w:rsidRPr="00B85D62">
        <w:rPr>
          <w:rFonts w:eastAsia="Calibri" w:cs="Arial"/>
          <w:i/>
          <w:color w:val="FF0000"/>
        </w:rPr>
        <w:t xml:space="preserve"> </w:t>
      </w:r>
      <w:r w:rsidR="00B85D62" w:rsidRPr="00B85D62">
        <w:rPr>
          <w:rFonts w:eastAsia="Calibri" w:cs="Arial"/>
          <w:i/>
          <w:color w:val="FF0000"/>
        </w:rPr>
        <w:t>20</w:t>
      </w:r>
      <w:r w:rsidRPr="00B85D62">
        <w:rPr>
          <w:rFonts w:eastAsia="Calibri" w:cs="Arial"/>
          <w:color w:val="000000" w:themeColor="text1"/>
        </w:rPr>
        <w:t xml:space="preserve">). </w:t>
      </w:r>
      <w:r w:rsidRPr="00B85D62">
        <w:rPr>
          <w:rFonts w:eastAsia="Calibri" w:cs="Arial"/>
          <w:color w:val="000000" w:themeColor="text1"/>
          <w:highlight w:val="magenta"/>
        </w:rPr>
        <w:t>Compared to</w:t>
      </w:r>
      <w:r w:rsidRPr="00B85D62">
        <w:rPr>
          <w:rFonts w:eastAsia="Calibri" w:cs="Arial"/>
          <w:color w:val="000000" w:themeColor="text1"/>
        </w:rPr>
        <w:t xml:space="preserve"> not conducting cascade </w:t>
      </w:r>
      <w:r w:rsidR="00336A98" w:rsidRPr="00B85D62">
        <w:rPr>
          <w:rFonts w:eastAsia="Calibri" w:cs="Arial"/>
          <w:color w:val="000000" w:themeColor="text1"/>
        </w:rPr>
        <w:t>test</w:t>
      </w:r>
      <w:r w:rsidRPr="00B85D62">
        <w:rPr>
          <w:rFonts w:eastAsia="Calibri" w:cs="Arial"/>
          <w:color w:val="000000" w:themeColor="text1"/>
        </w:rPr>
        <w:t xml:space="preserve">ing, and at the national level, our model predicts that the base-case cost-effective protocol diagnoses 1,175 (52%) </w:t>
      </w:r>
      <w:r w:rsidR="66D97F9A" w:rsidRPr="00B85D62">
        <w:rPr>
          <w:rFonts w:eastAsia="Calibri" w:cs="Arial"/>
          <w:color w:val="000000" w:themeColor="text1"/>
        </w:rPr>
        <w:t>FH</w:t>
      </w:r>
      <w:r w:rsidRPr="00B85D62">
        <w:rPr>
          <w:rFonts w:eastAsia="Calibri" w:cs="Arial"/>
          <w:color w:val="000000" w:themeColor="text1"/>
        </w:rPr>
        <w:t xml:space="preserve"> relatives at a diagnosis cost of £2.06 million and represents a net health gain of 387 QALYs, assuming that 3229 index families could be assessed per year in the UK.</w:t>
      </w:r>
    </w:p>
    <w:p w14:paraId="51586155" w14:textId="126A1901" w:rsidR="00B85D62" w:rsidRPr="00B85D62" w:rsidRDefault="45F12F84" w:rsidP="0066232B">
      <w:pPr>
        <w:rPr>
          <w:rFonts w:eastAsia="Calibri" w:cs="Arial"/>
          <w:color w:val="000000" w:themeColor="text1"/>
        </w:rPr>
      </w:pPr>
      <w:r w:rsidRPr="00B85D62">
        <w:rPr>
          <w:rFonts w:eastAsia="Calibri" w:cs="Arial"/>
          <w:color w:val="000000" w:themeColor="text1"/>
        </w:rPr>
        <w:t>The cost-effective protocol using the same testing strategy for all relatives regardless of age – the harmonised cost-effective protocol</w:t>
      </w:r>
      <w:r w:rsidR="00B85D62" w:rsidRPr="00B85D62">
        <w:rPr>
          <w:rFonts w:eastAsia="Calibri" w:cs="Arial"/>
          <w:color w:val="00B0F0"/>
        </w:rPr>
        <w:t xml:space="preserve"> – </w:t>
      </w:r>
      <w:r w:rsidRPr="00B85D62">
        <w:rPr>
          <w:rFonts w:eastAsia="Calibri" w:cs="Arial"/>
          <w:color w:val="000000" w:themeColor="text1"/>
        </w:rPr>
        <w:t>achieves similar outcomes and may be preferable if additional nurse time (unaccounted for here) is required to implement a testing approach that differs according to relatives</w:t>
      </w:r>
      <w:r w:rsidR="00B85D62" w:rsidRPr="00B85D62">
        <w:rPr>
          <w:rFonts w:eastAsia="Calibri" w:cs="Arial"/>
          <w:color w:val="000000" w:themeColor="text1"/>
        </w:rPr>
        <w:t>’</w:t>
      </w:r>
      <w:r w:rsidRPr="00B85D62">
        <w:rPr>
          <w:rFonts w:eastAsia="Calibri" w:cs="Arial"/>
          <w:color w:val="000000" w:themeColor="text1"/>
        </w:rPr>
        <w:t xml:space="preserve"> age.</w:t>
      </w:r>
    </w:p>
    <w:p w14:paraId="3B715A42" w14:textId="1006AAB0" w:rsidR="00B85D62" w:rsidRPr="00B85D62" w:rsidRDefault="195142BD" w:rsidP="0066232B">
      <w:pPr>
        <w:rPr>
          <w:rFonts w:eastAsia="Calibri" w:cs="Arial"/>
          <w:color w:val="000000" w:themeColor="text1"/>
        </w:rPr>
      </w:pPr>
      <w:r w:rsidRPr="00B85D62">
        <w:rPr>
          <w:rFonts w:eastAsia="Calibri" w:cs="Arial"/>
          <w:color w:val="000000" w:themeColor="text1"/>
        </w:rPr>
        <w:t xml:space="preserve">The cost-effective protocols </w:t>
      </w:r>
      <w:r w:rsidRPr="00B85D62">
        <w:rPr>
          <w:rFonts w:eastAsia="Calibri" w:cs="Arial"/>
          <w:color w:val="000000" w:themeColor="text1"/>
          <w:highlight w:val="magenta"/>
        </w:rPr>
        <w:t>comprise</w:t>
      </w:r>
      <w:r w:rsidRPr="00B85D62">
        <w:rPr>
          <w:rFonts w:eastAsia="Calibri" w:cs="Arial"/>
          <w:color w:val="000000" w:themeColor="text1"/>
        </w:rPr>
        <w:t xml:space="preserve"> testing strategies that misdiagnose some relatives. Within our model, the </w:t>
      </w:r>
      <w:r w:rsidR="77E2C70F" w:rsidRPr="00B85D62">
        <w:rPr>
          <w:rFonts w:eastAsia="Calibri" w:cs="Arial"/>
          <w:color w:val="000000" w:themeColor="text1"/>
        </w:rPr>
        <w:t>FH</w:t>
      </w:r>
      <w:r w:rsidRPr="00B85D62">
        <w:rPr>
          <w:rFonts w:eastAsia="Calibri" w:cs="Arial"/>
          <w:color w:val="000000" w:themeColor="text1"/>
        </w:rPr>
        <w:t xml:space="preserve"> relatives who are incorrectly diagnosed as not having </w:t>
      </w:r>
      <w:r w:rsidR="39204CB0" w:rsidRPr="00B85D62">
        <w:rPr>
          <w:rFonts w:eastAsia="Calibri" w:cs="Arial"/>
          <w:color w:val="000000" w:themeColor="text1"/>
        </w:rPr>
        <w:t>FH</w:t>
      </w:r>
      <w:r w:rsidRPr="00B85D62">
        <w:rPr>
          <w:rFonts w:eastAsia="Calibri" w:cs="Arial"/>
          <w:color w:val="000000" w:themeColor="text1"/>
        </w:rPr>
        <w:t xml:space="preserve"> are those with lower PT-LDL-C, hence are at lower </w:t>
      </w:r>
      <w:r w:rsidR="00C0733C" w:rsidRPr="00B85D62">
        <w:rPr>
          <w:rFonts w:eastAsia="Calibri" w:cs="Arial"/>
          <w:color w:val="000000" w:themeColor="text1"/>
        </w:rPr>
        <w:t>cardiovascular</w:t>
      </w:r>
      <w:r w:rsidRPr="00B85D62">
        <w:rPr>
          <w:rFonts w:eastAsia="Calibri" w:cs="Arial"/>
          <w:color w:val="000000" w:themeColor="text1"/>
        </w:rPr>
        <w:t xml:space="preserve"> risk and have smaller benefits from diagnosis (see </w:t>
      </w:r>
      <w:r w:rsidR="7A8DE375" w:rsidRPr="00B85D62">
        <w:rPr>
          <w:rFonts w:eastAsia="Calibri" w:cs="Arial"/>
          <w:color w:val="000000" w:themeColor="text1"/>
        </w:rPr>
        <w:t xml:space="preserve">section </w:t>
      </w:r>
      <w:r w:rsidR="00312AA2" w:rsidRPr="00B85D62">
        <w:rPr>
          <w:rFonts w:eastAsia="Calibri" w:cs="Arial"/>
          <w:color w:val="000000" w:themeColor="text1"/>
        </w:rPr>
        <w:t>8</w:t>
      </w:r>
      <w:r w:rsidR="7A8DE375" w:rsidRPr="00B85D62">
        <w:rPr>
          <w:rFonts w:eastAsia="Calibri" w:cs="Arial"/>
          <w:color w:val="000000" w:themeColor="text1"/>
        </w:rPr>
        <w:t>.4</w:t>
      </w:r>
      <w:r w:rsidRPr="00B85D62">
        <w:rPr>
          <w:rFonts w:eastAsia="Calibri" w:cs="Arial"/>
          <w:color w:val="000000" w:themeColor="text1"/>
        </w:rPr>
        <w:t xml:space="preserve">). We accounted for misdiagnosis in </w:t>
      </w:r>
      <w:r w:rsidR="00B85D62" w:rsidRPr="00B85D62">
        <w:rPr>
          <w:rFonts w:eastAsia="Calibri" w:cs="Arial"/>
          <w:color w:val="00B0F0"/>
        </w:rPr>
        <w:t>1st</w:t>
      </w:r>
      <w:r w:rsidRPr="00B85D62">
        <w:rPr>
          <w:rFonts w:eastAsia="Calibri" w:cs="Arial"/>
          <w:color w:val="000000" w:themeColor="text1"/>
        </w:rPr>
        <w:t xml:space="preserve"> and </w:t>
      </w:r>
      <w:r w:rsidR="00B85D62" w:rsidRPr="00B85D62">
        <w:rPr>
          <w:rFonts w:eastAsia="Calibri" w:cs="Arial"/>
          <w:color w:val="00B0F0"/>
        </w:rPr>
        <w:t>2nd</w:t>
      </w:r>
      <w:r w:rsidRPr="00B85D62">
        <w:rPr>
          <w:rFonts w:eastAsia="Calibri" w:cs="Arial"/>
          <w:color w:val="000000" w:themeColor="text1"/>
        </w:rPr>
        <w:t xml:space="preserve"> degree relatives, but we were unable to account for consequences in </w:t>
      </w:r>
      <w:r w:rsidR="00312AA2" w:rsidRPr="00B85D62">
        <w:rPr>
          <w:rFonts w:eastAsia="Calibri" w:cs="Arial"/>
          <w:color w:val="000000" w:themeColor="text1"/>
        </w:rPr>
        <w:t>more</w:t>
      </w:r>
      <w:r w:rsidRPr="00B85D62">
        <w:rPr>
          <w:rFonts w:eastAsia="Calibri" w:cs="Arial"/>
          <w:color w:val="000000" w:themeColor="text1"/>
        </w:rPr>
        <w:t xml:space="preserve"> distan</w:t>
      </w:r>
      <w:r w:rsidR="00312AA2" w:rsidRPr="00B85D62">
        <w:rPr>
          <w:rFonts w:eastAsia="Calibri" w:cs="Arial"/>
          <w:color w:val="000000" w:themeColor="text1"/>
        </w:rPr>
        <w:t>t relatives (from index case)</w:t>
      </w:r>
      <w:r w:rsidRPr="00B85D62">
        <w:rPr>
          <w:rFonts w:eastAsia="Calibri" w:cs="Arial"/>
          <w:color w:val="000000" w:themeColor="text1"/>
        </w:rPr>
        <w:t>.</w:t>
      </w:r>
    </w:p>
    <w:p w14:paraId="55476714" w14:textId="534D8213" w:rsidR="00B85D62" w:rsidRPr="00B85D62" w:rsidRDefault="195142BD" w:rsidP="0066232B">
      <w:pPr>
        <w:rPr>
          <w:rFonts w:eastAsia="Calibri" w:cs="Arial"/>
          <w:color w:val="000000" w:themeColor="text1"/>
        </w:rPr>
      </w:pPr>
      <w:r w:rsidRPr="00B85D62">
        <w:rPr>
          <w:rFonts w:eastAsia="Calibri" w:cs="Arial"/>
          <w:color w:val="000000" w:themeColor="text1"/>
        </w:rPr>
        <w:t xml:space="preserve">Our threshold analysis suggested that </w:t>
      </w:r>
      <w:r w:rsidR="00C0733C" w:rsidRPr="00B85D62">
        <w:rPr>
          <w:rFonts w:eastAsia="Calibri" w:cs="Arial"/>
          <w:color w:val="000000" w:themeColor="text1"/>
        </w:rPr>
        <w:t xml:space="preserve">genetic </w:t>
      </w:r>
      <w:r w:rsidRPr="00B85D62">
        <w:rPr>
          <w:rFonts w:eastAsia="Calibri" w:cs="Arial"/>
          <w:color w:val="000000" w:themeColor="text1"/>
        </w:rPr>
        <w:t>testing all relatives has the highest net health gain if the cost of the relatives</w:t>
      </w:r>
      <w:r w:rsidR="00B85D62" w:rsidRPr="00B85D62">
        <w:rPr>
          <w:rFonts w:eastAsia="Calibri" w:cs="Arial"/>
          <w:color w:val="000000" w:themeColor="text1"/>
        </w:rPr>
        <w:t>’</w:t>
      </w:r>
      <w:r w:rsidRPr="00B85D62">
        <w:rPr>
          <w:rFonts w:eastAsia="Calibri" w:cs="Arial"/>
          <w:color w:val="000000" w:themeColor="text1"/>
        </w:rPr>
        <w:t xml:space="preserve"> genetic test is a fraction of the cost at the time of the analysis. However, we did not consider that knowing the true disease status of all tested relatives and the genetic mutation may have an inherent value, not only for patients and clinicians but also to inform future research, which in turn may have benefits to patients. Conversely, we did not consider any disbenefits to patients from having confirmed </w:t>
      </w:r>
      <w:r w:rsidR="236C2B4C" w:rsidRPr="00B85D62">
        <w:rPr>
          <w:rFonts w:eastAsia="Calibri" w:cs="Arial"/>
          <w:color w:val="000000" w:themeColor="text1"/>
        </w:rPr>
        <w:t>FH</w:t>
      </w:r>
      <w:r w:rsidRPr="00B85D62">
        <w:rPr>
          <w:rFonts w:eastAsia="Calibri" w:cs="Arial"/>
          <w:color w:val="000000" w:themeColor="text1"/>
        </w:rPr>
        <w:t>.</w:t>
      </w:r>
    </w:p>
    <w:p w14:paraId="4FB34B03" w14:textId="6CA4AFD5" w:rsidR="00B85D62" w:rsidRPr="00B85D62" w:rsidRDefault="45F12F84" w:rsidP="0066232B">
      <w:pPr>
        <w:rPr>
          <w:rFonts w:eastAsia="Calibri" w:cs="Arial"/>
          <w:color w:val="000000" w:themeColor="text1"/>
        </w:rPr>
      </w:pPr>
      <w:r w:rsidRPr="00B85D62">
        <w:rPr>
          <w:rFonts w:eastAsia="Calibri" w:cs="Arial"/>
          <w:color w:val="000000" w:themeColor="text1"/>
        </w:rPr>
        <w:t xml:space="preserve">The same yield at lower diagnosis costs may be achievable if the </w:t>
      </w:r>
      <w:r w:rsidR="00B85D62" w:rsidRPr="00B85D62">
        <w:rPr>
          <w:rFonts w:eastAsia="Calibri" w:cs="Arial"/>
          <w:color w:val="00B0F0"/>
        </w:rPr>
        <w:t>2nd</w:t>
      </w:r>
      <w:r w:rsidRPr="00B85D62">
        <w:rPr>
          <w:rFonts w:eastAsia="Calibri" w:cs="Arial"/>
          <w:color w:val="000000" w:themeColor="text1"/>
        </w:rPr>
        <w:t xml:space="preserve"> degree relatives are only contacted if their </w:t>
      </w:r>
      <w:r w:rsidR="00B85D62" w:rsidRPr="00B85D62">
        <w:rPr>
          <w:rFonts w:eastAsia="Calibri" w:cs="Arial"/>
          <w:color w:val="00B0F0"/>
        </w:rPr>
        <w:t>1st</w:t>
      </w:r>
      <w:r w:rsidRPr="00B85D62">
        <w:rPr>
          <w:rFonts w:eastAsia="Calibri" w:cs="Arial"/>
          <w:color w:val="000000" w:themeColor="text1"/>
        </w:rPr>
        <w:t xml:space="preserve"> degree relative was diagnosed or did not came forward for testing. </w:t>
      </w:r>
      <w:r w:rsidR="00C0733C" w:rsidRPr="00B85D62">
        <w:rPr>
          <w:rFonts w:eastAsia="Calibri" w:cs="Arial"/>
          <w:color w:val="000000" w:themeColor="text1"/>
        </w:rPr>
        <w:t xml:space="preserve">Testing </w:t>
      </w:r>
      <w:r w:rsidR="00B85D62" w:rsidRPr="00B85D62">
        <w:rPr>
          <w:rFonts w:eastAsia="Calibri" w:cs="Arial"/>
          <w:color w:val="00B0F0"/>
        </w:rPr>
        <w:t>2nd</w:t>
      </w:r>
      <w:r w:rsidR="00C0733C" w:rsidRPr="00B85D62">
        <w:rPr>
          <w:rFonts w:eastAsia="Calibri" w:cs="Arial"/>
          <w:color w:val="000000" w:themeColor="text1"/>
        </w:rPr>
        <w:t xml:space="preserve"> degree relatives, even if </w:t>
      </w:r>
      <w:r w:rsidR="00B85D62" w:rsidRPr="00B85D62">
        <w:rPr>
          <w:rFonts w:eastAsia="Calibri" w:cs="Arial"/>
          <w:color w:val="00B0F0"/>
        </w:rPr>
        <w:t>1st</w:t>
      </w:r>
      <w:r w:rsidR="00C0733C" w:rsidRPr="00B85D62">
        <w:rPr>
          <w:rFonts w:eastAsia="Calibri" w:cs="Arial"/>
          <w:color w:val="000000" w:themeColor="text1"/>
        </w:rPr>
        <w:t xml:space="preserve"> degree not available, my give rise to </w:t>
      </w:r>
      <w:r w:rsidRPr="00B85D62">
        <w:rPr>
          <w:rFonts w:eastAsia="Calibri" w:cs="Arial"/>
          <w:color w:val="000000" w:themeColor="text1"/>
        </w:rPr>
        <w:t xml:space="preserve">ethical concerns </w:t>
      </w:r>
      <w:r w:rsidR="00C0733C" w:rsidRPr="00B85D62">
        <w:rPr>
          <w:rFonts w:eastAsia="Calibri" w:cs="Arial"/>
          <w:color w:val="000000" w:themeColor="text1"/>
        </w:rPr>
        <w:t>by</w:t>
      </w:r>
      <w:r w:rsidRPr="00B85D62">
        <w:rPr>
          <w:rFonts w:eastAsia="Calibri" w:cs="Arial"/>
          <w:color w:val="000000" w:themeColor="text1"/>
        </w:rPr>
        <w:t xml:space="preserve"> inadvertently revealing information on the </w:t>
      </w:r>
      <w:r w:rsidR="00B85D62" w:rsidRPr="00B85D62">
        <w:rPr>
          <w:rFonts w:eastAsia="Calibri" w:cs="Arial"/>
          <w:color w:val="00B0F0"/>
        </w:rPr>
        <w:t>1st</w:t>
      </w:r>
      <w:r w:rsidRPr="00B85D62">
        <w:rPr>
          <w:rFonts w:eastAsia="Calibri" w:cs="Arial"/>
          <w:color w:val="000000" w:themeColor="text1"/>
        </w:rPr>
        <w:t xml:space="preserve"> degree relatives without their consent. If genetic testing is not available, conducting cascade testing with LDL-C achieves a net health gain </w:t>
      </w:r>
      <w:r w:rsidRPr="00B85D62">
        <w:rPr>
          <w:rFonts w:eastAsia="Calibri" w:cs="Arial"/>
          <w:color w:val="000000" w:themeColor="text1"/>
          <w:highlight w:val="magenta"/>
        </w:rPr>
        <w:t>compared to</w:t>
      </w:r>
      <w:r w:rsidRPr="00B85D62">
        <w:rPr>
          <w:rFonts w:eastAsia="Calibri" w:cs="Arial"/>
          <w:color w:val="000000" w:themeColor="text1"/>
        </w:rPr>
        <w:t xml:space="preserve"> not conducting the cascade.</w:t>
      </w:r>
    </w:p>
    <w:p w14:paraId="52FE5244" w14:textId="77777777" w:rsidR="00B85D62" w:rsidRPr="00B85D62" w:rsidRDefault="195142BD" w:rsidP="0066232B">
      <w:pPr>
        <w:rPr>
          <w:rFonts w:eastAsia="Calibri" w:cs="Arial"/>
          <w:color w:val="000000" w:themeColor="text1"/>
        </w:rPr>
      </w:pPr>
      <w:r w:rsidRPr="00B85D62">
        <w:rPr>
          <w:rFonts w:eastAsia="Calibri" w:cs="Arial"/>
          <w:color w:val="000000" w:themeColor="text1"/>
        </w:rPr>
        <w:t xml:space="preserve">A UK joined up service could diagnose more relatives (e.g. 1,553 </w:t>
      </w:r>
      <w:r w:rsidR="3988ABF8" w:rsidRPr="00B85D62">
        <w:rPr>
          <w:rFonts w:eastAsia="Calibri" w:cs="Arial"/>
          <w:color w:val="000000" w:themeColor="text1"/>
        </w:rPr>
        <w:t>FH</w:t>
      </w:r>
      <w:r w:rsidRPr="00B85D62">
        <w:rPr>
          <w:rFonts w:eastAsia="Calibri" w:cs="Arial"/>
          <w:color w:val="000000" w:themeColor="text1"/>
        </w:rPr>
        <w:t xml:space="preserve"> relatives per year in the UK vs 1,175 </w:t>
      </w:r>
      <w:r w:rsidR="3988ABF8" w:rsidRPr="00B85D62">
        <w:rPr>
          <w:rFonts w:eastAsia="Calibri" w:cs="Arial"/>
          <w:color w:val="000000" w:themeColor="text1"/>
        </w:rPr>
        <w:t>FH</w:t>
      </w:r>
      <w:r w:rsidRPr="00B85D62">
        <w:rPr>
          <w:rFonts w:eastAsia="Calibri" w:cs="Arial"/>
          <w:color w:val="000000" w:themeColor="text1"/>
        </w:rPr>
        <w:t xml:space="preserve"> relatives if only in-area relatives can be cascade </w:t>
      </w:r>
      <w:r w:rsidR="00336A98" w:rsidRPr="00B85D62">
        <w:rPr>
          <w:rFonts w:eastAsia="Calibri" w:cs="Arial"/>
          <w:color w:val="000000" w:themeColor="text1"/>
        </w:rPr>
        <w:t>test</w:t>
      </w:r>
      <w:r w:rsidRPr="00B85D62">
        <w:rPr>
          <w:rFonts w:eastAsia="Calibri" w:cs="Arial"/>
          <w:color w:val="000000" w:themeColor="text1"/>
        </w:rPr>
        <w:t>ed), at a cost of £2.72 million.</w:t>
      </w:r>
    </w:p>
    <w:p w14:paraId="5AE92E92" w14:textId="1C7F6937" w:rsidR="45F12F84" w:rsidRPr="00B85D62" w:rsidRDefault="45F12F84" w:rsidP="0066232B">
      <w:pPr>
        <w:rPr>
          <w:rFonts w:eastAsia="Calibri" w:cs="Arial"/>
          <w:color w:val="000000" w:themeColor="text1"/>
        </w:rPr>
      </w:pPr>
      <w:r w:rsidRPr="00B85D62">
        <w:rPr>
          <w:rFonts w:eastAsia="Calibri" w:cs="Arial"/>
          <w:color w:val="000000" w:themeColor="text1"/>
        </w:rPr>
        <w:t xml:space="preserve">The model considers cascade to the </w:t>
      </w:r>
      <w:r w:rsidR="00B85D62" w:rsidRPr="00B85D62">
        <w:rPr>
          <w:rFonts w:eastAsia="Calibri" w:cs="Arial"/>
          <w:color w:val="00B0F0"/>
        </w:rPr>
        <w:t>1st</w:t>
      </w:r>
      <w:r w:rsidRPr="00B85D62">
        <w:rPr>
          <w:rFonts w:eastAsia="Calibri" w:cs="Arial"/>
          <w:color w:val="000000" w:themeColor="text1"/>
        </w:rPr>
        <w:t xml:space="preserve"> and </w:t>
      </w:r>
      <w:r w:rsidR="00B85D62" w:rsidRPr="00B85D62">
        <w:rPr>
          <w:rFonts w:eastAsia="Calibri" w:cs="Arial"/>
          <w:color w:val="00B0F0"/>
        </w:rPr>
        <w:t>2nd</w:t>
      </w:r>
      <w:r w:rsidRPr="00B85D62">
        <w:rPr>
          <w:rFonts w:eastAsia="Calibri" w:cs="Arial"/>
          <w:color w:val="000000" w:themeColor="text1"/>
        </w:rPr>
        <w:t xml:space="preserve"> degree relatives</w:t>
      </w:r>
      <w:r w:rsidR="00B85D62" w:rsidRPr="00B85D62">
        <w:rPr>
          <w:rFonts w:eastAsia="Calibri" w:cs="Arial"/>
          <w:color w:val="00B0F0"/>
        </w:rPr>
        <w:t xml:space="preserve">. </w:t>
      </w:r>
      <w:r w:rsidR="00B85D62" w:rsidRPr="00B85D62">
        <w:rPr>
          <w:rFonts w:eastAsia="Calibri" w:cs="Arial"/>
          <w:color w:val="00B0F0"/>
        </w:rPr>
        <w:t>Owing to</w:t>
      </w:r>
      <w:r w:rsidRPr="00B85D62">
        <w:rPr>
          <w:rFonts w:eastAsia="Calibri" w:cs="Arial"/>
          <w:color w:val="000000" w:themeColor="text1"/>
        </w:rPr>
        <w:t xml:space="preserve"> the lack of information in the PASS </w:t>
      </w:r>
      <w:r w:rsidRPr="00B85D62">
        <w:rPr>
          <w:rFonts w:eastAsia="Calibri" w:cs="Arial"/>
          <w:color w:val="000000" w:themeColor="text1"/>
          <w:highlight w:val="magenta"/>
        </w:rPr>
        <w:t>data</w:t>
      </w:r>
      <w:r w:rsidRPr="00B85D62">
        <w:rPr>
          <w:rFonts w:eastAsia="Calibri" w:cs="Arial"/>
          <w:color w:val="000000" w:themeColor="text1"/>
        </w:rPr>
        <w:t xml:space="preserve"> about the degree of kinship to the index for no</w:t>
      </w:r>
      <w:r w:rsidR="00B85D62" w:rsidRPr="00B85D62">
        <w:rPr>
          <w:rFonts w:eastAsia="Calibri" w:cs="Arial"/>
          <w:color w:val="00B0F0"/>
        </w:rPr>
        <w:t>n</w:t>
      </w:r>
      <w:r w:rsidR="00B85D62" w:rsidRPr="00B85D62">
        <w:rPr>
          <w:rFonts w:eastAsia="Calibri" w:cs="Arial"/>
          <w:color w:val="00B0F0"/>
        </w:rPr>
        <w:t>-</w:t>
      </w:r>
      <w:r w:rsidR="00B85D62" w:rsidRPr="00B85D62">
        <w:rPr>
          <w:rFonts w:eastAsia="Calibri" w:cs="Arial"/>
          <w:color w:val="00B0F0"/>
        </w:rPr>
        <w:t>1st</w:t>
      </w:r>
      <w:r w:rsidRPr="00B85D62">
        <w:rPr>
          <w:rFonts w:eastAsia="Calibri" w:cs="Arial"/>
          <w:color w:val="000000" w:themeColor="text1"/>
        </w:rPr>
        <w:t xml:space="preserve"> degree relatives, we assumed all no</w:t>
      </w:r>
      <w:r w:rsidR="00B85D62" w:rsidRPr="00B85D62">
        <w:rPr>
          <w:rFonts w:eastAsia="Calibri" w:cs="Arial"/>
          <w:color w:val="00B0F0"/>
        </w:rPr>
        <w:t>n</w:t>
      </w:r>
      <w:r w:rsidR="00B85D62" w:rsidRPr="00B85D62">
        <w:rPr>
          <w:rFonts w:eastAsia="Calibri" w:cs="Arial"/>
          <w:color w:val="00B0F0"/>
        </w:rPr>
        <w:t>-</w:t>
      </w:r>
      <w:r w:rsidR="00B85D62" w:rsidRPr="00B85D62">
        <w:rPr>
          <w:rFonts w:eastAsia="Calibri" w:cs="Arial"/>
          <w:color w:val="00B0F0"/>
        </w:rPr>
        <w:t>1st</w:t>
      </w:r>
      <w:r w:rsidRPr="00B85D62">
        <w:rPr>
          <w:rFonts w:eastAsia="Calibri" w:cs="Arial"/>
          <w:color w:val="000000" w:themeColor="text1"/>
        </w:rPr>
        <w:t xml:space="preserve"> degree relatives were </w:t>
      </w:r>
      <w:r w:rsidR="00B85D62" w:rsidRPr="00B85D62">
        <w:rPr>
          <w:rFonts w:eastAsia="Calibri" w:cs="Arial"/>
          <w:color w:val="00B0F0"/>
        </w:rPr>
        <w:t>2nd</w:t>
      </w:r>
      <w:r w:rsidRPr="00B85D62">
        <w:rPr>
          <w:rFonts w:eastAsia="Calibri" w:cs="Arial"/>
          <w:color w:val="000000" w:themeColor="text1"/>
        </w:rPr>
        <w:t xml:space="preserve"> degree relatives and did not explicitly consider cascade protocols contacting </w:t>
      </w:r>
      <w:r w:rsidR="00B85D62" w:rsidRPr="00B85D62">
        <w:rPr>
          <w:rFonts w:eastAsia="Calibri" w:cs="Arial"/>
          <w:color w:val="00B0F0"/>
        </w:rPr>
        <w:t>≥</w:t>
      </w:r>
      <w:r w:rsidR="00B85D62" w:rsidRPr="00B85D62">
        <w:rPr>
          <w:rFonts w:eastAsia="Calibri" w:cs="Arial"/>
          <w:color w:val="00B0F0"/>
        </w:rPr>
        <w:t> </w:t>
      </w:r>
      <w:r w:rsidR="00B85D62" w:rsidRPr="00B85D62">
        <w:rPr>
          <w:rFonts w:eastAsia="Calibri" w:cs="Arial"/>
          <w:color w:val="00B0F0"/>
        </w:rPr>
        <w:t>3rd</w:t>
      </w:r>
      <w:r w:rsidRPr="00B85D62">
        <w:rPr>
          <w:rFonts w:eastAsia="Calibri" w:cs="Arial"/>
          <w:color w:val="000000" w:themeColor="text1"/>
        </w:rPr>
        <w:t xml:space="preserve"> degree relatives. The implication is that our model cannot inform the cost-effectiveness of cascade protocols beyond the </w:t>
      </w:r>
      <w:r w:rsidR="00B85D62" w:rsidRPr="00B85D62">
        <w:rPr>
          <w:rFonts w:eastAsia="Calibri" w:cs="Arial"/>
          <w:color w:val="00B0F0"/>
        </w:rPr>
        <w:t>2nd</w:t>
      </w:r>
      <w:r w:rsidRPr="00B85D62">
        <w:rPr>
          <w:rFonts w:eastAsia="Calibri" w:cs="Arial"/>
          <w:color w:val="000000" w:themeColor="text1"/>
        </w:rPr>
        <w:t xml:space="preserve"> degree relatives.</w:t>
      </w:r>
    </w:p>
    <w:p w14:paraId="0E9E0B2D" w14:textId="737F05DF" w:rsidR="00B85D62" w:rsidRPr="00B85D62" w:rsidRDefault="45F12F84" w:rsidP="2C767C69">
      <w:pPr>
        <w:rPr>
          <w:rFonts w:eastAsia="Calibri" w:cs="Arial"/>
          <w:color w:val="000000" w:themeColor="text1"/>
        </w:rPr>
      </w:pPr>
      <w:r w:rsidRPr="00B85D62">
        <w:rPr>
          <w:rFonts w:eastAsia="Calibri" w:cs="Arial"/>
          <w:color w:val="000000" w:themeColor="text1"/>
        </w:rPr>
        <w:t xml:space="preserve">There are a few remaining uncertainties that, despite our extensive scenario analysis, we were unable to explore fully. </w:t>
      </w:r>
      <w:r w:rsidR="00291BEC" w:rsidRPr="00B85D62">
        <w:rPr>
          <w:rFonts w:eastAsia="Calibri" w:cs="Arial"/>
          <w:color w:val="000000" w:themeColor="text1"/>
        </w:rPr>
        <w:t>There are several assumptions on</w:t>
      </w:r>
      <w:r w:rsidRPr="00B85D62">
        <w:rPr>
          <w:rFonts w:eastAsia="Calibri" w:cs="Arial"/>
          <w:color w:val="000000" w:themeColor="text1"/>
        </w:rPr>
        <w:t xml:space="preserve"> generalisability</w:t>
      </w:r>
      <w:r w:rsidR="00291BEC" w:rsidRPr="00B85D62">
        <w:rPr>
          <w:rFonts w:eastAsia="Calibri" w:cs="Arial"/>
          <w:color w:val="000000" w:themeColor="text1"/>
        </w:rPr>
        <w:t>: firstly,</w:t>
      </w:r>
      <w:r w:rsidR="006A155D" w:rsidRPr="00B85D62">
        <w:rPr>
          <w:rFonts w:eastAsia="Calibri" w:cs="Arial"/>
          <w:color w:val="000000" w:themeColor="text1"/>
        </w:rPr>
        <w:t xml:space="preserve"> </w:t>
      </w:r>
      <w:r w:rsidRPr="00B85D62">
        <w:rPr>
          <w:rFonts w:eastAsia="Calibri" w:cs="Arial"/>
          <w:color w:val="000000" w:themeColor="text1"/>
        </w:rPr>
        <w:t>distribution of LDL-C from the Dutch cascade programme to the UK popula</w:t>
      </w:r>
      <w:r w:rsidR="00291BEC" w:rsidRPr="00B85D62">
        <w:rPr>
          <w:rFonts w:eastAsia="Calibri" w:cs="Arial"/>
          <w:color w:val="000000" w:themeColor="text1"/>
        </w:rPr>
        <w:t xml:space="preserve">tion of relatives; secondly, </w:t>
      </w:r>
      <w:r w:rsidRPr="00B85D62">
        <w:rPr>
          <w:rFonts w:eastAsia="Calibri" w:cs="Arial"/>
          <w:color w:val="000000" w:themeColor="text1"/>
        </w:rPr>
        <w:t>characteristics of index</w:t>
      </w:r>
      <w:r w:rsidR="00291BEC" w:rsidRPr="00B85D62">
        <w:rPr>
          <w:rFonts w:eastAsia="Calibri" w:cs="Arial"/>
          <w:color w:val="000000" w:themeColor="text1"/>
        </w:rPr>
        <w:t xml:space="preserve"> cas</w:t>
      </w:r>
      <w:r w:rsidRPr="00B85D62">
        <w:rPr>
          <w:rFonts w:eastAsia="Calibri" w:cs="Arial"/>
          <w:color w:val="000000" w:themeColor="text1"/>
        </w:rPr>
        <w:t>es and relatives, as well as the outcomes achieved by the Wessex and Welsh FH services to the UK if similar FH services were implemented across the country. As with any diagnostic test, the cost-effectiveness of the specific WDLCN and LDL-C cut-offs depends on FH prevalence and the distribution of these characteristics in patients with and without FH. Furthermore, the model does not include the relationship between disease severity (e.g. in terms of LDL-C level) in the index</w:t>
      </w:r>
      <w:r w:rsidR="00AE76EC" w:rsidRPr="00B85D62">
        <w:rPr>
          <w:rFonts w:eastAsia="Calibri" w:cs="Arial"/>
          <w:color w:val="000000" w:themeColor="text1"/>
        </w:rPr>
        <w:t xml:space="preserve"> cas</w:t>
      </w:r>
      <w:r w:rsidRPr="00B85D62">
        <w:rPr>
          <w:rFonts w:eastAsia="Calibri" w:cs="Arial"/>
          <w:color w:val="000000" w:themeColor="text1"/>
        </w:rPr>
        <w:t>es and</w:t>
      </w:r>
      <w:r w:rsidR="006A155D" w:rsidRPr="00B85D62">
        <w:rPr>
          <w:rFonts w:eastAsia="Calibri" w:cs="Arial"/>
          <w:color w:val="000000" w:themeColor="text1"/>
        </w:rPr>
        <w:t xml:space="preserve"> </w:t>
      </w:r>
      <w:r w:rsidRPr="00B85D62">
        <w:rPr>
          <w:rFonts w:eastAsia="Calibri" w:cs="Arial"/>
          <w:color w:val="000000" w:themeColor="text1"/>
        </w:rPr>
        <w:t>relatives, although this is likely to be correlated and may make using lower WDLCN cut-offs less cost-effective.</w:t>
      </w:r>
      <w:r w:rsidR="195142BD" w:rsidRPr="00B85D62">
        <w:rPr>
          <w:rFonts w:eastAsia="Calibri" w:cs="Arial"/>
          <w:color w:val="000000" w:themeColor="text1"/>
        </w:rPr>
        <w:t xml:space="preserve">The limitations mostly relate to the available </w:t>
      </w:r>
      <w:r w:rsidR="195142BD" w:rsidRPr="00B85D62">
        <w:rPr>
          <w:rFonts w:eastAsia="Calibri" w:cs="Arial"/>
          <w:color w:val="000000" w:themeColor="text1"/>
          <w:highlight w:val="magenta"/>
        </w:rPr>
        <w:t>data</w:t>
      </w:r>
      <w:r w:rsidR="195142BD" w:rsidRPr="00B85D62">
        <w:rPr>
          <w:rFonts w:eastAsia="Calibri" w:cs="Arial"/>
          <w:color w:val="000000" w:themeColor="text1"/>
        </w:rPr>
        <w:t xml:space="preserve"> to inform the cost-effectiveness model. We were unable to include index selection strategies using lower WDLCN cut-offs, comparing alternative clinical scores, or to consider cascade protocols including </w:t>
      </w:r>
      <w:r w:rsidR="00B85D62" w:rsidRPr="00B85D62">
        <w:rPr>
          <w:rFonts w:eastAsia="Calibri" w:cs="Arial"/>
          <w:color w:val="00B0F0"/>
        </w:rPr>
        <w:t>3rd</w:t>
      </w:r>
      <w:r w:rsidR="195142BD" w:rsidRPr="00B85D62">
        <w:rPr>
          <w:rFonts w:eastAsia="Calibri" w:cs="Arial"/>
          <w:color w:val="000000" w:themeColor="text1"/>
        </w:rPr>
        <w:t xml:space="preserve"> degree relatives and beyond, </w:t>
      </w:r>
      <w:r w:rsidR="195142BD" w:rsidRPr="00B85D62">
        <w:rPr>
          <w:rFonts w:eastAsia="Calibri" w:cs="Arial"/>
          <w:color w:val="000000" w:themeColor="text1"/>
          <w:highlight w:val="magenta"/>
        </w:rPr>
        <w:t>due to</w:t>
      </w:r>
      <w:r w:rsidR="195142BD" w:rsidRPr="00B85D62">
        <w:rPr>
          <w:rFonts w:eastAsia="Calibri" w:cs="Arial"/>
          <w:color w:val="000000" w:themeColor="text1"/>
        </w:rPr>
        <w:t xml:space="preserve"> the limitations of the PASS </w:t>
      </w:r>
      <w:r w:rsidR="195142BD" w:rsidRPr="00B85D62">
        <w:rPr>
          <w:rFonts w:eastAsia="Calibri" w:cs="Arial"/>
          <w:color w:val="000000" w:themeColor="text1"/>
          <w:highlight w:val="magenta"/>
        </w:rPr>
        <w:t>data</w:t>
      </w:r>
      <w:r w:rsidR="195142BD" w:rsidRPr="00B85D62">
        <w:rPr>
          <w:rFonts w:eastAsia="Calibri" w:cs="Arial"/>
          <w:color w:val="000000" w:themeColor="text1"/>
        </w:rPr>
        <w:t xml:space="preserve">, being an administrative </w:t>
      </w:r>
      <w:r w:rsidR="00B85D62" w:rsidRPr="00B85D62">
        <w:rPr>
          <w:rFonts w:eastAsia="Calibri" w:cs="Arial"/>
          <w:color w:val="00B0F0"/>
          <w:highlight w:val="magenta"/>
        </w:rPr>
        <w:t>data</w:t>
      </w:r>
      <w:r w:rsidR="00B85D62" w:rsidRPr="00B85D62">
        <w:rPr>
          <w:rFonts w:eastAsia="Calibri" w:cs="Arial"/>
          <w:color w:val="00B0F0"/>
        </w:rPr>
        <w:t xml:space="preserve"> set</w:t>
      </w:r>
      <w:r w:rsidR="195142BD" w:rsidRPr="00B85D62">
        <w:rPr>
          <w:rFonts w:eastAsia="Calibri" w:cs="Arial"/>
          <w:color w:val="000000" w:themeColor="text1"/>
        </w:rPr>
        <w:t xml:space="preserve"> not designed to inform research. Given the limited </w:t>
      </w:r>
      <w:r w:rsidR="195142BD" w:rsidRPr="00B85D62">
        <w:rPr>
          <w:rFonts w:eastAsia="Calibri" w:cs="Arial"/>
          <w:color w:val="000000" w:themeColor="text1"/>
          <w:highlight w:val="magenta"/>
        </w:rPr>
        <w:t>data</w:t>
      </w:r>
      <w:r w:rsidR="195142BD" w:rsidRPr="00B85D62">
        <w:rPr>
          <w:rFonts w:eastAsia="Calibri" w:cs="Arial"/>
          <w:color w:val="000000" w:themeColor="text1"/>
        </w:rPr>
        <w:t xml:space="preserve"> on lipid levels routinely collected by the Welsh and Wessex services, we requested </w:t>
      </w:r>
      <w:r w:rsidR="195142BD" w:rsidRPr="00B85D62">
        <w:rPr>
          <w:rFonts w:eastAsia="Calibri" w:cs="Arial"/>
          <w:color w:val="000000" w:themeColor="text1"/>
          <w:highlight w:val="magenta"/>
        </w:rPr>
        <w:t>data</w:t>
      </w:r>
      <w:r w:rsidR="195142BD" w:rsidRPr="00B85D62">
        <w:rPr>
          <w:rFonts w:eastAsia="Calibri" w:cs="Arial"/>
          <w:color w:val="000000" w:themeColor="text1"/>
        </w:rPr>
        <w:t xml:space="preserve"> from the Dutch cascade screening programme (although a comparison with the available Welsh and Wessex FH service </w:t>
      </w:r>
      <w:r w:rsidR="195142BD" w:rsidRPr="00B85D62">
        <w:rPr>
          <w:rFonts w:eastAsia="Calibri" w:cs="Arial"/>
          <w:color w:val="000000" w:themeColor="text1"/>
          <w:highlight w:val="magenta"/>
        </w:rPr>
        <w:t>data</w:t>
      </w:r>
      <w:r w:rsidR="195142BD" w:rsidRPr="00B85D62">
        <w:rPr>
          <w:rFonts w:eastAsia="Calibri" w:cs="Arial"/>
          <w:color w:val="000000" w:themeColor="text1"/>
        </w:rPr>
        <w:t xml:space="preserve"> suggested it was generalisable (see</w:t>
      </w:r>
      <w:r w:rsidR="00895586" w:rsidRPr="00B85D62">
        <w:rPr>
          <w:rFonts w:eastAsia="Calibri" w:cs="Arial"/>
          <w:color w:val="000000" w:themeColor="text1"/>
        </w:rPr>
        <w:t xml:space="preserve"> </w:t>
      </w:r>
      <w:r w:rsidR="195142BD" w:rsidRPr="00B85D62">
        <w:rPr>
          <w:rFonts w:eastAsia="Calibri" w:cs="Arial"/>
          <w:i/>
          <w:iCs/>
          <w:color w:val="000000" w:themeColor="text1"/>
        </w:rPr>
        <w:t>Cholesterol levels in relatives</w:t>
      </w:r>
      <w:r w:rsidR="357470EC" w:rsidRPr="00B85D62">
        <w:rPr>
          <w:rFonts w:eastAsia="Calibri" w:cs="Arial"/>
          <w:color w:val="000000" w:themeColor="text1"/>
        </w:rPr>
        <w:t xml:space="preserve"> section of </w:t>
      </w:r>
      <w:r w:rsidR="0070464F" w:rsidRPr="00B85D62">
        <w:rPr>
          <w:rFonts w:eastAsia="Arial" w:cs="Arial"/>
          <w:i/>
          <w:color w:val="000000" w:themeColor="text1"/>
        </w:rPr>
        <w:t xml:space="preserve">Online Supplementary file </w:t>
      </w:r>
      <w:r w:rsidR="00F44085" w:rsidRPr="00B85D62">
        <w:rPr>
          <w:rFonts w:eastAsia="Arial" w:cs="Arial"/>
          <w:i/>
          <w:color w:val="000000" w:themeColor="text1"/>
        </w:rPr>
        <w:t>5</w:t>
      </w:r>
      <w:r w:rsidR="195142BD" w:rsidRPr="00B85D62">
        <w:rPr>
          <w:rFonts w:eastAsia="Calibri" w:cs="Arial"/>
          <w:color w:val="000000" w:themeColor="text1"/>
        </w:rPr>
        <w:t xml:space="preserve">). Our estimates of the resources involved in conducting the cascade were based on information from FH nurses, literature, and feedback from our Stakeholder Group, because the PASS </w:t>
      </w:r>
      <w:r w:rsidR="195142BD" w:rsidRPr="00B85D62">
        <w:rPr>
          <w:rFonts w:eastAsia="Calibri" w:cs="Arial"/>
          <w:color w:val="000000" w:themeColor="text1"/>
          <w:highlight w:val="magenta"/>
        </w:rPr>
        <w:t>data</w:t>
      </w:r>
      <w:r w:rsidR="195142BD" w:rsidRPr="00B85D62">
        <w:rPr>
          <w:rFonts w:eastAsia="Calibri" w:cs="Arial"/>
          <w:color w:val="000000" w:themeColor="text1"/>
        </w:rPr>
        <w:t xml:space="preserve"> did not include details on the staff time and grade. </w:t>
      </w:r>
      <w:r w:rsidR="2C767C69" w:rsidRPr="00B85D62">
        <w:rPr>
          <w:rFonts w:eastAsia="Calibri" w:cs="Arial"/>
          <w:color w:val="000000" w:themeColor="text1"/>
        </w:rPr>
        <w:t>Furthermore, the cost-effectiveness analysis relies in</w:t>
      </w:r>
      <w:r w:rsidR="2C767C69" w:rsidRPr="00B85D62">
        <w:rPr>
          <w:rFonts w:eastAsia="Calibri" w:cs="Arial"/>
          <w:i/>
          <w:iCs/>
          <w:color w:val="000000" w:themeColor="text1"/>
        </w:rPr>
        <w:t xml:space="preserve"> in silica</w:t>
      </w:r>
      <w:r w:rsidR="2C767C69" w:rsidRPr="00B85D62">
        <w:rPr>
          <w:rFonts w:eastAsia="Calibri" w:cs="Arial"/>
          <w:color w:val="000000" w:themeColor="text1"/>
        </w:rPr>
        <w:t xml:space="preserve"> comparisons of cascade protocols that have not been used in clinical </w:t>
      </w:r>
      <w:r w:rsidR="2C767C69" w:rsidRPr="00B85D62">
        <w:rPr>
          <w:rFonts w:eastAsia="Calibri" w:cs="Arial"/>
          <w:color w:val="000000" w:themeColor="text1"/>
          <w:highlight w:val="magenta"/>
        </w:rPr>
        <w:t>practice</w:t>
      </w:r>
      <w:r w:rsidR="2C767C69" w:rsidRPr="00B85D62">
        <w:rPr>
          <w:rFonts w:eastAsia="Calibri" w:cs="Arial"/>
          <w:color w:val="000000" w:themeColor="text1"/>
        </w:rPr>
        <w:t xml:space="preserve">, and the validity of the assumptions about the generalisability of available </w:t>
      </w:r>
      <w:r w:rsidR="2C767C69" w:rsidRPr="00B85D62">
        <w:rPr>
          <w:rFonts w:eastAsia="Calibri" w:cs="Arial"/>
          <w:color w:val="000000" w:themeColor="text1"/>
          <w:highlight w:val="magenta"/>
        </w:rPr>
        <w:t>data</w:t>
      </w:r>
      <w:r w:rsidR="2C767C69" w:rsidRPr="00B85D62">
        <w:rPr>
          <w:rFonts w:eastAsia="Calibri" w:cs="Arial"/>
          <w:color w:val="000000" w:themeColor="text1"/>
        </w:rPr>
        <w:t xml:space="preserve">, effect of cholesterol burden, and long-term CVD risk, hence their effectiveness and cost-effectiveness in clinical </w:t>
      </w:r>
      <w:r w:rsidR="2C767C69" w:rsidRPr="00B85D62">
        <w:rPr>
          <w:rFonts w:eastAsia="Calibri" w:cs="Arial"/>
          <w:color w:val="000000" w:themeColor="text1"/>
          <w:highlight w:val="magenta"/>
        </w:rPr>
        <w:t>practice</w:t>
      </w:r>
      <w:r w:rsidR="2C767C69" w:rsidRPr="00B85D62">
        <w:rPr>
          <w:rFonts w:eastAsia="Calibri" w:cs="Arial"/>
          <w:color w:val="000000" w:themeColor="text1"/>
        </w:rPr>
        <w:t xml:space="preserve"> may differ.</w:t>
      </w:r>
    </w:p>
    <w:p w14:paraId="2361B0A8" w14:textId="0EC74B3D" w:rsidR="49E9E941" w:rsidRPr="00B85D62" w:rsidRDefault="3EAE7023" w:rsidP="00413DE1">
      <w:pPr>
        <w:pStyle w:val="Heading1"/>
        <w:rPr>
          <w:rFonts w:eastAsia="Calibri"/>
          <w:color w:val="000000" w:themeColor="text1"/>
        </w:rPr>
      </w:pPr>
      <w:bookmarkStart w:id="247" w:name="_Toc107157500"/>
      <w:r w:rsidRPr="00B85D62">
        <w:rPr>
          <w:rStyle w:val="Heading1Char"/>
          <w:rFonts w:ascii="Arial" w:hAnsi="Arial" w:cs="Arial"/>
          <w:b/>
          <w:bCs/>
          <w:sz w:val="22"/>
          <w:szCs w:val="22"/>
        </w:rPr>
        <w:t xml:space="preserve">Acceptability of cascade testing approaches for </w:t>
      </w:r>
      <w:r w:rsidR="00413DE1" w:rsidRPr="00B85D62">
        <w:rPr>
          <w:rStyle w:val="Heading1Char"/>
          <w:rFonts w:ascii="Arial" w:hAnsi="Arial" w:cs="Arial"/>
          <w:b/>
          <w:bCs/>
          <w:sz w:val="22"/>
          <w:szCs w:val="22"/>
        </w:rPr>
        <w:t>Familial Hypercholesterolaemia</w:t>
      </w:r>
      <w:r w:rsidRPr="00B85D62">
        <w:rPr>
          <w:rStyle w:val="Heading1Char"/>
          <w:rFonts w:ascii="Arial" w:hAnsi="Arial" w:cs="Arial"/>
          <w:b/>
          <w:bCs/>
          <w:sz w:val="22"/>
          <w:szCs w:val="22"/>
        </w:rPr>
        <w:t>: qualitative study of healthcare professional and patient experience</w:t>
      </w:r>
      <w:bookmarkEnd w:id="247"/>
    </w:p>
    <w:p w14:paraId="4AE6E3E5" w14:textId="569C52BE" w:rsidR="71082DA5" w:rsidRPr="00B85D62" w:rsidRDefault="00767446" w:rsidP="006C7E71">
      <w:pPr>
        <w:pStyle w:val="Heading2"/>
        <w:rPr>
          <w:rFonts w:eastAsia="Yu Gothic Light"/>
          <w:bCs/>
          <w:color w:val="000000" w:themeColor="text1"/>
        </w:rPr>
      </w:pPr>
      <w:bookmarkStart w:id="248" w:name="_Toc107157501"/>
      <w:r w:rsidRPr="00B85D62">
        <w:t>Introduction</w:t>
      </w:r>
      <w:bookmarkEnd w:id="248"/>
    </w:p>
    <w:p w14:paraId="2774C892" w14:textId="29FEB369" w:rsidR="71082DA5" w:rsidRPr="00B85D62" w:rsidRDefault="3EAE7023" w:rsidP="0066232B">
      <w:pPr>
        <w:ind w:right="238"/>
        <w:jc w:val="both"/>
        <w:rPr>
          <w:rFonts w:eastAsia="Calibri" w:cs="Arial"/>
          <w:color w:val="000000" w:themeColor="text1"/>
        </w:rPr>
      </w:pPr>
      <w:r w:rsidRPr="00B85D62">
        <w:rPr>
          <w:rFonts w:eastAsia="Calibri" w:cs="Arial"/>
          <w:color w:val="000000" w:themeColor="text1"/>
        </w:rPr>
        <w:t xml:space="preserve">The nature and importance of detecting FH, including through cascade testing of undiagnosed relatives, has been rehearsed in earlier chapters </w:t>
      </w:r>
      <w:r w:rsidR="7E73AFF1" w:rsidRPr="00B85D62">
        <w:rPr>
          <w:rFonts w:eastAsia="Calibri" w:cs="Arial"/>
          <w:color w:val="000000" w:themeColor="text1"/>
        </w:rPr>
        <w:t xml:space="preserve">(sections </w:t>
      </w:r>
      <w:r w:rsidR="00935054" w:rsidRPr="00B85D62">
        <w:rPr>
          <w:rFonts w:eastAsia="Calibri" w:cs="Arial"/>
          <w:color w:val="000000" w:themeColor="text1"/>
        </w:rPr>
        <w:t>5</w:t>
      </w:r>
      <w:r w:rsidR="7E73AFF1" w:rsidRPr="00B85D62">
        <w:rPr>
          <w:rFonts w:eastAsia="Calibri" w:cs="Arial"/>
          <w:color w:val="000000" w:themeColor="text1"/>
        </w:rPr>
        <w:t xml:space="preserve">.1 and </w:t>
      </w:r>
      <w:r w:rsidR="00935054" w:rsidRPr="00B85D62">
        <w:rPr>
          <w:rFonts w:eastAsia="Calibri" w:cs="Arial"/>
          <w:color w:val="000000" w:themeColor="text1"/>
        </w:rPr>
        <w:t>8</w:t>
      </w:r>
      <w:r w:rsidR="7E73AFF1" w:rsidRPr="00B85D62">
        <w:rPr>
          <w:rFonts w:eastAsia="Calibri" w:cs="Arial"/>
          <w:color w:val="000000" w:themeColor="text1"/>
        </w:rPr>
        <w:t>.5)</w:t>
      </w:r>
    </w:p>
    <w:p w14:paraId="38E83158" w14:textId="40D12FE8" w:rsidR="71082DA5" w:rsidRPr="00B85D62" w:rsidRDefault="71082DA5" w:rsidP="0066232B">
      <w:pPr>
        <w:jc w:val="both"/>
        <w:rPr>
          <w:rFonts w:eastAsia="Calibri" w:cs="Arial"/>
          <w:color w:val="000000" w:themeColor="text1"/>
        </w:rPr>
      </w:pPr>
      <w:r w:rsidRPr="00B85D62">
        <w:rPr>
          <w:rFonts w:eastAsia="Calibri" w:cs="Arial"/>
          <w:color w:val="000000" w:themeColor="text1"/>
        </w:rPr>
        <w:t xml:space="preserve">Earlier evidence on cascade </w:t>
      </w:r>
      <w:r w:rsidR="00336A98" w:rsidRPr="00B85D62">
        <w:rPr>
          <w:rFonts w:eastAsia="Calibri" w:cs="Arial"/>
          <w:color w:val="000000" w:themeColor="text1"/>
        </w:rPr>
        <w:t>test</w:t>
      </w:r>
      <w:r w:rsidRPr="00B85D62">
        <w:rPr>
          <w:rFonts w:eastAsia="Calibri" w:cs="Arial"/>
          <w:color w:val="000000" w:themeColor="text1"/>
        </w:rPr>
        <w:t xml:space="preserve">ing has </w:t>
      </w:r>
      <w:r w:rsidR="00B85D62" w:rsidRPr="00B85D62">
        <w:rPr>
          <w:rFonts w:eastAsia="Calibri" w:cs="Arial"/>
          <w:color w:val="00B0F0"/>
        </w:rPr>
        <w:t>focused</w:t>
      </w:r>
      <w:r w:rsidRPr="00B85D62">
        <w:rPr>
          <w:rFonts w:eastAsia="Calibri" w:cs="Arial"/>
          <w:color w:val="000000" w:themeColor="text1"/>
        </w:rPr>
        <w:t xml:space="preserve"> on differences in contacting relatives with respect to either direct contact (i.e. contact from the specialist clinic) or indirect contact (i.e. mediated informally by patients). For example, contact made directly by practitioners resulted in higher response rates and more relatives coming forward for cholesterol testing</w:t>
      </w:r>
      <w:r w:rsidR="00F80015" w:rsidRPr="00B85D62">
        <w:rPr>
          <w:rFonts w:eastAsia="Calibri" w:cs="Arial"/>
          <w:noProof/>
          <w:color w:val="000000" w:themeColor="text1"/>
          <w:vertAlign w:val="superscript"/>
        </w:rPr>
        <w:t>42</w:t>
      </w:r>
      <w:r w:rsidRPr="00B85D62">
        <w:rPr>
          <w:rFonts w:eastAsia="Calibri" w:cs="Arial"/>
          <w:color w:val="000000" w:themeColor="text1"/>
        </w:rPr>
        <w:t>. However</w:t>
      </w:r>
      <w:r w:rsidR="00F44085" w:rsidRPr="00B85D62">
        <w:rPr>
          <w:rFonts w:eastAsia="Calibri" w:cs="Arial"/>
          <w:color w:val="000000" w:themeColor="text1"/>
        </w:rPr>
        <w:t>,</w:t>
      </w:r>
      <w:r w:rsidRPr="00B85D62">
        <w:rPr>
          <w:rFonts w:eastAsia="Calibri" w:cs="Arial"/>
          <w:color w:val="000000" w:themeColor="text1"/>
        </w:rPr>
        <w:t xml:space="preserve"> it has been suggested that a direct contact approach may be coercive and invasive </w:t>
      </w:r>
      <w:r w:rsidR="00C35B5E" w:rsidRPr="00B85D62">
        <w:rPr>
          <w:rFonts w:eastAsia="Calibri" w:cs="Arial"/>
          <w:noProof/>
          <w:color w:val="000000" w:themeColor="text1"/>
          <w:shd w:val="clear" w:color="auto" w:fill="E6E6E6"/>
          <w:vertAlign w:val="superscript"/>
        </w:rPr>
        <w:t>98, 174</w:t>
      </w:r>
      <w:r w:rsidRPr="00B85D62">
        <w:rPr>
          <w:rFonts w:eastAsia="Calibri" w:cs="Arial"/>
          <w:color w:val="000000" w:themeColor="text1"/>
        </w:rPr>
        <w:t>.</w:t>
      </w:r>
      <w:r w:rsidR="00895586" w:rsidRPr="00B85D62">
        <w:rPr>
          <w:rFonts w:eastAsia="Calibri" w:cs="Arial"/>
          <w:color w:val="000000" w:themeColor="text1"/>
        </w:rPr>
        <w:t xml:space="preserve"> </w:t>
      </w:r>
      <w:r w:rsidRPr="00B85D62">
        <w:rPr>
          <w:rFonts w:eastAsia="Calibri" w:cs="Arial"/>
          <w:color w:val="000000" w:themeColor="text1"/>
        </w:rPr>
        <w:t xml:space="preserve">A recent systematic review of ten studies found that identification of new cases per index case tended to be greater where direct contact was used </w:t>
      </w:r>
      <w:r w:rsidR="00F80015" w:rsidRPr="00B85D62">
        <w:rPr>
          <w:rFonts w:eastAsia="Calibri" w:cs="Arial"/>
          <w:noProof/>
          <w:color w:val="000000" w:themeColor="text1"/>
          <w:vertAlign w:val="superscript"/>
        </w:rPr>
        <w:t>27</w:t>
      </w:r>
      <w:r w:rsidR="00D111E0" w:rsidRPr="00B85D62">
        <w:rPr>
          <w:rFonts w:eastAsia="Calibri" w:cs="Arial"/>
          <w:color w:val="000000" w:themeColor="text1"/>
        </w:rPr>
        <w:t>.</w:t>
      </w:r>
    </w:p>
    <w:p w14:paraId="6D9F1FCF" w14:textId="6499759F" w:rsidR="71082DA5" w:rsidRPr="00B85D62" w:rsidRDefault="71082DA5" w:rsidP="0066232B">
      <w:pPr>
        <w:jc w:val="both"/>
        <w:rPr>
          <w:rFonts w:eastAsia="Calibri" w:cs="Arial"/>
          <w:color w:val="000000" w:themeColor="text1"/>
        </w:rPr>
      </w:pPr>
      <w:r w:rsidRPr="00B85D62">
        <w:rPr>
          <w:rFonts w:eastAsia="Calibri" w:cs="Arial"/>
          <w:color w:val="000000" w:themeColor="text1"/>
        </w:rPr>
        <w:t xml:space="preserve">Qualitative work in this context has been relatively limited with little consensus and mixed views about the approach to cascade </w:t>
      </w:r>
      <w:r w:rsidR="00336A98" w:rsidRPr="00B85D62">
        <w:rPr>
          <w:rFonts w:eastAsia="Calibri" w:cs="Arial"/>
          <w:color w:val="000000" w:themeColor="text1"/>
        </w:rPr>
        <w:t>test</w:t>
      </w:r>
      <w:r w:rsidRPr="00B85D62">
        <w:rPr>
          <w:rFonts w:eastAsia="Calibri" w:cs="Arial"/>
          <w:color w:val="000000" w:themeColor="text1"/>
        </w:rPr>
        <w:t>ing. Exploration of index patients</w:t>
      </w:r>
      <w:r w:rsidR="00B85D62" w:rsidRPr="00B85D62">
        <w:rPr>
          <w:rFonts w:eastAsia="Calibri" w:cs="Arial"/>
          <w:color w:val="000000" w:themeColor="text1"/>
        </w:rPr>
        <w:t>’</w:t>
      </w:r>
      <w:r w:rsidRPr="00B85D62">
        <w:rPr>
          <w:rFonts w:eastAsia="Calibri" w:cs="Arial"/>
          <w:color w:val="000000" w:themeColor="text1"/>
        </w:rPr>
        <w:t xml:space="preserve"> experiences in Scotland favoured indirect cascade </w:t>
      </w:r>
      <w:r w:rsidR="00336A98" w:rsidRPr="00B85D62">
        <w:rPr>
          <w:rFonts w:eastAsia="Calibri" w:cs="Arial"/>
          <w:color w:val="000000" w:themeColor="text1"/>
        </w:rPr>
        <w:t>test</w:t>
      </w:r>
      <w:r w:rsidRPr="00B85D62">
        <w:rPr>
          <w:rFonts w:eastAsia="Calibri" w:cs="Arial"/>
          <w:color w:val="000000" w:themeColor="text1"/>
        </w:rPr>
        <w:t xml:space="preserve">ing </w:t>
      </w:r>
      <w:r w:rsidR="00C35B5E" w:rsidRPr="00B85D62">
        <w:rPr>
          <w:rFonts w:eastAsia="Calibri" w:cs="Arial"/>
          <w:noProof/>
          <w:color w:val="000000" w:themeColor="text1"/>
          <w:shd w:val="clear" w:color="auto" w:fill="E6E6E6"/>
          <w:vertAlign w:val="superscript"/>
        </w:rPr>
        <w:t>175</w:t>
      </w:r>
      <w:r w:rsidRPr="00B85D62">
        <w:rPr>
          <w:rFonts w:eastAsia="Calibri" w:cs="Arial"/>
          <w:color w:val="000000" w:themeColor="text1"/>
        </w:rPr>
        <w:t xml:space="preserve">. However indirect contact by index patients may </w:t>
      </w:r>
      <w:r w:rsidRPr="00B85D62">
        <w:rPr>
          <w:rFonts w:eastAsia="Calibri" w:cs="Arial"/>
          <w:color w:val="000000" w:themeColor="text1"/>
          <w:highlight w:val="magenta"/>
        </w:rPr>
        <w:t>lead</w:t>
      </w:r>
      <w:r w:rsidRPr="00B85D62">
        <w:rPr>
          <w:rFonts w:eastAsia="Calibri" w:cs="Arial"/>
          <w:color w:val="000000" w:themeColor="text1"/>
        </w:rPr>
        <w:t xml:space="preserve"> to inadequate counselling and sense of obligation to be tested in solidarity with other family members </w:t>
      </w:r>
      <w:r w:rsidR="004372AB" w:rsidRPr="00B85D62">
        <w:rPr>
          <w:rFonts w:eastAsia="Calibri" w:cs="Arial"/>
          <w:noProof/>
          <w:color w:val="000000" w:themeColor="text1"/>
          <w:shd w:val="clear" w:color="auto" w:fill="E6E6E6"/>
          <w:vertAlign w:val="superscript"/>
        </w:rPr>
        <w:t>98</w:t>
      </w:r>
      <w:r w:rsidRPr="00B85D62">
        <w:rPr>
          <w:rFonts w:eastAsia="Calibri" w:cs="Arial"/>
          <w:color w:val="000000" w:themeColor="text1"/>
        </w:rPr>
        <w:t>. In a more recent Australian study, index patients supported health professionals directly contacting relatives, suggesting</w:t>
      </w:r>
      <w:r w:rsidRPr="00B85D62">
        <w:rPr>
          <w:rFonts w:eastAsia="Calibri" w:cs="Arial"/>
          <w:color w:val="000000" w:themeColor="text1"/>
          <w:u w:val="single"/>
        </w:rPr>
        <w:t xml:space="preserve"> </w:t>
      </w:r>
      <w:r w:rsidRPr="00B85D62">
        <w:rPr>
          <w:rFonts w:eastAsia="Calibri" w:cs="Arial"/>
          <w:color w:val="000000" w:themeColor="text1"/>
        </w:rPr>
        <w:t xml:space="preserve">that health professionals have greater credibility </w:t>
      </w:r>
      <w:r w:rsidR="004372AB" w:rsidRPr="00B85D62">
        <w:rPr>
          <w:rFonts w:eastAsia="Calibri" w:cs="Arial"/>
          <w:noProof/>
          <w:color w:val="000000" w:themeColor="text1"/>
          <w:shd w:val="clear" w:color="auto" w:fill="E6E6E6"/>
          <w:vertAlign w:val="superscript"/>
        </w:rPr>
        <w:t>95</w:t>
      </w:r>
      <w:r w:rsidRPr="00B85D62">
        <w:rPr>
          <w:rFonts w:eastAsia="Calibri" w:cs="Arial"/>
          <w:color w:val="000000" w:themeColor="text1"/>
        </w:rPr>
        <w:t>.</w:t>
      </w:r>
      <w:r w:rsidR="00895586" w:rsidRPr="00B85D62">
        <w:rPr>
          <w:rFonts w:eastAsia="Calibri" w:cs="Arial"/>
          <w:color w:val="000000" w:themeColor="text1"/>
        </w:rPr>
        <w:t xml:space="preserve"> </w:t>
      </w:r>
      <w:r w:rsidRPr="00B85D62">
        <w:rPr>
          <w:rFonts w:eastAsia="Calibri" w:cs="Arial"/>
          <w:color w:val="000000" w:themeColor="text1"/>
        </w:rPr>
        <w:t>Van el</w:t>
      </w:r>
      <w:r w:rsidRPr="00B85D62">
        <w:rPr>
          <w:rFonts w:eastAsia="Calibri" w:cs="Arial"/>
          <w:i/>
          <w:color w:val="00B0F0"/>
        </w:rPr>
        <w:t xml:space="preserve"> et al</w:t>
      </w:r>
      <w:r w:rsidRPr="00B85D62">
        <w:rPr>
          <w:rFonts w:eastAsia="Calibri" w:cs="Arial"/>
          <w:color w:val="000000" w:themeColor="text1"/>
        </w:rPr>
        <w:t xml:space="preserve"> (2018) interviewed six stakeholders, including three health professionals (lipidologist, geneticist, FH nurse), about cascade testing approaches in the Netherlands as its national FH service transitioned from a direct to an indirect approach</w:t>
      </w:r>
      <w:r w:rsidR="00153062" w:rsidRPr="00B85D62">
        <w:rPr>
          <w:rFonts w:eastAsia="Calibri" w:cs="Arial"/>
          <w:color w:val="000000" w:themeColor="text1"/>
        </w:rPr>
        <w:t xml:space="preserve"> </w:t>
      </w:r>
      <w:r w:rsidR="00C35B5E" w:rsidRPr="00B85D62">
        <w:rPr>
          <w:rFonts w:eastAsia="Calibri" w:cs="Arial"/>
          <w:noProof/>
          <w:color w:val="000000" w:themeColor="text1"/>
          <w:shd w:val="clear" w:color="auto" w:fill="E6E6E6"/>
          <w:vertAlign w:val="superscript"/>
        </w:rPr>
        <w:t>176</w:t>
      </w:r>
      <w:r w:rsidRPr="00B85D62">
        <w:rPr>
          <w:rFonts w:eastAsia="Calibri" w:cs="Arial"/>
          <w:color w:val="000000" w:themeColor="text1"/>
        </w:rPr>
        <w:t>. This found that good provision of information and education to index patients was needed to facilitate indirect contact approaches and to ensure positive engagement of relatives. Greater empirical evidence is needed not only from the index patients and cascade relatives, but also health professionals.</w:t>
      </w:r>
    </w:p>
    <w:p w14:paraId="53C7FAFA" w14:textId="00A8A615" w:rsidR="71082DA5" w:rsidRPr="00B85D62" w:rsidRDefault="71082DA5" w:rsidP="0066232B">
      <w:pPr>
        <w:jc w:val="both"/>
        <w:rPr>
          <w:rFonts w:eastAsia="Calibri" w:cs="Arial"/>
          <w:color w:val="000000" w:themeColor="text1"/>
        </w:rPr>
      </w:pPr>
      <w:r w:rsidRPr="00B85D62">
        <w:rPr>
          <w:rFonts w:eastAsia="Calibri" w:cs="Arial"/>
          <w:color w:val="000000" w:themeColor="text1"/>
        </w:rPr>
        <w:t>In the UK, current methods of contacting cascade relatives vary, with some localities or regions adopting a direct and others an indirect contact approach. There is a lack of recent evidence on how these approaches are viewed by the patients and relatives who experience them. It is also unclear how these approaches or other factors in service pathways may influence relatives</w:t>
      </w:r>
      <w:r w:rsidR="00B85D62" w:rsidRPr="00B85D62">
        <w:rPr>
          <w:rFonts w:eastAsia="Calibri" w:cs="Arial"/>
          <w:color w:val="000000" w:themeColor="text1"/>
        </w:rPr>
        <w:t>’</w:t>
      </w:r>
      <w:r w:rsidRPr="00B85D62">
        <w:rPr>
          <w:rFonts w:eastAsia="Calibri" w:cs="Arial"/>
          <w:color w:val="000000" w:themeColor="text1"/>
        </w:rPr>
        <w:t xml:space="preserve"> engagement with, and uptake of testing from the perspectives of those healthcare professionals who deliver them.</w:t>
      </w:r>
    </w:p>
    <w:p w14:paraId="21B15D2F" w14:textId="214A5D8E" w:rsidR="71082DA5" w:rsidRPr="00B85D62" w:rsidRDefault="0043178D" w:rsidP="006C7E71">
      <w:pPr>
        <w:pStyle w:val="Heading2"/>
        <w:rPr>
          <w:rFonts w:eastAsia="Yu Gothic Light"/>
          <w:bCs/>
          <w:color w:val="000000" w:themeColor="text1"/>
        </w:rPr>
      </w:pPr>
      <w:bookmarkStart w:id="249" w:name="_Toc107157502"/>
      <w:r w:rsidRPr="00B85D62">
        <w:t>Aims</w:t>
      </w:r>
      <w:bookmarkEnd w:id="249"/>
    </w:p>
    <w:p w14:paraId="6284F9E4"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This qualitative study aimed to explore the acceptability of differing cascade testing approaches for FH from the perspectives of individuals and their families with potential and confirmed FH, and health care professionals involved in delivering cascade testing for FH. We explored their experiences and perceptions, including of the benefits or concerns associated with cascade testing, and the ways in which testing and service pathways may be optimised.</w:t>
      </w:r>
    </w:p>
    <w:p w14:paraId="234341E2" w14:textId="7771C44F" w:rsidR="71082DA5" w:rsidRPr="00B85D62" w:rsidRDefault="71082DA5" w:rsidP="006C7E71">
      <w:pPr>
        <w:pStyle w:val="Heading2"/>
        <w:rPr>
          <w:rFonts w:eastAsia="Yu Gothic Light"/>
          <w:bCs/>
          <w:color w:val="000000" w:themeColor="text1"/>
        </w:rPr>
      </w:pPr>
      <w:bookmarkStart w:id="250" w:name="_Toc107157503"/>
      <w:r w:rsidRPr="00B85D62">
        <w:t>M</w:t>
      </w:r>
      <w:r w:rsidR="0043178D" w:rsidRPr="00B85D62">
        <w:t>ethods</w:t>
      </w:r>
      <w:bookmarkEnd w:id="250"/>
    </w:p>
    <w:p w14:paraId="5D159333" w14:textId="3483A6A7" w:rsidR="71082DA5" w:rsidRPr="00B85D62" w:rsidRDefault="71082DA5" w:rsidP="006C7E71">
      <w:pPr>
        <w:pStyle w:val="Heading3"/>
        <w:rPr>
          <w:rFonts w:eastAsia="Yu Gothic Light"/>
          <w:bCs/>
        </w:rPr>
      </w:pPr>
      <w:bookmarkStart w:id="251" w:name="_Toc107157504"/>
      <w:r w:rsidRPr="00B85D62">
        <w:t>Context</w:t>
      </w:r>
      <w:bookmarkEnd w:id="251"/>
    </w:p>
    <w:p w14:paraId="1B29A0AF" w14:textId="53C25664" w:rsidR="71082DA5" w:rsidRPr="00B85D62" w:rsidRDefault="3EAE7023" w:rsidP="0066232B">
      <w:pPr>
        <w:jc w:val="both"/>
        <w:rPr>
          <w:rFonts w:eastAsia="Calibri" w:cs="Arial"/>
          <w:color w:val="000000" w:themeColor="text1"/>
        </w:rPr>
      </w:pPr>
      <w:r w:rsidRPr="00B85D62">
        <w:rPr>
          <w:rFonts w:eastAsia="Calibri" w:cs="Arial"/>
          <w:color w:val="000000" w:themeColor="text1"/>
        </w:rPr>
        <w:t xml:space="preserve">Three regions were chosen to reflect differing current approaches in the UK, including varied methods of contacting relatives for FH cascade testing, service structures, and number and type of health care professionals and appointments involved in cascade testing pathways. Region A has a mixed urban, semi-rural and rural, predominantly white population. Region B includes a major city with 14% non-white population and surrounding semi-rural population. Region C includes two large, predominantly semi-rural counties, one with two major cities including 15% non-white population. These regions are summarised below by cascade testing approach, based on information from service </w:t>
      </w:r>
      <w:r w:rsidRPr="00B85D62">
        <w:rPr>
          <w:rFonts w:eastAsia="Calibri" w:cs="Arial"/>
          <w:color w:val="000000" w:themeColor="text1"/>
          <w:highlight w:val="magenta"/>
        </w:rPr>
        <w:t>lead</w:t>
      </w:r>
      <w:r w:rsidRPr="00B85D62">
        <w:rPr>
          <w:rFonts w:eastAsia="Calibri" w:cs="Arial"/>
          <w:color w:val="000000" w:themeColor="text1"/>
        </w:rPr>
        <w:t xml:space="preserve"> and participating professionals, and operating service specifications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21</w:t>
      </w:r>
      <w:r w:rsidRPr="00B85D62">
        <w:rPr>
          <w:rFonts w:eastAsia="Calibri" w:cs="Arial"/>
          <w:color w:val="000000" w:themeColor="text1"/>
        </w:rPr>
        <w:t>).</w:t>
      </w:r>
    </w:p>
    <w:p w14:paraId="285C2665" w14:textId="582D6872" w:rsidR="000A4171" w:rsidRPr="00B85D62" w:rsidRDefault="00B85D62" w:rsidP="000A4171">
      <w:pPr>
        <w:pStyle w:val="Caption"/>
        <w:keepNext/>
        <w:rPr>
          <w:rFonts w:cs="Arial"/>
        </w:rPr>
      </w:pPr>
      <w:bookmarkStart w:id="252" w:name="_Toc79740216"/>
      <w:bookmarkStart w:id="253" w:name="_Toc107157375"/>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21</w:t>
      </w:r>
      <w:r w:rsidR="000A4171" w:rsidRPr="00B85D62">
        <w:rPr>
          <w:rFonts w:cs="Arial"/>
        </w:rPr>
        <w:t xml:space="preserve"> Cascade testing approaches</w:t>
      </w:r>
      <w:bookmarkEnd w:id="252"/>
      <w:bookmarkEnd w:id="25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026"/>
      </w:tblGrid>
      <w:tr w:rsidR="000A4171" w:rsidRPr="00B85D62" w14:paraId="35BFC591" w14:textId="77777777" w:rsidTr="00B85D62">
        <w:trPr>
          <w:cantSplit/>
        </w:trPr>
        <w:tc>
          <w:tcPr>
            <w:tcW w:w="0" w:type="auto"/>
            <w:shd w:val="clear" w:color="auto" w:fill="E7E6E6" w:themeFill="background2"/>
          </w:tcPr>
          <w:p w14:paraId="45CF1E07" w14:textId="77777777" w:rsidR="000A4171" w:rsidRPr="00B85D62" w:rsidRDefault="000A4171" w:rsidP="00581161">
            <w:pPr>
              <w:jc w:val="both"/>
              <w:rPr>
                <w:rFonts w:eastAsia="Calibri" w:cs="Arial"/>
                <w:color w:val="000000" w:themeColor="text1"/>
              </w:rPr>
            </w:pPr>
            <w:r w:rsidRPr="00B85D62">
              <w:rPr>
                <w:rFonts w:eastAsia="Calibri" w:cs="Arial"/>
                <w:b/>
                <w:bCs/>
                <w:i/>
                <w:iCs/>
                <w:color w:val="000000" w:themeColor="text1"/>
              </w:rPr>
              <w:t>Region A: Direct Approach</w:t>
            </w:r>
            <w:r w:rsidRPr="00B85D62">
              <w:rPr>
                <w:rFonts w:eastAsia="Calibri" w:cs="Arial"/>
                <w:b/>
                <w:bCs/>
                <w:color w:val="000000" w:themeColor="text1"/>
              </w:rPr>
              <w:t xml:space="preserve"> </w:t>
            </w:r>
          </w:p>
        </w:tc>
      </w:tr>
      <w:tr w:rsidR="000A4171" w:rsidRPr="00B85D62" w14:paraId="5766BBC5" w14:textId="77777777" w:rsidTr="00B85D62">
        <w:trPr>
          <w:cantSplit/>
        </w:trPr>
        <w:tc>
          <w:tcPr>
            <w:tcW w:w="0" w:type="auto"/>
          </w:tcPr>
          <w:p w14:paraId="190B090B" w14:textId="77777777" w:rsidR="000A4171" w:rsidRPr="00B85D62" w:rsidRDefault="000A4171" w:rsidP="00923BC2">
            <w:pPr>
              <w:pStyle w:val="ListParagraph"/>
              <w:numPr>
                <w:ilvl w:val="0"/>
                <w:numId w:val="24"/>
              </w:numPr>
              <w:rPr>
                <w:rFonts w:cs="Arial"/>
              </w:rPr>
            </w:pPr>
            <w:r w:rsidRPr="00B85D62">
              <w:rPr>
                <w:rFonts w:cs="Arial"/>
              </w:rPr>
              <w:t xml:space="preserve">People with possible FH identified in primary care and in secondary care (e.g. cardiology) or by FH specialist nurse screening pathology lab </w:t>
            </w:r>
            <w:r w:rsidRPr="00B85D62">
              <w:rPr>
                <w:rFonts w:cs="Arial"/>
                <w:highlight w:val="magenta"/>
              </w:rPr>
              <w:t>data</w:t>
            </w:r>
            <w:r w:rsidRPr="00B85D62">
              <w:rPr>
                <w:rFonts w:cs="Arial"/>
              </w:rPr>
              <w:t xml:space="preserve"> for LDL results.</w:t>
            </w:r>
          </w:p>
        </w:tc>
      </w:tr>
      <w:tr w:rsidR="000A4171" w:rsidRPr="00B85D62" w14:paraId="3F390A21" w14:textId="77777777" w:rsidTr="00B85D62">
        <w:trPr>
          <w:cantSplit/>
        </w:trPr>
        <w:tc>
          <w:tcPr>
            <w:tcW w:w="0" w:type="auto"/>
          </w:tcPr>
          <w:p w14:paraId="1B3E4711" w14:textId="77777777" w:rsidR="000A4171" w:rsidRPr="00B85D62" w:rsidRDefault="000A4171" w:rsidP="00923BC2">
            <w:pPr>
              <w:pStyle w:val="ListParagraph"/>
              <w:numPr>
                <w:ilvl w:val="0"/>
                <w:numId w:val="24"/>
              </w:numPr>
              <w:rPr>
                <w:rFonts w:cs="Arial"/>
              </w:rPr>
            </w:pPr>
            <w:r w:rsidRPr="00B85D62">
              <w:rPr>
                <w:rFonts w:cs="Arial"/>
              </w:rPr>
              <w:t xml:space="preserve">Referred to secondary care lipid clinic </w:t>
            </w:r>
          </w:p>
        </w:tc>
      </w:tr>
      <w:tr w:rsidR="000A4171" w:rsidRPr="00B85D62" w14:paraId="48274FC3" w14:textId="77777777" w:rsidTr="00B85D62">
        <w:trPr>
          <w:cantSplit/>
        </w:trPr>
        <w:tc>
          <w:tcPr>
            <w:tcW w:w="0" w:type="auto"/>
          </w:tcPr>
          <w:p w14:paraId="0A465B40" w14:textId="19B77523" w:rsidR="000A4171" w:rsidRPr="00B85D62" w:rsidRDefault="000A4171" w:rsidP="00923BC2">
            <w:pPr>
              <w:pStyle w:val="ListParagraph"/>
              <w:numPr>
                <w:ilvl w:val="0"/>
                <w:numId w:val="24"/>
              </w:numPr>
              <w:rPr>
                <w:rFonts w:cs="Arial"/>
              </w:rPr>
            </w:pPr>
            <w:r w:rsidRPr="00B85D62">
              <w:rPr>
                <w:rFonts w:cs="Arial"/>
              </w:rPr>
              <w:t>FH specialist nurse contacts people referred or those identified on lab results either via their GP or face-to-face via an alert when they have presented as an in-p</w:t>
            </w:r>
            <w:r w:rsidR="00B85466" w:rsidRPr="00B85D62">
              <w:rPr>
                <w:rFonts w:cs="Arial"/>
              </w:rPr>
              <w:t>atient in secondary care or A&amp;E</w:t>
            </w:r>
            <w:r w:rsidRPr="00B85D62">
              <w:rPr>
                <w:rFonts w:cs="Arial"/>
              </w:rPr>
              <w:t xml:space="preserve">. </w:t>
            </w:r>
          </w:p>
        </w:tc>
      </w:tr>
      <w:tr w:rsidR="000A4171" w:rsidRPr="00B85D62" w14:paraId="53294E74" w14:textId="77777777" w:rsidTr="00B85D62">
        <w:trPr>
          <w:cantSplit/>
        </w:trPr>
        <w:tc>
          <w:tcPr>
            <w:tcW w:w="0" w:type="auto"/>
          </w:tcPr>
          <w:p w14:paraId="4DD8C3AB" w14:textId="2838288E" w:rsidR="00B85D62" w:rsidRPr="00B85D62" w:rsidRDefault="000A4171" w:rsidP="00923BC2">
            <w:pPr>
              <w:pStyle w:val="ListParagraph"/>
              <w:numPr>
                <w:ilvl w:val="0"/>
                <w:numId w:val="24"/>
              </w:numPr>
              <w:rPr>
                <w:rFonts w:cs="Arial"/>
              </w:rPr>
            </w:pPr>
            <w:r w:rsidRPr="00B85D62">
              <w:rPr>
                <w:rFonts w:cs="Arial"/>
              </w:rPr>
              <w:t xml:space="preserve">People with possible FH invited to see lipid consultant and FH </w:t>
            </w:r>
            <w:r w:rsidR="005772D0" w:rsidRPr="00B85D62">
              <w:rPr>
                <w:rFonts w:cs="Arial"/>
              </w:rPr>
              <w:t>n</w:t>
            </w:r>
            <w:r w:rsidRPr="00B85D62">
              <w:rPr>
                <w:rFonts w:cs="Arial"/>
              </w:rPr>
              <w:t>urse</w:t>
            </w:r>
            <w:r w:rsidR="005772D0" w:rsidRPr="00B85D62">
              <w:rPr>
                <w:rFonts w:cs="Arial"/>
              </w:rPr>
              <w:t xml:space="preserve"> </w:t>
            </w:r>
            <w:r w:rsidRPr="00B85D62">
              <w:rPr>
                <w:rFonts w:cs="Arial"/>
              </w:rPr>
              <w:t>either in lipid clinic, or locally via outreach clinic at patients</w:t>
            </w:r>
            <w:r w:rsidR="00B85D62" w:rsidRPr="00B85D62">
              <w:rPr>
                <w:rFonts w:cs="Arial"/>
              </w:rPr>
              <w:t>’</w:t>
            </w:r>
            <w:r w:rsidRPr="00B85D62">
              <w:rPr>
                <w:rFonts w:cs="Arial"/>
              </w:rPr>
              <w:t xml:space="preserve"> district general hospital, to discuss and have sample taken for FH genetic testing in the same appointment.</w:t>
            </w:r>
          </w:p>
          <w:p w14:paraId="272BB772" w14:textId="689E310D" w:rsidR="000A4171" w:rsidRPr="00B85D62" w:rsidRDefault="000A4171" w:rsidP="00B85466">
            <w:pPr>
              <w:pStyle w:val="ListParagraph"/>
              <w:rPr>
                <w:rFonts w:cs="Arial"/>
              </w:rPr>
            </w:pPr>
            <w:r w:rsidRPr="00B85D62">
              <w:rPr>
                <w:rFonts w:cs="Arial"/>
              </w:rPr>
              <w:t xml:space="preserve">Telephone appointment offered with the FH nurse if the patient is unwell or not able to attend to reduce the need to come into hospital for initial consultation. </w:t>
            </w:r>
            <w:r w:rsidRPr="00B85D62">
              <w:rPr>
                <w:rFonts w:cs="Arial"/>
                <w:highlight w:val="magenta"/>
              </w:rPr>
              <w:t>Follow up</w:t>
            </w:r>
            <w:r w:rsidRPr="00B85D62">
              <w:rPr>
                <w:rFonts w:cs="Arial"/>
              </w:rPr>
              <w:t xml:space="preserve"> appointment arranged with FH nurse usually in the patient</w:t>
            </w:r>
            <w:r w:rsidR="00B85D62" w:rsidRPr="00B85D62">
              <w:rPr>
                <w:rFonts w:cs="Arial"/>
              </w:rPr>
              <w:t>’</w:t>
            </w:r>
            <w:r w:rsidRPr="00B85D62">
              <w:rPr>
                <w:rFonts w:cs="Arial"/>
              </w:rPr>
              <w:t>s locality to take bloods for FH testing.</w:t>
            </w:r>
          </w:p>
        </w:tc>
      </w:tr>
      <w:tr w:rsidR="000A4171" w:rsidRPr="00B85D62" w14:paraId="703E8178" w14:textId="77777777" w:rsidTr="00B85D62">
        <w:trPr>
          <w:cantSplit/>
        </w:trPr>
        <w:tc>
          <w:tcPr>
            <w:tcW w:w="0" w:type="auto"/>
          </w:tcPr>
          <w:p w14:paraId="72B3A143" w14:textId="4228D072" w:rsidR="000A4171" w:rsidRPr="00B85D62" w:rsidRDefault="000A4171" w:rsidP="00923BC2">
            <w:pPr>
              <w:pStyle w:val="ListParagraph"/>
              <w:numPr>
                <w:ilvl w:val="0"/>
                <w:numId w:val="24"/>
              </w:numPr>
              <w:rPr>
                <w:rFonts w:cs="Arial"/>
              </w:rPr>
            </w:pPr>
            <w:r w:rsidRPr="00B85D62">
              <w:rPr>
                <w:rFonts w:cs="Arial"/>
              </w:rPr>
              <w:t xml:space="preserve">FH positive </w:t>
            </w:r>
            <w:r w:rsidR="00B85466" w:rsidRPr="00B85D62">
              <w:rPr>
                <w:rFonts w:cs="Arial"/>
              </w:rPr>
              <w:t xml:space="preserve">(index) </w:t>
            </w:r>
            <w:r w:rsidRPr="00B85D62">
              <w:rPr>
                <w:rFonts w:cs="Arial"/>
              </w:rPr>
              <w:t>patients invited to see FH nurse</w:t>
            </w:r>
            <w:r w:rsidR="005772D0" w:rsidRPr="00B85D62">
              <w:rPr>
                <w:rFonts w:cs="Arial"/>
              </w:rPr>
              <w:t xml:space="preserve"> to take family pedigree (either </w:t>
            </w:r>
            <w:r w:rsidRPr="00B85D62">
              <w:rPr>
                <w:rFonts w:cs="Arial"/>
              </w:rPr>
              <w:t xml:space="preserve">face-to-face or </w:t>
            </w:r>
            <w:r w:rsidR="005772D0" w:rsidRPr="00B85D62">
              <w:rPr>
                <w:rFonts w:cs="Arial"/>
              </w:rPr>
              <w:t>by</w:t>
            </w:r>
            <w:r w:rsidRPr="00B85D62">
              <w:rPr>
                <w:rFonts w:cs="Arial"/>
              </w:rPr>
              <w:t xml:space="preserve"> telephone appointment</w:t>
            </w:r>
            <w:r w:rsidR="005772D0" w:rsidRPr="00B85D62">
              <w:rPr>
                <w:rFonts w:cs="Arial"/>
              </w:rPr>
              <w:t>)</w:t>
            </w:r>
            <w:r w:rsidRPr="00B85D62">
              <w:rPr>
                <w:rFonts w:cs="Arial"/>
              </w:rPr>
              <w:t xml:space="preserve">. </w:t>
            </w:r>
          </w:p>
        </w:tc>
      </w:tr>
      <w:tr w:rsidR="000A4171" w:rsidRPr="00B85D62" w14:paraId="1471D6B0" w14:textId="77777777" w:rsidTr="00B85D62">
        <w:trPr>
          <w:cantSplit/>
        </w:trPr>
        <w:tc>
          <w:tcPr>
            <w:tcW w:w="0" w:type="auto"/>
          </w:tcPr>
          <w:p w14:paraId="28F9DBCC" w14:textId="796627A0" w:rsidR="000A4171" w:rsidRPr="00B85D62" w:rsidRDefault="000A4171" w:rsidP="00923BC2">
            <w:pPr>
              <w:pStyle w:val="ListParagraph"/>
              <w:numPr>
                <w:ilvl w:val="0"/>
                <w:numId w:val="24"/>
              </w:numPr>
              <w:rPr>
                <w:rFonts w:cs="Arial"/>
              </w:rPr>
            </w:pPr>
            <w:r w:rsidRPr="00B85D62">
              <w:rPr>
                <w:rFonts w:cs="Arial"/>
              </w:rPr>
              <w:t xml:space="preserve">FH nurse contacts first degree relatives directly by letter (then telephone </w:t>
            </w:r>
            <w:r w:rsidRPr="00B85D62">
              <w:rPr>
                <w:rFonts w:cs="Arial"/>
                <w:highlight w:val="magenta"/>
              </w:rPr>
              <w:t>follow up</w:t>
            </w:r>
            <w:r w:rsidRPr="00B85D62">
              <w:rPr>
                <w:rFonts w:cs="Arial"/>
              </w:rPr>
              <w:t>) to arrange an appointment to discuss and</w:t>
            </w:r>
            <w:r w:rsidR="00B85466" w:rsidRPr="00B85D62">
              <w:rPr>
                <w:rFonts w:cs="Arial"/>
              </w:rPr>
              <w:t>,</w:t>
            </w:r>
            <w:r w:rsidRPr="00B85D62">
              <w:rPr>
                <w:rFonts w:cs="Arial"/>
              </w:rPr>
              <w:t xml:space="preserve"> if appropriate</w:t>
            </w:r>
            <w:r w:rsidR="00B85466" w:rsidRPr="00B85D62">
              <w:rPr>
                <w:rFonts w:cs="Arial"/>
              </w:rPr>
              <w:t>,</w:t>
            </w:r>
            <w:r w:rsidRPr="00B85D62">
              <w:rPr>
                <w:rFonts w:cs="Arial"/>
              </w:rPr>
              <w:t xml:space="preserve"> have FH testing and further </w:t>
            </w:r>
            <w:r w:rsidRPr="00B85D62">
              <w:rPr>
                <w:rFonts w:cs="Arial"/>
                <w:highlight w:val="magenta"/>
              </w:rPr>
              <w:t>follow up</w:t>
            </w:r>
            <w:r w:rsidRPr="00B85D62">
              <w:rPr>
                <w:rFonts w:cs="Arial"/>
              </w:rPr>
              <w:t>.</w:t>
            </w:r>
          </w:p>
        </w:tc>
      </w:tr>
      <w:tr w:rsidR="000A4171" w:rsidRPr="00B85D62" w14:paraId="4525A55C" w14:textId="77777777" w:rsidTr="00B85D62">
        <w:trPr>
          <w:cantSplit/>
        </w:trPr>
        <w:tc>
          <w:tcPr>
            <w:tcW w:w="0" w:type="auto"/>
            <w:shd w:val="clear" w:color="auto" w:fill="E7E6E6" w:themeFill="background2"/>
          </w:tcPr>
          <w:p w14:paraId="46765848" w14:textId="77777777" w:rsidR="000A4171" w:rsidRPr="00B85D62" w:rsidRDefault="000A4171" w:rsidP="00581161">
            <w:pPr>
              <w:jc w:val="both"/>
              <w:rPr>
                <w:rFonts w:eastAsia="Calibri" w:cs="Arial"/>
                <w:color w:val="000000" w:themeColor="text1"/>
              </w:rPr>
            </w:pPr>
            <w:r w:rsidRPr="00B85D62">
              <w:rPr>
                <w:rFonts w:eastAsia="Calibri" w:cs="Arial"/>
                <w:b/>
                <w:bCs/>
                <w:i/>
                <w:iCs/>
                <w:color w:val="000000" w:themeColor="text1"/>
              </w:rPr>
              <w:t>Region B: Indirect Approach</w:t>
            </w:r>
          </w:p>
        </w:tc>
      </w:tr>
      <w:tr w:rsidR="000A4171" w:rsidRPr="00B85D62" w14:paraId="1B29FF6D" w14:textId="77777777" w:rsidTr="00B85D62">
        <w:trPr>
          <w:cantSplit/>
        </w:trPr>
        <w:tc>
          <w:tcPr>
            <w:tcW w:w="0" w:type="auto"/>
          </w:tcPr>
          <w:p w14:paraId="5045A724" w14:textId="30C7090B" w:rsidR="000A4171" w:rsidRPr="00B85D62" w:rsidRDefault="000A4171" w:rsidP="00923BC2">
            <w:pPr>
              <w:pStyle w:val="ListParagraph"/>
              <w:numPr>
                <w:ilvl w:val="0"/>
                <w:numId w:val="25"/>
              </w:numPr>
              <w:rPr>
                <w:rFonts w:cs="Arial"/>
              </w:rPr>
            </w:pPr>
            <w:r w:rsidRPr="00B85D62">
              <w:rPr>
                <w:rFonts w:cs="Arial"/>
              </w:rPr>
              <w:t xml:space="preserve">People with possible FH identified in primary care and secondary care are referred to FH screening programme based in secondary care lipid clinic within clinical genetics service. </w:t>
            </w:r>
          </w:p>
        </w:tc>
      </w:tr>
      <w:tr w:rsidR="000A4171" w:rsidRPr="00B85D62" w14:paraId="59B56C01" w14:textId="77777777" w:rsidTr="00B85D62">
        <w:trPr>
          <w:cantSplit/>
        </w:trPr>
        <w:tc>
          <w:tcPr>
            <w:tcW w:w="0" w:type="auto"/>
          </w:tcPr>
          <w:p w14:paraId="3538A8ED" w14:textId="0E2E5CE9" w:rsidR="000A4171" w:rsidRPr="00B85D62" w:rsidRDefault="000A4171" w:rsidP="00923BC2">
            <w:pPr>
              <w:pStyle w:val="ListParagraph"/>
              <w:numPr>
                <w:ilvl w:val="0"/>
                <w:numId w:val="25"/>
              </w:numPr>
              <w:rPr>
                <w:rFonts w:cs="Arial"/>
              </w:rPr>
            </w:pPr>
            <w:r w:rsidRPr="00B85D62">
              <w:rPr>
                <w:rFonts w:cs="Arial"/>
              </w:rPr>
              <w:t>Lipid consultant assesses patient in clinic for suitability for</w:t>
            </w:r>
            <w:r w:rsidR="00B85466" w:rsidRPr="00B85D62">
              <w:rPr>
                <w:rFonts w:cs="Arial"/>
              </w:rPr>
              <w:t xml:space="preserve"> FH</w:t>
            </w:r>
            <w:r w:rsidRPr="00B85D62">
              <w:rPr>
                <w:rFonts w:cs="Arial"/>
              </w:rPr>
              <w:t xml:space="preserve"> genetic testing and briefly explains testing to the patient. </w:t>
            </w:r>
          </w:p>
        </w:tc>
      </w:tr>
      <w:tr w:rsidR="000A4171" w:rsidRPr="00B85D62" w14:paraId="53DB4774" w14:textId="77777777" w:rsidTr="00B85D62">
        <w:trPr>
          <w:cantSplit/>
        </w:trPr>
        <w:tc>
          <w:tcPr>
            <w:tcW w:w="0" w:type="auto"/>
          </w:tcPr>
          <w:p w14:paraId="1FFD4F63" w14:textId="0A62D776" w:rsidR="000A4171" w:rsidRPr="00B85D62" w:rsidRDefault="000A4171" w:rsidP="00923BC2">
            <w:pPr>
              <w:pStyle w:val="ListParagraph"/>
              <w:numPr>
                <w:ilvl w:val="0"/>
                <w:numId w:val="25"/>
              </w:numPr>
              <w:rPr>
                <w:rFonts w:cs="Arial"/>
              </w:rPr>
            </w:pPr>
            <w:r w:rsidRPr="00B85D62">
              <w:rPr>
                <w:rFonts w:cs="Arial"/>
              </w:rPr>
              <w:t xml:space="preserve">Lipid consultant sends referral to FH Specialist Nurse who </w:t>
            </w:r>
            <w:r w:rsidR="00B85466" w:rsidRPr="00B85D62">
              <w:rPr>
                <w:rFonts w:cs="Arial"/>
              </w:rPr>
              <w:t>arranges</w:t>
            </w:r>
            <w:r w:rsidRPr="00B85D62">
              <w:rPr>
                <w:rFonts w:cs="Arial"/>
              </w:rPr>
              <w:t xml:space="preserve"> an appointment with FH nurse</w:t>
            </w:r>
            <w:r w:rsidR="00B85466" w:rsidRPr="00B85D62">
              <w:rPr>
                <w:rFonts w:cs="Arial"/>
              </w:rPr>
              <w:t xml:space="preserve"> through clinic administrator</w:t>
            </w:r>
            <w:r w:rsidRPr="00B85D62">
              <w:rPr>
                <w:rFonts w:cs="Arial"/>
              </w:rPr>
              <w:t>.</w:t>
            </w:r>
          </w:p>
        </w:tc>
      </w:tr>
      <w:tr w:rsidR="000A4171" w:rsidRPr="00B85D62" w14:paraId="28543C87" w14:textId="77777777" w:rsidTr="00B85D62">
        <w:trPr>
          <w:cantSplit/>
        </w:trPr>
        <w:tc>
          <w:tcPr>
            <w:tcW w:w="0" w:type="auto"/>
          </w:tcPr>
          <w:p w14:paraId="1E5119B7" w14:textId="35E65E09" w:rsidR="000A4171" w:rsidRPr="00B85D62" w:rsidRDefault="000A4171" w:rsidP="00923BC2">
            <w:pPr>
              <w:pStyle w:val="ListParagraph"/>
              <w:numPr>
                <w:ilvl w:val="0"/>
                <w:numId w:val="25"/>
              </w:numPr>
              <w:rPr>
                <w:rFonts w:cs="Arial"/>
              </w:rPr>
            </w:pPr>
            <w:r w:rsidRPr="00B85D62">
              <w:rPr>
                <w:rFonts w:cs="Arial"/>
              </w:rPr>
              <w:t xml:space="preserve">FH nurse sees the patient to explain and </w:t>
            </w:r>
            <w:r w:rsidR="00B85466" w:rsidRPr="00B85D62">
              <w:rPr>
                <w:rFonts w:cs="Arial"/>
              </w:rPr>
              <w:t xml:space="preserve">arrange </w:t>
            </w:r>
            <w:r w:rsidR="005772D0" w:rsidRPr="00B85D62">
              <w:rPr>
                <w:rFonts w:cs="Arial"/>
              </w:rPr>
              <w:t xml:space="preserve">genetic </w:t>
            </w:r>
            <w:r w:rsidRPr="00B85D62">
              <w:rPr>
                <w:rFonts w:cs="Arial"/>
              </w:rPr>
              <w:t>testing</w:t>
            </w:r>
            <w:r w:rsidR="00B85466" w:rsidRPr="00B85D62">
              <w:rPr>
                <w:rFonts w:cs="Arial"/>
              </w:rPr>
              <w:t>,</w:t>
            </w:r>
            <w:r w:rsidRPr="00B85D62">
              <w:rPr>
                <w:rFonts w:cs="Arial"/>
              </w:rPr>
              <w:t xml:space="preserve"> if appropriate</w:t>
            </w:r>
            <w:r w:rsidR="00B85466" w:rsidRPr="00B85D62">
              <w:rPr>
                <w:rFonts w:cs="Arial"/>
              </w:rPr>
              <w:t>,</w:t>
            </w:r>
            <w:r w:rsidRPr="00B85D62">
              <w:rPr>
                <w:rFonts w:cs="Arial"/>
              </w:rPr>
              <w:t xml:space="preserve"> </w:t>
            </w:r>
            <w:r w:rsidR="00B85466" w:rsidRPr="00B85D62">
              <w:rPr>
                <w:rFonts w:cs="Arial"/>
              </w:rPr>
              <w:t xml:space="preserve">and </w:t>
            </w:r>
            <w:r w:rsidRPr="00B85D62">
              <w:rPr>
                <w:rFonts w:cs="Arial"/>
              </w:rPr>
              <w:t>result</w:t>
            </w:r>
            <w:r w:rsidR="00B85466" w:rsidRPr="00B85D62">
              <w:rPr>
                <w:rFonts w:cs="Arial"/>
              </w:rPr>
              <w:t>s</w:t>
            </w:r>
            <w:r w:rsidRPr="00B85D62">
              <w:rPr>
                <w:rFonts w:cs="Arial"/>
              </w:rPr>
              <w:t xml:space="preserve"> returned to the FH nurse and lipid consultant. </w:t>
            </w:r>
          </w:p>
        </w:tc>
      </w:tr>
      <w:tr w:rsidR="000A4171" w:rsidRPr="00B85D62" w14:paraId="789DC931" w14:textId="77777777" w:rsidTr="00B85D62">
        <w:trPr>
          <w:cantSplit/>
        </w:trPr>
        <w:tc>
          <w:tcPr>
            <w:tcW w:w="0" w:type="auto"/>
          </w:tcPr>
          <w:p w14:paraId="42A2BF9D" w14:textId="7FBA0211" w:rsidR="000A4171" w:rsidRPr="00B85D62" w:rsidRDefault="000A4171" w:rsidP="00923BC2">
            <w:pPr>
              <w:pStyle w:val="ListParagraph"/>
              <w:numPr>
                <w:ilvl w:val="0"/>
                <w:numId w:val="25"/>
              </w:numPr>
              <w:rPr>
                <w:rFonts w:cs="Arial"/>
              </w:rPr>
            </w:pPr>
            <w:r w:rsidRPr="00B85D62">
              <w:rPr>
                <w:rFonts w:cs="Arial"/>
              </w:rPr>
              <w:t xml:space="preserve">If </w:t>
            </w:r>
            <w:r w:rsidR="005772D0" w:rsidRPr="00B85D62">
              <w:rPr>
                <w:rFonts w:cs="Arial"/>
              </w:rPr>
              <w:t>negative FH test</w:t>
            </w:r>
            <w:r w:rsidR="00565D3E" w:rsidRPr="00B85D62">
              <w:rPr>
                <w:rFonts w:cs="Arial"/>
              </w:rPr>
              <w:t xml:space="preserve"> (i.e. no mutation detected), t</w:t>
            </w:r>
            <w:r w:rsidRPr="00B85D62">
              <w:rPr>
                <w:rFonts w:cs="Arial"/>
              </w:rPr>
              <w:t xml:space="preserve">he patient offered further appointment with FH nurse to discuss result, either face-to-face in the lipid clinic or by telephone. </w:t>
            </w:r>
          </w:p>
        </w:tc>
      </w:tr>
      <w:tr w:rsidR="000A4171" w:rsidRPr="00B85D62" w14:paraId="1CF71610" w14:textId="77777777" w:rsidTr="00B85D62">
        <w:trPr>
          <w:cantSplit/>
        </w:trPr>
        <w:tc>
          <w:tcPr>
            <w:tcW w:w="0" w:type="auto"/>
          </w:tcPr>
          <w:p w14:paraId="583C50DD" w14:textId="5D65C7BF" w:rsidR="000A4171" w:rsidRPr="00B85D62" w:rsidRDefault="00565D3E" w:rsidP="00923BC2">
            <w:pPr>
              <w:pStyle w:val="ListParagraph"/>
              <w:numPr>
                <w:ilvl w:val="0"/>
                <w:numId w:val="25"/>
              </w:numPr>
              <w:rPr>
                <w:rFonts w:cs="Arial"/>
              </w:rPr>
            </w:pPr>
            <w:r w:rsidRPr="00B85D62">
              <w:rPr>
                <w:rFonts w:cs="Arial"/>
              </w:rPr>
              <w:t>If positive test, i</w:t>
            </w:r>
            <w:r w:rsidR="000A4171" w:rsidRPr="00B85D62">
              <w:rPr>
                <w:rFonts w:cs="Arial"/>
              </w:rPr>
              <w:t xml:space="preserve">ndex patient offered further face-to-face appointment with genetic counsellor to take the family pedigree and discusses family testing issues. Genetic counsellor then refers to FH Family History Co-ordinator who prepares a letter for relatives. </w:t>
            </w:r>
          </w:p>
        </w:tc>
      </w:tr>
      <w:tr w:rsidR="000A4171" w:rsidRPr="00B85D62" w14:paraId="43D27DAA" w14:textId="77777777" w:rsidTr="00B85D62">
        <w:trPr>
          <w:cantSplit/>
        </w:trPr>
        <w:tc>
          <w:tcPr>
            <w:tcW w:w="0" w:type="auto"/>
          </w:tcPr>
          <w:p w14:paraId="4E162D3E" w14:textId="58747A19" w:rsidR="000A4171" w:rsidRPr="00B85D62" w:rsidRDefault="000A4171" w:rsidP="00923BC2">
            <w:pPr>
              <w:pStyle w:val="ListParagraph"/>
              <w:numPr>
                <w:ilvl w:val="0"/>
                <w:numId w:val="25"/>
              </w:numPr>
              <w:rPr>
                <w:rFonts w:cs="Arial"/>
              </w:rPr>
            </w:pPr>
            <w:r w:rsidRPr="00B85D62">
              <w:rPr>
                <w:rFonts w:cs="Arial"/>
              </w:rPr>
              <w:t>Index patient is then given the letter to distribute to family members for them to take to their GP to be referred to their relative</w:t>
            </w:r>
            <w:r w:rsidR="00B85D62" w:rsidRPr="00B85D62">
              <w:rPr>
                <w:rFonts w:cs="Arial"/>
              </w:rPr>
              <w:t>’</w:t>
            </w:r>
            <w:r w:rsidRPr="00B85D62">
              <w:rPr>
                <w:rFonts w:cs="Arial"/>
              </w:rPr>
              <w:t>s local lipid service (or back to the same lipid/genetics service if resident in same region as index patient and steps 2</w:t>
            </w:r>
            <w:r w:rsidR="00B85D62" w:rsidRPr="00B85D62">
              <w:rPr>
                <w:rFonts w:cs="Arial"/>
                <w:color w:val="00B0F0"/>
              </w:rPr>
              <w:t>–</w:t>
            </w:r>
            <w:r w:rsidR="00B85D62" w:rsidRPr="00B85D62">
              <w:rPr>
                <w:rFonts w:cs="Arial"/>
                <w:color w:val="00B0F0"/>
              </w:rPr>
              <w:t>6</w:t>
            </w:r>
            <w:r w:rsidRPr="00B85D62">
              <w:rPr>
                <w:rFonts w:cs="Arial"/>
              </w:rPr>
              <w:t xml:space="preserve"> repeated).</w:t>
            </w:r>
          </w:p>
        </w:tc>
      </w:tr>
      <w:tr w:rsidR="000A4171" w:rsidRPr="00B85D62" w14:paraId="5C434FF8" w14:textId="77777777" w:rsidTr="00B85D62">
        <w:trPr>
          <w:cantSplit/>
        </w:trPr>
        <w:tc>
          <w:tcPr>
            <w:tcW w:w="0" w:type="auto"/>
            <w:shd w:val="clear" w:color="auto" w:fill="E7E6E6" w:themeFill="background2"/>
          </w:tcPr>
          <w:p w14:paraId="5812974D" w14:textId="77777777" w:rsidR="000A4171" w:rsidRPr="00B85D62" w:rsidRDefault="000A4171" w:rsidP="00581161">
            <w:pPr>
              <w:jc w:val="both"/>
              <w:rPr>
                <w:rFonts w:eastAsia="Calibri" w:cs="Arial"/>
                <w:color w:val="000000" w:themeColor="text1"/>
              </w:rPr>
            </w:pPr>
            <w:r w:rsidRPr="00B85D62">
              <w:rPr>
                <w:rFonts w:eastAsia="Calibri" w:cs="Arial"/>
                <w:b/>
                <w:bCs/>
                <w:i/>
                <w:iCs/>
                <w:color w:val="000000" w:themeColor="text1"/>
              </w:rPr>
              <w:t>Region C: Hybrid combination approach</w:t>
            </w:r>
            <w:r w:rsidRPr="00B85D62">
              <w:rPr>
                <w:rFonts w:eastAsia="Calibri" w:cs="Arial"/>
                <w:b/>
                <w:bCs/>
                <w:color w:val="000000" w:themeColor="text1"/>
              </w:rPr>
              <w:t xml:space="preserve"> </w:t>
            </w:r>
          </w:p>
        </w:tc>
      </w:tr>
      <w:tr w:rsidR="000A4171" w:rsidRPr="00B85D62" w14:paraId="7E2D2725" w14:textId="77777777" w:rsidTr="00B85D62">
        <w:trPr>
          <w:cantSplit/>
        </w:trPr>
        <w:tc>
          <w:tcPr>
            <w:tcW w:w="0" w:type="auto"/>
          </w:tcPr>
          <w:p w14:paraId="1D5FC59F" w14:textId="77777777" w:rsidR="000A4171" w:rsidRPr="00B85D62" w:rsidRDefault="000A4171" w:rsidP="00923BC2">
            <w:pPr>
              <w:numPr>
                <w:ilvl w:val="0"/>
                <w:numId w:val="23"/>
              </w:numPr>
              <w:jc w:val="both"/>
              <w:rPr>
                <w:rFonts w:cs="Arial"/>
                <w:color w:val="000000" w:themeColor="text1"/>
              </w:rPr>
            </w:pPr>
            <w:r w:rsidRPr="00B85D62">
              <w:rPr>
                <w:rFonts w:eastAsia="Calibri" w:cs="Arial"/>
                <w:color w:val="000000" w:themeColor="text1"/>
              </w:rPr>
              <w:t xml:space="preserve">People with possible FH identified by primary care and secondary care referred to FH screening programme situated in secondary care. </w:t>
            </w:r>
          </w:p>
        </w:tc>
      </w:tr>
      <w:tr w:rsidR="000A4171" w:rsidRPr="00B85D62" w14:paraId="3160EE16" w14:textId="77777777" w:rsidTr="00B85D62">
        <w:trPr>
          <w:cantSplit/>
        </w:trPr>
        <w:tc>
          <w:tcPr>
            <w:tcW w:w="0" w:type="auto"/>
          </w:tcPr>
          <w:p w14:paraId="2543B419" w14:textId="50CB2F60" w:rsidR="000A4171" w:rsidRPr="00B85D62" w:rsidRDefault="000A4171" w:rsidP="00923BC2">
            <w:pPr>
              <w:numPr>
                <w:ilvl w:val="0"/>
                <w:numId w:val="23"/>
              </w:numPr>
              <w:jc w:val="both"/>
              <w:rPr>
                <w:rFonts w:cs="Arial"/>
                <w:color w:val="000000" w:themeColor="text1"/>
              </w:rPr>
            </w:pPr>
            <w:r w:rsidRPr="00B85D62">
              <w:rPr>
                <w:rFonts w:eastAsia="Calibri" w:cs="Arial"/>
                <w:color w:val="000000" w:themeColor="text1"/>
              </w:rPr>
              <w:t xml:space="preserve">FH Specialist Nurses triage referrals to be seen by </w:t>
            </w:r>
            <w:r w:rsidR="00565D3E" w:rsidRPr="00B85D62">
              <w:rPr>
                <w:rFonts w:eastAsia="Calibri" w:cs="Arial"/>
                <w:color w:val="000000" w:themeColor="text1"/>
              </w:rPr>
              <w:t>them</w:t>
            </w:r>
            <w:r w:rsidRPr="00B85D62">
              <w:rPr>
                <w:rFonts w:eastAsia="Calibri" w:cs="Arial"/>
                <w:color w:val="000000" w:themeColor="text1"/>
              </w:rPr>
              <w:t xml:space="preserve"> in outreach clinics within the person</w:t>
            </w:r>
            <w:r w:rsidR="00B85D62" w:rsidRPr="00B85D62">
              <w:rPr>
                <w:rFonts w:eastAsia="Calibri" w:cs="Arial"/>
                <w:color w:val="000000" w:themeColor="text1"/>
              </w:rPr>
              <w:t>’</w:t>
            </w:r>
            <w:r w:rsidRPr="00B85D62">
              <w:rPr>
                <w:rFonts w:eastAsia="Calibri" w:cs="Arial"/>
                <w:color w:val="000000" w:themeColor="text1"/>
              </w:rPr>
              <w:t xml:space="preserve">s locality. </w:t>
            </w:r>
          </w:p>
        </w:tc>
      </w:tr>
      <w:tr w:rsidR="000A4171" w:rsidRPr="00B85D62" w14:paraId="3B5377D2" w14:textId="77777777" w:rsidTr="00B85D62">
        <w:trPr>
          <w:cantSplit/>
        </w:trPr>
        <w:tc>
          <w:tcPr>
            <w:tcW w:w="0" w:type="auto"/>
          </w:tcPr>
          <w:p w14:paraId="6E9A9503" w14:textId="112A358E" w:rsidR="000A4171" w:rsidRPr="00B85D62" w:rsidRDefault="00565D3E" w:rsidP="00923BC2">
            <w:pPr>
              <w:numPr>
                <w:ilvl w:val="0"/>
                <w:numId w:val="23"/>
              </w:numPr>
              <w:jc w:val="both"/>
              <w:rPr>
                <w:rFonts w:cs="Arial"/>
                <w:color w:val="000000" w:themeColor="text1"/>
              </w:rPr>
            </w:pPr>
            <w:r w:rsidRPr="00B85D62">
              <w:rPr>
                <w:rFonts w:eastAsia="Calibri" w:cs="Arial"/>
                <w:color w:val="000000" w:themeColor="text1"/>
              </w:rPr>
              <w:t>At the local clinic the</w:t>
            </w:r>
            <w:r w:rsidR="000A4171" w:rsidRPr="00B85D62">
              <w:rPr>
                <w:rFonts w:eastAsia="Calibri" w:cs="Arial"/>
                <w:color w:val="000000" w:themeColor="text1"/>
              </w:rPr>
              <w:t xml:space="preserve"> FH nurse explains FH and the possible outcomes of genetic testing, takes a family pedigree, and if appropriate takes blood samples for </w:t>
            </w:r>
            <w:r w:rsidRPr="00B85D62">
              <w:rPr>
                <w:rFonts w:eastAsia="Calibri" w:cs="Arial"/>
                <w:color w:val="000000" w:themeColor="text1"/>
              </w:rPr>
              <w:t>test</w:t>
            </w:r>
            <w:r w:rsidR="000A4171" w:rsidRPr="00B85D62">
              <w:rPr>
                <w:rFonts w:eastAsia="Calibri" w:cs="Arial"/>
                <w:color w:val="000000" w:themeColor="text1"/>
              </w:rPr>
              <w:t xml:space="preserve">. </w:t>
            </w:r>
          </w:p>
        </w:tc>
      </w:tr>
      <w:tr w:rsidR="000A4171" w:rsidRPr="00B85D62" w14:paraId="09620C2F" w14:textId="77777777" w:rsidTr="00B85D62">
        <w:trPr>
          <w:cantSplit/>
        </w:trPr>
        <w:tc>
          <w:tcPr>
            <w:tcW w:w="0" w:type="auto"/>
          </w:tcPr>
          <w:p w14:paraId="0C288424" w14:textId="27E9286D" w:rsidR="000A4171" w:rsidRPr="00B85D62" w:rsidRDefault="000A4171" w:rsidP="00923BC2">
            <w:pPr>
              <w:numPr>
                <w:ilvl w:val="0"/>
                <w:numId w:val="23"/>
              </w:numPr>
              <w:jc w:val="both"/>
              <w:rPr>
                <w:rFonts w:cs="Arial"/>
                <w:color w:val="000000" w:themeColor="text1"/>
              </w:rPr>
            </w:pPr>
            <w:r w:rsidRPr="00B85D62">
              <w:rPr>
                <w:rFonts w:eastAsia="Calibri" w:cs="Arial"/>
                <w:color w:val="000000" w:themeColor="text1"/>
              </w:rPr>
              <w:t xml:space="preserve">If </w:t>
            </w:r>
            <w:r w:rsidR="00565D3E" w:rsidRPr="00B85D62">
              <w:rPr>
                <w:rFonts w:eastAsia="Calibri" w:cs="Arial"/>
                <w:color w:val="000000" w:themeColor="text1"/>
              </w:rPr>
              <w:t xml:space="preserve">positive </w:t>
            </w:r>
            <w:r w:rsidRPr="00B85D62">
              <w:rPr>
                <w:rFonts w:eastAsia="Calibri" w:cs="Arial"/>
                <w:color w:val="000000" w:themeColor="text1"/>
              </w:rPr>
              <w:t xml:space="preserve">FH </w:t>
            </w:r>
            <w:r w:rsidR="00565D3E" w:rsidRPr="00B85D62">
              <w:rPr>
                <w:rFonts w:eastAsia="Calibri" w:cs="Arial"/>
                <w:color w:val="000000" w:themeColor="text1"/>
              </w:rPr>
              <w:t>test,</w:t>
            </w:r>
            <w:r w:rsidRPr="00B85D62">
              <w:rPr>
                <w:rFonts w:eastAsia="Calibri" w:cs="Arial"/>
                <w:color w:val="000000" w:themeColor="text1"/>
              </w:rPr>
              <w:t xml:space="preserve"> the index patient offered follow-up appointment with the FH nurse, locally where possible, to discuss the results, which family members should be contacted, whether to do so directly or indirectly, exploring with patient what may be appropriate for each relative, and </w:t>
            </w:r>
            <w:r w:rsidR="00565D3E" w:rsidRPr="00B85D62">
              <w:rPr>
                <w:rFonts w:eastAsia="Calibri" w:cs="Arial"/>
                <w:color w:val="000000" w:themeColor="text1"/>
              </w:rPr>
              <w:t>discuss</w:t>
            </w:r>
            <w:r w:rsidRPr="00B85D62">
              <w:rPr>
                <w:rFonts w:eastAsia="Calibri" w:cs="Arial"/>
                <w:color w:val="000000" w:themeColor="text1"/>
              </w:rPr>
              <w:t xml:space="preserve"> nature of family relationships. </w:t>
            </w:r>
          </w:p>
        </w:tc>
      </w:tr>
      <w:tr w:rsidR="000A4171" w:rsidRPr="00B85D62" w14:paraId="13A72CEA" w14:textId="77777777" w:rsidTr="00B85D62">
        <w:trPr>
          <w:cantSplit/>
        </w:trPr>
        <w:tc>
          <w:tcPr>
            <w:tcW w:w="0" w:type="auto"/>
          </w:tcPr>
          <w:p w14:paraId="117A15E8" w14:textId="3D5F1523" w:rsidR="000A4171" w:rsidRPr="00B85D62" w:rsidRDefault="000A4171" w:rsidP="00923BC2">
            <w:pPr>
              <w:numPr>
                <w:ilvl w:val="0"/>
                <w:numId w:val="23"/>
              </w:numPr>
              <w:jc w:val="both"/>
              <w:rPr>
                <w:rFonts w:cs="Arial"/>
                <w:color w:val="000000" w:themeColor="text1"/>
              </w:rPr>
            </w:pPr>
            <w:r w:rsidRPr="00B85D62">
              <w:rPr>
                <w:rFonts w:eastAsia="Calibri" w:cs="Arial"/>
                <w:color w:val="000000" w:themeColor="text1"/>
              </w:rPr>
              <w:t>If family dynamics between index patient and family members are perceived to be positive then index patient passes on a letter to those family members, explaining about FH. For those relatives where relationships are not perceived to be positive then the FH Nurse will contact these family members directly by letter (</w:t>
            </w:r>
            <w:r w:rsidR="00565D3E" w:rsidRPr="00B85D62">
              <w:rPr>
                <w:rFonts w:eastAsia="Calibri" w:cs="Arial"/>
                <w:color w:val="000000" w:themeColor="text1"/>
              </w:rPr>
              <w:t xml:space="preserve">with </w:t>
            </w:r>
            <w:r w:rsidRPr="00B85D62">
              <w:rPr>
                <w:rFonts w:eastAsia="Calibri" w:cs="Arial"/>
                <w:color w:val="000000" w:themeColor="text1"/>
              </w:rPr>
              <w:t xml:space="preserve">option of telephone </w:t>
            </w:r>
            <w:r w:rsidRPr="00B85D62">
              <w:rPr>
                <w:rFonts w:eastAsia="Calibri" w:cs="Arial"/>
                <w:color w:val="000000" w:themeColor="text1"/>
                <w:highlight w:val="magenta"/>
              </w:rPr>
              <w:t>follow up</w:t>
            </w:r>
            <w:r w:rsidRPr="00B85D62">
              <w:rPr>
                <w:rFonts w:eastAsia="Calibri" w:cs="Arial"/>
                <w:color w:val="000000" w:themeColor="text1"/>
              </w:rPr>
              <w:t xml:space="preserve">). </w:t>
            </w:r>
          </w:p>
        </w:tc>
      </w:tr>
      <w:tr w:rsidR="000A4171" w:rsidRPr="00B85D62" w14:paraId="44097BC8" w14:textId="77777777" w:rsidTr="00B85D62">
        <w:trPr>
          <w:cantSplit/>
        </w:trPr>
        <w:tc>
          <w:tcPr>
            <w:tcW w:w="0" w:type="auto"/>
          </w:tcPr>
          <w:p w14:paraId="0F72D95D" w14:textId="62825E4A" w:rsidR="000A4171" w:rsidRPr="00B85D62" w:rsidRDefault="00565D3E" w:rsidP="00923BC2">
            <w:pPr>
              <w:numPr>
                <w:ilvl w:val="0"/>
                <w:numId w:val="23"/>
              </w:numPr>
              <w:jc w:val="both"/>
              <w:rPr>
                <w:rFonts w:cs="Arial"/>
                <w:color w:val="000000" w:themeColor="text1"/>
              </w:rPr>
            </w:pPr>
            <w:r w:rsidRPr="00B85D62">
              <w:rPr>
                <w:rFonts w:eastAsia="Calibri" w:cs="Arial"/>
                <w:color w:val="000000" w:themeColor="text1"/>
              </w:rPr>
              <w:t>Using either approach (</w:t>
            </w:r>
            <w:r w:rsidR="005F5C37" w:rsidRPr="00B85D62">
              <w:rPr>
                <w:rFonts w:eastAsia="Calibri" w:cs="Arial"/>
                <w:color w:val="000000" w:themeColor="text1"/>
              </w:rPr>
              <w:t>direct contact or indirectly through i</w:t>
            </w:r>
            <w:r w:rsidR="000A4171" w:rsidRPr="00B85D62">
              <w:rPr>
                <w:rFonts w:eastAsia="Calibri" w:cs="Arial"/>
                <w:color w:val="000000" w:themeColor="text1"/>
              </w:rPr>
              <w:t>ndex patient</w:t>
            </w:r>
            <w:r w:rsidR="005F5C37" w:rsidRPr="00B85D62">
              <w:rPr>
                <w:rFonts w:eastAsia="Calibri" w:cs="Arial"/>
                <w:color w:val="000000" w:themeColor="text1"/>
              </w:rPr>
              <w:t>),</w:t>
            </w:r>
            <w:r w:rsidR="000A4171" w:rsidRPr="00B85D62">
              <w:rPr>
                <w:rFonts w:eastAsia="Calibri" w:cs="Arial"/>
                <w:color w:val="000000" w:themeColor="text1"/>
              </w:rPr>
              <w:t xml:space="preserve"> the letter to relatives gives details on how the patient can self-refer directly into the FH service without the need to </w:t>
            </w:r>
            <w:r w:rsidR="005F5C37" w:rsidRPr="00B85D62">
              <w:rPr>
                <w:rFonts w:eastAsia="Calibri" w:cs="Arial"/>
                <w:color w:val="000000" w:themeColor="text1"/>
              </w:rPr>
              <w:t>arrange this referral through their GP.</w:t>
            </w:r>
          </w:p>
        </w:tc>
      </w:tr>
    </w:tbl>
    <w:p w14:paraId="3A0DCBC1" w14:textId="65B4CB34" w:rsidR="39386A16" w:rsidRPr="00B85D62" w:rsidRDefault="39386A16" w:rsidP="0066232B">
      <w:pPr>
        <w:jc w:val="both"/>
        <w:rPr>
          <w:rFonts w:eastAsia="Calibri" w:cs="Arial"/>
          <w:b/>
          <w:bCs/>
          <w:color w:val="000000" w:themeColor="text1"/>
          <w:highlight w:val="magenta"/>
        </w:rPr>
      </w:pPr>
    </w:p>
    <w:p w14:paraId="42F0CF92" w14:textId="446E247B" w:rsidR="71082DA5" w:rsidRPr="00B85D62" w:rsidRDefault="3EAE7023" w:rsidP="006C7E71">
      <w:pPr>
        <w:pStyle w:val="Heading3"/>
        <w:rPr>
          <w:rFonts w:eastAsia="Yu Gothic Light"/>
        </w:rPr>
      </w:pPr>
      <w:bookmarkStart w:id="254" w:name="_Toc107157505"/>
      <w:r w:rsidRPr="00B85D62">
        <w:t xml:space="preserve">Sampling and </w:t>
      </w:r>
      <w:r w:rsidRPr="00B85D62">
        <w:rPr>
          <w:highlight w:val="magenta"/>
        </w:rPr>
        <w:t>data</w:t>
      </w:r>
      <w:r w:rsidRPr="00B85D62">
        <w:t xml:space="preserve"> generation</w:t>
      </w:r>
      <w:bookmarkEnd w:id="254"/>
    </w:p>
    <w:p w14:paraId="237095DD" w14:textId="035AB832" w:rsidR="71082DA5" w:rsidRPr="00B85D62" w:rsidRDefault="71082DA5" w:rsidP="0066232B">
      <w:pPr>
        <w:jc w:val="both"/>
        <w:rPr>
          <w:rFonts w:eastAsia="Calibri" w:cs="Arial"/>
          <w:color w:val="000000" w:themeColor="text1"/>
        </w:rPr>
      </w:pPr>
      <w:r w:rsidRPr="00B85D62">
        <w:rPr>
          <w:rFonts w:eastAsia="Calibri" w:cs="Arial"/>
          <w:color w:val="000000" w:themeColor="text1"/>
        </w:rPr>
        <w:t>A purposeful sample of individuals and relatives was chosen to reflect a socio-demographic range of index patients and relatives identified by cascade testing, across the three regions, including differing range of FH assessment and testing experiences, including contact within or outside of index patient</w:t>
      </w:r>
      <w:r w:rsidR="00B85D62" w:rsidRPr="00B85D62">
        <w:rPr>
          <w:rFonts w:eastAsia="Calibri" w:cs="Arial"/>
          <w:color w:val="000000" w:themeColor="text1"/>
        </w:rPr>
        <w:t>’</w:t>
      </w:r>
      <w:r w:rsidRPr="00B85D62">
        <w:rPr>
          <w:rFonts w:eastAsia="Calibri" w:cs="Arial"/>
          <w:color w:val="000000" w:themeColor="text1"/>
        </w:rPr>
        <w:t>s area and with differing health provider. A purposeful sample of health professionals was similarly sought to include a spectrum of roles and experience in relation to differing types of FH index and cascade testing provision in the three regions.</w:t>
      </w:r>
    </w:p>
    <w:p w14:paraId="15549205"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Semi-structured one-to-one interviews were conducted (October 2018 to December 2019) using a broad topic guide to explore views and experience with all respondents by telephone and lasted for an average of 45 minutes. Prior to interview all participants provided written informed consent.</w:t>
      </w:r>
    </w:p>
    <w:p w14:paraId="6403837F" w14:textId="4292D079" w:rsidR="71082DA5" w:rsidRPr="00B85D62" w:rsidRDefault="3EAE7023" w:rsidP="006C7E71">
      <w:pPr>
        <w:pStyle w:val="Heading3"/>
        <w:rPr>
          <w:rFonts w:eastAsia="Yu Gothic Light"/>
        </w:rPr>
      </w:pPr>
      <w:bookmarkStart w:id="255" w:name="_Toc107157506"/>
      <w:r w:rsidRPr="00B85D62">
        <w:rPr>
          <w:highlight w:val="magenta"/>
        </w:rPr>
        <w:t>Data</w:t>
      </w:r>
      <w:r w:rsidRPr="00B85D62">
        <w:t xml:space="preserve"> analysis</w:t>
      </w:r>
      <w:bookmarkEnd w:id="255"/>
    </w:p>
    <w:p w14:paraId="54748614"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 xml:space="preserve">Interviews were audio-recorded, anonymised, transcribed verbatim, checked for accuracy, and </w:t>
      </w:r>
      <w:r w:rsidRPr="00B85D62">
        <w:rPr>
          <w:rFonts w:eastAsia="Calibri" w:cs="Arial"/>
          <w:color w:val="000000" w:themeColor="text1"/>
          <w:highlight w:val="magenta"/>
        </w:rPr>
        <w:t>data</w:t>
      </w:r>
      <w:r w:rsidRPr="00B85D62">
        <w:rPr>
          <w:rFonts w:eastAsia="Calibri" w:cs="Arial"/>
          <w:color w:val="000000" w:themeColor="text1"/>
        </w:rPr>
        <w:t xml:space="preserve"> organised in NVivo (version11). For each set of patient/relative and health professional interviews, transcripts were read and re-read to gain familiarity with the </w:t>
      </w:r>
      <w:r w:rsidRPr="00B85D62">
        <w:rPr>
          <w:rFonts w:eastAsia="Calibri" w:cs="Arial"/>
          <w:color w:val="000000" w:themeColor="text1"/>
          <w:highlight w:val="magenta"/>
        </w:rPr>
        <w:t>data</w:t>
      </w:r>
      <w:r w:rsidRPr="00B85D62">
        <w:rPr>
          <w:rFonts w:eastAsia="Calibri" w:cs="Arial"/>
          <w:color w:val="000000" w:themeColor="text1"/>
        </w:rPr>
        <w:t xml:space="preserve"> and underwent line-by-line coding following a developed coding framework and similar codes were grouped together to construct themes.</w:t>
      </w:r>
    </w:p>
    <w:p w14:paraId="1BEC778B"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Themes for each set of interviews were revised iteratively until final themes were agreed upon. Two researchers, with differing disciplinary backgrounds in health psychology (field researcher/interviewer, LC) and academic primary care (health researcher, practising general practitioner, JK), independently developed the coding and</w:t>
      </w:r>
      <w:r w:rsidR="00B85D62" w:rsidRPr="00B85D62">
        <w:rPr>
          <w:rFonts w:eastAsia="Calibri" w:cs="Arial"/>
          <w:color w:val="000000" w:themeColor="text1"/>
        </w:rPr>
        <w:t xml:space="preserve"> </w:t>
      </w:r>
      <w:r w:rsidRPr="00B85D62">
        <w:rPr>
          <w:rFonts w:eastAsia="Calibri" w:cs="Arial"/>
          <w:color w:val="000000" w:themeColor="text1"/>
        </w:rPr>
        <w:t>themes.</w:t>
      </w:r>
      <w:r w:rsidR="00895586" w:rsidRPr="00B85D62">
        <w:rPr>
          <w:rFonts w:eastAsia="Calibri" w:cs="Arial"/>
          <w:color w:val="000000" w:themeColor="text1"/>
        </w:rPr>
        <w:t xml:space="preserve"> </w:t>
      </w:r>
      <w:r w:rsidR="00BB505C" w:rsidRPr="00B85D62">
        <w:rPr>
          <w:rFonts w:eastAsia="Calibri" w:cs="Arial"/>
          <w:color w:val="000000" w:themeColor="text1"/>
        </w:rPr>
        <w:t xml:space="preserve">These were developed in collaboration with the study PPIE </w:t>
      </w:r>
      <w:r w:rsidR="00BB505C" w:rsidRPr="00B85D62">
        <w:rPr>
          <w:rFonts w:eastAsia="Calibri" w:cs="Arial"/>
          <w:color w:val="000000" w:themeColor="text1"/>
          <w:highlight w:val="magenta"/>
        </w:rPr>
        <w:t>lead</w:t>
      </w:r>
      <w:r w:rsidR="00BB505C" w:rsidRPr="00B85D62">
        <w:rPr>
          <w:rFonts w:eastAsia="Calibri" w:cs="Arial"/>
          <w:color w:val="000000" w:themeColor="text1"/>
        </w:rPr>
        <w:t xml:space="preserve"> (WR). </w:t>
      </w:r>
      <w:r w:rsidRPr="00B85D62">
        <w:rPr>
          <w:rFonts w:eastAsia="Calibri" w:cs="Arial"/>
          <w:color w:val="000000" w:themeColor="text1"/>
          <w:highlight w:val="magenta"/>
        </w:rPr>
        <w:t>Data</w:t>
      </w:r>
      <w:r w:rsidRPr="00B85D62">
        <w:rPr>
          <w:rFonts w:eastAsia="Calibri" w:cs="Arial"/>
          <w:color w:val="000000" w:themeColor="text1"/>
        </w:rPr>
        <w:t xml:space="preserve"> analysis was ongoing alongside </w:t>
      </w:r>
      <w:r w:rsidRPr="00B85D62">
        <w:rPr>
          <w:rFonts w:eastAsia="Calibri" w:cs="Arial"/>
          <w:color w:val="000000" w:themeColor="text1"/>
          <w:highlight w:val="magenta"/>
        </w:rPr>
        <w:t>data</w:t>
      </w:r>
      <w:r w:rsidRPr="00B85D62">
        <w:rPr>
          <w:rFonts w:eastAsia="Calibri" w:cs="Arial"/>
          <w:color w:val="000000" w:themeColor="text1"/>
        </w:rPr>
        <w:t xml:space="preserve"> collection until thematic saturation had been reached. Framework Analysis</w:t>
      </w:r>
      <w:r w:rsidR="00153062" w:rsidRPr="00B85D62">
        <w:rPr>
          <w:rFonts w:eastAsia="Calibri" w:cs="Arial"/>
          <w:color w:val="000000" w:themeColor="text1"/>
        </w:rPr>
        <w:t xml:space="preserve"> </w:t>
      </w:r>
      <w:r w:rsidR="00C35B5E" w:rsidRPr="00B85D62">
        <w:rPr>
          <w:rFonts w:eastAsia="Calibri" w:cs="Arial"/>
          <w:noProof/>
          <w:color w:val="000000" w:themeColor="text1"/>
          <w:shd w:val="clear" w:color="auto" w:fill="E6E6E6"/>
          <w:vertAlign w:val="superscript"/>
        </w:rPr>
        <w:t>177</w:t>
      </w:r>
      <w:r w:rsidRPr="00B85D62">
        <w:rPr>
          <w:rFonts w:eastAsia="Calibri" w:cs="Arial"/>
          <w:color w:val="000000" w:themeColor="text1"/>
        </w:rPr>
        <w:t xml:space="preserve"> was then used to chart the </w:t>
      </w:r>
      <w:r w:rsidRPr="00B85D62">
        <w:rPr>
          <w:rFonts w:eastAsia="Calibri" w:cs="Arial"/>
          <w:color w:val="000000" w:themeColor="text1"/>
          <w:highlight w:val="magenta"/>
        </w:rPr>
        <w:t>data</w:t>
      </w:r>
      <w:r w:rsidRPr="00B85D62">
        <w:rPr>
          <w:rFonts w:eastAsia="Calibri" w:cs="Arial"/>
          <w:color w:val="000000" w:themeColor="text1"/>
        </w:rPr>
        <w:t xml:space="preserve"> and compare</w:t>
      </w:r>
      <w:r w:rsidR="00B85D62" w:rsidRPr="00B85D62">
        <w:rPr>
          <w:rFonts w:eastAsia="Calibri" w:cs="Arial"/>
          <w:color w:val="000000" w:themeColor="text1"/>
        </w:rPr>
        <w:t xml:space="preserve"> </w:t>
      </w:r>
      <w:r w:rsidRPr="00B85D62">
        <w:rPr>
          <w:rFonts w:eastAsia="Calibri" w:cs="Arial"/>
          <w:color w:val="000000" w:themeColor="text1"/>
        </w:rPr>
        <w:t>themes across regions in relation to the perceptions, views and concerns of patients and relatives, and healthcare professionals involved in different cascade testing approaches.</w:t>
      </w:r>
    </w:p>
    <w:p w14:paraId="49DF60E3" w14:textId="154890EC" w:rsidR="71082DA5" w:rsidRPr="00B85D62" w:rsidRDefault="71082DA5" w:rsidP="0066232B">
      <w:pPr>
        <w:jc w:val="both"/>
        <w:rPr>
          <w:rFonts w:eastAsia="Calibri" w:cs="Arial"/>
          <w:color w:val="000000" w:themeColor="text1"/>
        </w:rPr>
      </w:pPr>
      <w:r w:rsidRPr="00B85D62">
        <w:rPr>
          <w:rFonts w:eastAsia="Calibri" w:cs="Arial"/>
          <w:color w:val="000000" w:themeColor="text1"/>
        </w:rPr>
        <w:t xml:space="preserve">In a further stage, member checking </w:t>
      </w:r>
      <w:r w:rsidR="00C35B5E" w:rsidRPr="00B85D62">
        <w:rPr>
          <w:rFonts w:eastAsia="Calibri" w:cs="Arial"/>
          <w:noProof/>
          <w:color w:val="000000" w:themeColor="text1"/>
          <w:shd w:val="clear" w:color="auto" w:fill="E6E6E6"/>
          <w:vertAlign w:val="superscript"/>
        </w:rPr>
        <w:t>178</w:t>
      </w:r>
      <w:r w:rsidRPr="00B85D62">
        <w:rPr>
          <w:rFonts w:eastAsia="Calibri" w:cs="Arial"/>
          <w:color w:val="000000" w:themeColor="text1"/>
        </w:rPr>
        <w:t xml:space="preserve"> was used to help enhance validity. All participants who agreed to being approached later in the study were subsequently invited to review and comment on summaries of preliminary findings (from patient/relative or health professional interviews respectively) to check for accuracy and resonance with their experience, and enable opportunity to review, develop or confirm findings.</w:t>
      </w:r>
    </w:p>
    <w:p w14:paraId="50173A58" w14:textId="6E64AC90" w:rsidR="71082DA5" w:rsidRPr="00B85D62" w:rsidRDefault="0043178D" w:rsidP="006C7E71">
      <w:pPr>
        <w:pStyle w:val="Heading2"/>
        <w:rPr>
          <w:rFonts w:eastAsia="Yu Gothic Light"/>
          <w:bCs/>
          <w:color w:val="000000" w:themeColor="text1"/>
        </w:rPr>
      </w:pPr>
      <w:bookmarkStart w:id="256" w:name="_Toc107157507"/>
      <w:r w:rsidRPr="00B85D62">
        <w:t>Findings</w:t>
      </w:r>
      <w:bookmarkEnd w:id="256"/>
    </w:p>
    <w:p w14:paraId="397301B1" w14:textId="27922050" w:rsidR="00B85D62" w:rsidRPr="00B85D62" w:rsidRDefault="3EAE7023" w:rsidP="72726EF6">
      <w:pPr>
        <w:jc w:val="both"/>
        <w:rPr>
          <w:rFonts w:cs="Arial"/>
        </w:rPr>
      </w:pPr>
      <w:r w:rsidRPr="00B85D62">
        <w:rPr>
          <w:rFonts w:eastAsia="Calibri" w:cs="Arial"/>
          <w:color w:val="000000" w:themeColor="text1"/>
        </w:rPr>
        <w:t>Ultimately, 40 participants were interviewed, involving a purposeful sample of 20 index patients and relatives, and 20 health professionals, from across the three settings. All patients and relatives were white and English speaking, and had experienced cascade testing in some form within the last 5 years.Relatives of index patients included children, siblings and parents. Their characteristics are summarised in</w:t>
      </w:r>
      <w:r w:rsidR="000A4171" w:rsidRPr="00B85D62">
        <w:rPr>
          <w:rFonts w:eastAsia="Calibri" w:cs="Arial"/>
          <w:color w:val="000000" w:themeColor="text1"/>
        </w:rPr>
        <w:t xml:space="preserve">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22</w:t>
      </w:r>
      <w:r w:rsidRPr="00B85D62">
        <w:rPr>
          <w:rFonts w:eastAsia="Calibri" w:cs="Arial"/>
          <w:color w:val="000000" w:themeColor="text1"/>
        </w:rPr>
        <w:t xml:space="preserve">. Participating health professionals were in active current </w:t>
      </w:r>
      <w:r w:rsidRPr="00B85D62">
        <w:rPr>
          <w:rFonts w:eastAsia="Calibri" w:cs="Arial"/>
          <w:color w:val="000000" w:themeColor="text1"/>
          <w:highlight w:val="magenta"/>
        </w:rPr>
        <w:t>practice</w:t>
      </w:r>
      <w:r w:rsidRPr="00B85D62">
        <w:rPr>
          <w:rFonts w:eastAsia="Calibri" w:cs="Arial"/>
          <w:color w:val="000000" w:themeColor="text1"/>
        </w:rPr>
        <w:t xml:space="preserve"> and their range of roles, including in service pathways are summarised in </w:t>
      </w:r>
      <w:r w:rsidR="00B85D62" w:rsidRPr="00B85D62">
        <w:rPr>
          <w:rFonts w:cs="Arial"/>
          <w:i/>
          <w:color w:val="FF0000"/>
        </w:rPr>
        <w:t>T</w:t>
      </w:r>
      <w:r w:rsidR="00B85D62" w:rsidRPr="00B85D62">
        <w:rPr>
          <w:rFonts w:cs="Arial"/>
          <w:i/>
          <w:color w:val="FF0000"/>
        </w:rPr>
        <w:t>able</w:t>
      </w:r>
      <w:r w:rsidR="00B85D62" w:rsidRPr="00B85D62">
        <w:rPr>
          <w:rFonts w:cs="Arial"/>
          <w:i/>
          <w:color w:val="FF0000"/>
        </w:rPr>
        <w:t xml:space="preserve"> </w:t>
      </w:r>
      <w:r w:rsidR="00B85D62" w:rsidRPr="00B85D62">
        <w:rPr>
          <w:rFonts w:cs="Arial"/>
          <w:i/>
          <w:noProof/>
          <w:color w:val="FF0000"/>
        </w:rPr>
        <w:t>23</w:t>
      </w:r>
      <w:r w:rsidR="00CB79F2" w:rsidRPr="00B85D62">
        <w:rPr>
          <w:rFonts w:eastAsia="Calibri" w:cs="Arial"/>
          <w:b/>
          <w:bCs/>
          <w:color w:val="000000" w:themeColor="text1"/>
        </w:rPr>
        <w:t>.</w:t>
      </w:r>
      <w:bookmarkStart w:id="257" w:name="_Ref79670630"/>
    </w:p>
    <w:p w14:paraId="27437F5F" w14:textId="49CD47C7" w:rsidR="000A4171" w:rsidRPr="00B85D62" w:rsidRDefault="00B85D62" w:rsidP="000A4171">
      <w:pPr>
        <w:pStyle w:val="Caption"/>
        <w:keepNext/>
        <w:rPr>
          <w:rFonts w:cs="Arial"/>
        </w:rPr>
      </w:pPr>
      <w:bookmarkStart w:id="258" w:name="_Toc79740217"/>
      <w:bookmarkStart w:id="259" w:name="_Toc107157376"/>
      <w:r w:rsidRPr="00B85D62">
        <w:rPr>
          <w:rFonts w:cs="Arial"/>
          <w:i/>
          <w:color w:val="FF0000"/>
        </w:rPr>
        <w:t>T</w:t>
      </w:r>
      <w:r w:rsidRPr="00B85D62">
        <w:rPr>
          <w:rFonts w:cs="Arial"/>
          <w:i/>
          <w:color w:val="FF0000"/>
        </w:rPr>
        <w:t>able</w:t>
      </w:r>
      <w:r w:rsidRPr="00B85D62">
        <w:rPr>
          <w:rFonts w:cs="Arial"/>
          <w:i/>
          <w:color w:val="FF0000"/>
        </w:rPr>
        <w:t xml:space="preserve"> </w:t>
      </w:r>
      <w:bookmarkEnd w:id="257"/>
      <w:r w:rsidRPr="00B85D62">
        <w:rPr>
          <w:rFonts w:cs="Arial"/>
          <w:i/>
          <w:noProof/>
          <w:color w:val="FF0000"/>
        </w:rPr>
        <w:t>22</w:t>
      </w:r>
      <w:r w:rsidR="000A4171" w:rsidRPr="00B85D62">
        <w:rPr>
          <w:rFonts w:cs="Arial"/>
        </w:rPr>
        <w:t xml:space="preserve"> Characteristics of Patient &amp; Relative Participants</w:t>
      </w:r>
      <w:bookmarkEnd w:id="258"/>
      <w:bookmarkEnd w:id="25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000" w:firstRow="0" w:lastRow="0" w:firstColumn="0" w:lastColumn="0" w:noHBand="0" w:noVBand="0"/>
      </w:tblPr>
      <w:tblGrid>
        <w:gridCol w:w="6308"/>
        <w:gridCol w:w="579"/>
      </w:tblGrid>
      <w:tr w:rsidR="3341BD48" w:rsidRPr="00B85D62" w14:paraId="2EE98D11" w14:textId="77777777" w:rsidTr="00B85D62">
        <w:trPr>
          <w:cantSplit/>
        </w:trPr>
        <w:tc>
          <w:tcPr>
            <w:tcW w:w="0" w:type="auto"/>
            <w:shd w:val="clear" w:color="auto" w:fill="auto"/>
          </w:tcPr>
          <w:p w14:paraId="4CF736A5" w14:textId="41C35E5F" w:rsidR="3341BD48" w:rsidRPr="00B85D62" w:rsidRDefault="3341BD48" w:rsidP="0066232B">
            <w:pPr>
              <w:spacing w:before="120"/>
              <w:rPr>
                <w:rFonts w:eastAsia="Calibri" w:cs="Arial"/>
                <w:b/>
                <w:bCs/>
              </w:rPr>
            </w:pPr>
            <w:r w:rsidRPr="00B85D62">
              <w:rPr>
                <w:rFonts w:eastAsia="Calibri" w:cs="Arial"/>
                <w:b/>
                <w:bCs/>
              </w:rPr>
              <w:t>Patient &amp; Relative Characteristics</w:t>
            </w:r>
          </w:p>
        </w:tc>
        <w:tc>
          <w:tcPr>
            <w:tcW w:w="0" w:type="auto"/>
            <w:shd w:val="clear" w:color="auto" w:fill="auto"/>
          </w:tcPr>
          <w:p w14:paraId="372C64AA" w14:textId="3795D39F" w:rsidR="3341BD48" w:rsidRPr="00B85D62" w:rsidRDefault="3341BD48" w:rsidP="0066232B">
            <w:pPr>
              <w:spacing w:before="120"/>
              <w:rPr>
                <w:rFonts w:eastAsia="Calibri" w:cs="Arial"/>
                <w:b/>
                <w:bCs/>
              </w:rPr>
            </w:pPr>
            <w:r w:rsidRPr="00B85D62">
              <w:rPr>
                <w:rFonts w:eastAsia="Calibri" w:cs="Arial"/>
                <w:b/>
                <w:bCs/>
                <w:i/>
                <w:iCs/>
              </w:rPr>
              <w:t>N=20</w:t>
            </w:r>
          </w:p>
        </w:tc>
      </w:tr>
      <w:tr w:rsidR="3341BD48" w:rsidRPr="00B85D62" w14:paraId="13829847" w14:textId="77777777" w:rsidTr="00B85D62">
        <w:trPr>
          <w:cantSplit/>
        </w:trPr>
        <w:tc>
          <w:tcPr>
            <w:tcW w:w="0" w:type="auto"/>
            <w:shd w:val="clear" w:color="auto" w:fill="auto"/>
          </w:tcPr>
          <w:p w14:paraId="24B307D1" w14:textId="77777777" w:rsidR="00B85D62" w:rsidRPr="00B85D62" w:rsidRDefault="3341BD48" w:rsidP="0066232B">
            <w:pPr>
              <w:rPr>
                <w:rFonts w:eastAsia="Calibri" w:cs="Arial"/>
              </w:rPr>
            </w:pPr>
            <w:r w:rsidRPr="00B85D62">
              <w:rPr>
                <w:rFonts w:eastAsia="Calibri" w:cs="Arial"/>
              </w:rPr>
              <w:t>Index patient</w:t>
            </w:r>
          </w:p>
          <w:p w14:paraId="73A45C9C" w14:textId="03EFE1B8" w:rsidR="3341BD48" w:rsidRPr="00B85D62" w:rsidRDefault="3341BD48" w:rsidP="0066232B">
            <w:pPr>
              <w:rPr>
                <w:rFonts w:eastAsia="Calibri" w:cs="Arial"/>
                <w:b/>
                <w:bCs/>
              </w:rPr>
            </w:pPr>
            <w:r w:rsidRPr="00B85D62">
              <w:rPr>
                <w:rFonts w:eastAsia="Calibri" w:cs="Arial"/>
              </w:rPr>
              <w:t>Relative (First Degree)</w:t>
            </w:r>
          </w:p>
        </w:tc>
        <w:tc>
          <w:tcPr>
            <w:tcW w:w="0" w:type="auto"/>
            <w:shd w:val="clear" w:color="auto" w:fill="auto"/>
          </w:tcPr>
          <w:p w14:paraId="2802FA2C" w14:textId="5DE72251" w:rsidR="3341BD48" w:rsidRPr="00B85D62" w:rsidRDefault="3341BD48" w:rsidP="0066232B">
            <w:pPr>
              <w:rPr>
                <w:rFonts w:eastAsia="Calibri" w:cs="Arial"/>
              </w:rPr>
            </w:pPr>
            <w:r w:rsidRPr="00B85D62">
              <w:rPr>
                <w:rFonts w:eastAsia="Calibri" w:cs="Arial"/>
              </w:rPr>
              <w:t>10</w:t>
            </w:r>
          </w:p>
          <w:p w14:paraId="0C6AC6C7" w14:textId="570D1B85" w:rsidR="3341BD48" w:rsidRPr="00B85D62" w:rsidRDefault="3341BD48" w:rsidP="0066232B">
            <w:pPr>
              <w:rPr>
                <w:rFonts w:eastAsia="Calibri" w:cs="Arial"/>
              </w:rPr>
            </w:pPr>
            <w:r w:rsidRPr="00B85D62">
              <w:rPr>
                <w:rFonts w:eastAsia="Calibri" w:cs="Arial"/>
              </w:rPr>
              <w:t>10</w:t>
            </w:r>
          </w:p>
        </w:tc>
      </w:tr>
      <w:tr w:rsidR="3341BD48" w:rsidRPr="00B85D62" w14:paraId="1EED9F47" w14:textId="77777777" w:rsidTr="00B85D62">
        <w:trPr>
          <w:cantSplit/>
        </w:trPr>
        <w:tc>
          <w:tcPr>
            <w:tcW w:w="0" w:type="auto"/>
            <w:shd w:val="clear" w:color="auto" w:fill="auto"/>
          </w:tcPr>
          <w:p w14:paraId="2B26B244" w14:textId="4289BA02" w:rsidR="3341BD48" w:rsidRPr="00B85D62" w:rsidRDefault="3341BD48" w:rsidP="0066232B">
            <w:pPr>
              <w:rPr>
                <w:rFonts w:eastAsia="Calibri" w:cs="Arial"/>
                <w:b/>
                <w:bCs/>
              </w:rPr>
            </w:pPr>
            <w:r w:rsidRPr="00B85D62">
              <w:rPr>
                <w:rFonts w:eastAsia="Calibri" w:cs="Arial"/>
                <w:i/>
                <w:iCs/>
              </w:rPr>
              <w:t>Gender</w:t>
            </w:r>
          </w:p>
          <w:p w14:paraId="68B05CAE" w14:textId="03B42EB7" w:rsidR="3341BD48" w:rsidRPr="00B85D62" w:rsidRDefault="3341BD48" w:rsidP="0066232B">
            <w:pPr>
              <w:ind w:firstLine="306"/>
              <w:rPr>
                <w:rFonts w:eastAsia="Calibri" w:cs="Arial"/>
                <w:b/>
                <w:bCs/>
              </w:rPr>
            </w:pPr>
            <w:r w:rsidRPr="00B85D62">
              <w:rPr>
                <w:rFonts w:eastAsia="Calibri" w:cs="Arial"/>
              </w:rPr>
              <w:t>M</w:t>
            </w:r>
          </w:p>
          <w:p w14:paraId="19866229" w14:textId="62330254" w:rsidR="3341BD48" w:rsidRPr="00B85D62" w:rsidRDefault="3341BD48" w:rsidP="0066232B">
            <w:pPr>
              <w:ind w:firstLine="306"/>
              <w:rPr>
                <w:rFonts w:eastAsia="Calibri" w:cs="Arial"/>
                <w:b/>
                <w:bCs/>
              </w:rPr>
            </w:pPr>
            <w:r w:rsidRPr="00B85D62">
              <w:rPr>
                <w:rFonts w:eastAsia="Calibri" w:cs="Arial"/>
              </w:rPr>
              <w:t>F</w:t>
            </w:r>
          </w:p>
        </w:tc>
        <w:tc>
          <w:tcPr>
            <w:tcW w:w="0" w:type="auto"/>
            <w:shd w:val="clear" w:color="auto" w:fill="auto"/>
          </w:tcPr>
          <w:p w14:paraId="639EFDA2" w14:textId="72C262B6" w:rsidR="3341BD48" w:rsidRPr="00B85D62" w:rsidRDefault="3341BD48" w:rsidP="0066232B">
            <w:pPr>
              <w:rPr>
                <w:rFonts w:eastAsia="Calibri" w:cs="Arial"/>
              </w:rPr>
            </w:pPr>
          </w:p>
          <w:p w14:paraId="3E11C6BD" w14:textId="2B5250B7" w:rsidR="3341BD48" w:rsidRPr="00B85D62" w:rsidRDefault="3341BD48" w:rsidP="0066232B">
            <w:pPr>
              <w:rPr>
                <w:rFonts w:eastAsia="Calibri" w:cs="Arial"/>
              </w:rPr>
            </w:pPr>
            <w:r w:rsidRPr="00B85D62">
              <w:rPr>
                <w:rFonts w:eastAsia="Calibri" w:cs="Arial"/>
              </w:rPr>
              <w:t>5</w:t>
            </w:r>
          </w:p>
          <w:p w14:paraId="04A6C5C7" w14:textId="6DF0DA2F" w:rsidR="3341BD48" w:rsidRPr="00B85D62" w:rsidRDefault="3341BD48" w:rsidP="0066232B">
            <w:pPr>
              <w:rPr>
                <w:rFonts w:eastAsia="Calibri" w:cs="Arial"/>
              </w:rPr>
            </w:pPr>
            <w:r w:rsidRPr="00B85D62">
              <w:rPr>
                <w:rFonts w:eastAsia="Calibri" w:cs="Arial"/>
              </w:rPr>
              <w:t>15</w:t>
            </w:r>
          </w:p>
        </w:tc>
      </w:tr>
      <w:tr w:rsidR="3341BD48" w:rsidRPr="00B85D62" w14:paraId="7C0A88E2" w14:textId="77777777" w:rsidTr="00B85D62">
        <w:trPr>
          <w:cantSplit/>
        </w:trPr>
        <w:tc>
          <w:tcPr>
            <w:tcW w:w="0" w:type="auto"/>
            <w:shd w:val="clear" w:color="auto" w:fill="auto"/>
          </w:tcPr>
          <w:p w14:paraId="75A12302" w14:textId="0091B5FA" w:rsidR="3341BD48" w:rsidRPr="00B85D62" w:rsidRDefault="3341BD48" w:rsidP="0066232B">
            <w:pPr>
              <w:rPr>
                <w:rFonts w:eastAsia="Calibri" w:cs="Arial"/>
                <w:b/>
                <w:bCs/>
              </w:rPr>
            </w:pPr>
            <w:r w:rsidRPr="00B85D62">
              <w:rPr>
                <w:rFonts w:eastAsia="Calibri" w:cs="Arial"/>
                <w:i/>
                <w:iCs/>
              </w:rPr>
              <w:t>Age (years)</w:t>
            </w:r>
            <w:r w:rsidR="00B85D62" w:rsidRPr="00B85D62">
              <w:rPr>
                <w:rFonts w:eastAsia="Calibri" w:cs="Arial"/>
                <w:i/>
                <w:iCs/>
                <w:color w:val="00B0F0"/>
              </w:rPr>
              <w:t>. . .</w:t>
            </w:r>
          </w:p>
          <w:p w14:paraId="23AFE4D1" w14:textId="75CD9EF0" w:rsidR="3341BD48" w:rsidRPr="00B85D62" w:rsidRDefault="00B85D62" w:rsidP="0066232B">
            <w:pPr>
              <w:ind w:firstLine="306"/>
              <w:rPr>
                <w:rFonts w:eastAsia="Calibri" w:cs="Arial"/>
                <w:b/>
                <w:bCs/>
              </w:rPr>
            </w:pPr>
            <w:r w:rsidRPr="00B85D62">
              <w:rPr>
                <w:rFonts w:eastAsia="Calibri" w:cs="Arial"/>
                <w:color w:val="00B0F0"/>
              </w:rPr>
              <w:t>&lt;</w:t>
            </w:r>
            <w:r w:rsidRPr="00B85D62">
              <w:rPr>
                <w:rFonts w:eastAsia="Calibri" w:cs="Arial"/>
                <w:color w:val="00B0F0"/>
              </w:rPr>
              <w:t> </w:t>
            </w:r>
            <w:r w:rsidR="3341BD48" w:rsidRPr="00B85D62">
              <w:rPr>
                <w:rFonts w:eastAsia="Calibri" w:cs="Arial"/>
              </w:rPr>
              <w:t>18</w:t>
            </w:r>
          </w:p>
          <w:p w14:paraId="170B8A2A" w14:textId="140876E4" w:rsidR="3341BD48" w:rsidRPr="00B85D62" w:rsidRDefault="3341BD48" w:rsidP="0066232B">
            <w:pPr>
              <w:ind w:firstLine="306"/>
              <w:rPr>
                <w:rFonts w:eastAsia="Calibri" w:cs="Arial"/>
                <w:b/>
                <w:bCs/>
              </w:rPr>
            </w:pPr>
            <w:r w:rsidRPr="00B85D62">
              <w:rPr>
                <w:rFonts w:eastAsia="Calibri" w:cs="Arial"/>
              </w:rPr>
              <w:t xml:space="preserve">19 </w:t>
            </w:r>
            <w:r w:rsidR="00B85D62" w:rsidRPr="00B85D62">
              <w:rPr>
                <w:rFonts w:eastAsia="Calibri" w:cs="Arial"/>
                <w:color w:val="00B0F0"/>
              </w:rPr>
              <w:t>–</w:t>
            </w:r>
            <w:r w:rsidR="00B85D62" w:rsidRPr="00B85D62">
              <w:rPr>
                <w:rFonts w:eastAsia="Calibri" w:cs="Arial"/>
                <w:color w:val="00B0F0"/>
              </w:rPr>
              <w:t>2</w:t>
            </w:r>
            <w:r w:rsidRPr="00B85D62">
              <w:rPr>
                <w:rFonts w:eastAsia="Calibri" w:cs="Arial"/>
              </w:rPr>
              <w:t>9</w:t>
            </w:r>
          </w:p>
          <w:p w14:paraId="4055CD5F" w14:textId="32A2179F" w:rsidR="3341BD48" w:rsidRPr="00B85D62" w:rsidRDefault="3341BD48" w:rsidP="0066232B">
            <w:pPr>
              <w:ind w:firstLine="306"/>
              <w:rPr>
                <w:rFonts w:eastAsia="Calibri" w:cs="Arial"/>
                <w:b/>
                <w:bCs/>
              </w:rPr>
            </w:pPr>
            <w:r w:rsidRPr="00B85D62">
              <w:rPr>
                <w:rFonts w:eastAsia="Calibri" w:cs="Arial"/>
              </w:rPr>
              <w:t xml:space="preserve">30 </w:t>
            </w:r>
            <w:r w:rsidR="00B85D62" w:rsidRPr="00B85D62">
              <w:rPr>
                <w:rFonts w:eastAsia="Calibri" w:cs="Arial"/>
                <w:color w:val="00B0F0"/>
              </w:rPr>
              <w:t>–</w:t>
            </w:r>
            <w:r w:rsidR="00B85D62" w:rsidRPr="00B85D62">
              <w:rPr>
                <w:rFonts w:eastAsia="Calibri" w:cs="Arial"/>
                <w:color w:val="00B0F0"/>
              </w:rPr>
              <w:t>3</w:t>
            </w:r>
            <w:r w:rsidRPr="00B85D62">
              <w:rPr>
                <w:rFonts w:eastAsia="Calibri" w:cs="Arial"/>
              </w:rPr>
              <w:t>9</w:t>
            </w:r>
          </w:p>
          <w:p w14:paraId="070FD73B" w14:textId="548CE084" w:rsidR="3341BD48" w:rsidRPr="00B85D62" w:rsidRDefault="3341BD48" w:rsidP="0066232B">
            <w:pPr>
              <w:ind w:firstLine="306"/>
              <w:rPr>
                <w:rFonts w:eastAsia="Calibri" w:cs="Arial"/>
                <w:b/>
                <w:bCs/>
              </w:rPr>
            </w:pPr>
            <w:r w:rsidRPr="00B85D62">
              <w:rPr>
                <w:rFonts w:eastAsia="Calibri" w:cs="Arial"/>
              </w:rPr>
              <w:t xml:space="preserve">40 </w:t>
            </w:r>
            <w:r w:rsidR="00B85D62" w:rsidRPr="00B85D62">
              <w:rPr>
                <w:rFonts w:eastAsia="Calibri" w:cs="Arial"/>
                <w:color w:val="00B0F0"/>
              </w:rPr>
              <w:t>–</w:t>
            </w:r>
            <w:r w:rsidR="00B85D62" w:rsidRPr="00B85D62">
              <w:rPr>
                <w:rFonts w:eastAsia="Calibri" w:cs="Arial"/>
                <w:color w:val="00B0F0"/>
              </w:rPr>
              <w:t>4</w:t>
            </w:r>
            <w:r w:rsidRPr="00B85D62">
              <w:rPr>
                <w:rFonts w:eastAsia="Calibri" w:cs="Arial"/>
              </w:rPr>
              <w:t>9</w:t>
            </w:r>
          </w:p>
          <w:p w14:paraId="1CC8DF57" w14:textId="3B865329" w:rsidR="3341BD48" w:rsidRPr="00B85D62" w:rsidRDefault="3341BD48" w:rsidP="0066232B">
            <w:pPr>
              <w:ind w:firstLine="306"/>
              <w:rPr>
                <w:rFonts w:eastAsia="Calibri" w:cs="Arial"/>
                <w:b/>
                <w:bCs/>
              </w:rPr>
            </w:pPr>
            <w:r w:rsidRPr="00B85D62">
              <w:rPr>
                <w:rFonts w:eastAsia="Calibri" w:cs="Arial"/>
              </w:rPr>
              <w:t xml:space="preserve">50 </w:t>
            </w:r>
            <w:r w:rsidR="00B85D62" w:rsidRPr="00B85D62">
              <w:rPr>
                <w:rFonts w:eastAsia="Calibri" w:cs="Arial"/>
                <w:color w:val="00B0F0"/>
              </w:rPr>
              <w:t>–</w:t>
            </w:r>
            <w:r w:rsidR="00B85D62" w:rsidRPr="00B85D62">
              <w:rPr>
                <w:rFonts w:eastAsia="Calibri" w:cs="Arial"/>
                <w:color w:val="00B0F0"/>
              </w:rPr>
              <w:t>5</w:t>
            </w:r>
            <w:r w:rsidRPr="00B85D62">
              <w:rPr>
                <w:rFonts w:eastAsia="Calibri" w:cs="Arial"/>
              </w:rPr>
              <w:t>9</w:t>
            </w:r>
          </w:p>
          <w:p w14:paraId="7658140A" w14:textId="33FB4EC7" w:rsidR="3341BD48" w:rsidRPr="00B85D62" w:rsidRDefault="3341BD48" w:rsidP="0066232B">
            <w:pPr>
              <w:ind w:firstLine="306"/>
              <w:rPr>
                <w:rFonts w:eastAsia="Calibri" w:cs="Arial"/>
                <w:b/>
                <w:bCs/>
              </w:rPr>
            </w:pPr>
            <w:r w:rsidRPr="00B85D62">
              <w:rPr>
                <w:rFonts w:eastAsia="Calibri" w:cs="Arial"/>
              </w:rPr>
              <w:t xml:space="preserve">60 </w:t>
            </w:r>
            <w:r w:rsidR="00B85D62" w:rsidRPr="00B85D62">
              <w:rPr>
                <w:rFonts w:eastAsia="Calibri" w:cs="Arial"/>
                <w:color w:val="00B0F0"/>
              </w:rPr>
              <w:t>–</w:t>
            </w:r>
            <w:r w:rsidR="00B85D62" w:rsidRPr="00B85D62">
              <w:rPr>
                <w:rFonts w:eastAsia="Calibri" w:cs="Arial"/>
                <w:color w:val="00B0F0"/>
              </w:rPr>
              <w:t>6</w:t>
            </w:r>
            <w:r w:rsidRPr="00B85D62">
              <w:rPr>
                <w:rFonts w:eastAsia="Calibri" w:cs="Arial"/>
              </w:rPr>
              <w:t>9</w:t>
            </w:r>
          </w:p>
          <w:p w14:paraId="05290AB4" w14:textId="247E8064" w:rsidR="3341BD48" w:rsidRPr="00B85D62" w:rsidRDefault="00B85D62" w:rsidP="00923BC2">
            <w:pPr>
              <w:pStyle w:val="ListParagraph"/>
              <w:numPr>
                <w:ilvl w:val="0"/>
                <w:numId w:val="11"/>
              </w:numPr>
              <w:spacing w:after="160"/>
              <w:rPr>
                <w:rFonts w:eastAsiaTheme="minorEastAsia" w:cs="Arial"/>
              </w:rPr>
            </w:pPr>
            <w:r w:rsidRPr="00B85D62">
              <w:rPr>
                <w:rFonts w:eastAsia="Calibri" w:cs="Arial"/>
                <w:color w:val="00B0F0"/>
              </w:rPr>
              <w:t>–</w:t>
            </w:r>
            <w:r w:rsidRPr="00B85D62">
              <w:rPr>
                <w:rFonts w:eastAsia="Calibri" w:cs="Arial"/>
                <w:color w:val="00B0F0"/>
              </w:rPr>
              <w:t>7</w:t>
            </w:r>
            <w:r w:rsidR="3341BD48" w:rsidRPr="00B85D62">
              <w:rPr>
                <w:rFonts w:eastAsia="Calibri" w:cs="Arial"/>
              </w:rPr>
              <w:t>9</w:t>
            </w:r>
          </w:p>
          <w:p w14:paraId="02BC6FB7" w14:textId="6FBD6A74" w:rsidR="3341BD48" w:rsidRPr="00B85D62" w:rsidRDefault="00B85D62" w:rsidP="0066232B">
            <w:pPr>
              <w:ind w:firstLine="306"/>
              <w:rPr>
                <w:rFonts w:eastAsia="Calibri" w:cs="Arial"/>
                <w:b/>
                <w:bCs/>
              </w:rPr>
            </w:pPr>
            <w:r w:rsidRPr="00B85D62">
              <w:rPr>
                <w:rFonts w:eastAsia="Calibri" w:cs="Arial"/>
                <w:color w:val="00B0F0"/>
              </w:rPr>
              <w:t>&gt;</w:t>
            </w:r>
            <w:r w:rsidRPr="00B85D62">
              <w:rPr>
                <w:rFonts w:eastAsia="Calibri" w:cs="Arial"/>
                <w:color w:val="00B0F0"/>
              </w:rPr>
              <w:t> </w:t>
            </w:r>
            <w:r w:rsidR="3341BD48" w:rsidRPr="00B85D62">
              <w:rPr>
                <w:rFonts w:eastAsia="Calibri" w:cs="Arial"/>
              </w:rPr>
              <w:t>80</w:t>
            </w:r>
          </w:p>
        </w:tc>
        <w:tc>
          <w:tcPr>
            <w:tcW w:w="0" w:type="auto"/>
            <w:shd w:val="clear" w:color="auto" w:fill="auto"/>
          </w:tcPr>
          <w:p w14:paraId="1FF6C5BD" w14:textId="4AF46670" w:rsidR="3341BD48" w:rsidRPr="00B85D62" w:rsidRDefault="3341BD48" w:rsidP="0066232B">
            <w:pPr>
              <w:rPr>
                <w:rFonts w:eastAsia="Calibri" w:cs="Arial"/>
              </w:rPr>
            </w:pPr>
          </w:p>
          <w:p w14:paraId="225EE34A" w14:textId="3D935945" w:rsidR="3341BD48" w:rsidRPr="00B85D62" w:rsidRDefault="3341BD48" w:rsidP="0066232B">
            <w:pPr>
              <w:rPr>
                <w:rFonts w:eastAsia="Calibri" w:cs="Arial"/>
              </w:rPr>
            </w:pPr>
            <w:r w:rsidRPr="00B85D62">
              <w:rPr>
                <w:rFonts w:eastAsia="Calibri" w:cs="Arial"/>
              </w:rPr>
              <w:t>1</w:t>
            </w:r>
          </w:p>
          <w:p w14:paraId="79DD8475" w14:textId="64FD8ED2" w:rsidR="3341BD48" w:rsidRPr="00B85D62" w:rsidRDefault="3341BD48" w:rsidP="0066232B">
            <w:pPr>
              <w:rPr>
                <w:rFonts w:eastAsia="Calibri" w:cs="Arial"/>
              </w:rPr>
            </w:pPr>
            <w:r w:rsidRPr="00B85D62">
              <w:rPr>
                <w:rFonts w:eastAsia="Calibri" w:cs="Arial"/>
              </w:rPr>
              <w:t>1</w:t>
            </w:r>
          </w:p>
          <w:p w14:paraId="291E27EB" w14:textId="1C65D28E" w:rsidR="3341BD48" w:rsidRPr="00B85D62" w:rsidRDefault="3341BD48" w:rsidP="0066232B">
            <w:pPr>
              <w:rPr>
                <w:rFonts w:eastAsia="Calibri" w:cs="Arial"/>
              </w:rPr>
            </w:pPr>
            <w:r w:rsidRPr="00B85D62">
              <w:rPr>
                <w:rFonts w:eastAsia="Calibri" w:cs="Arial"/>
              </w:rPr>
              <w:t>1</w:t>
            </w:r>
          </w:p>
          <w:p w14:paraId="7C3796AC" w14:textId="74A7DBAA" w:rsidR="3341BD48" w:rsidRPr="00B85D62" w:rsidRDefault="3341BD48" w:rsidP="0066232B">
            <w:pPr>
              <w:rPr>
                <w:rFonts w:eastAsia="Calibri" w:cs="Arial"/>
              </w:rPr>
            </w:pPr>
            <w:r w:rsidRPr="00B85D62">
              <w:rPr>
                <w:rFonts w:eastAsia="Calibri" w:cs="Arial"/>
              </w:rPr>
              <w:t>7</w:t>
            </w:r>
          </w:p>
          <w:p w14:paraId="6569B03E" w14:textId="713D9621" w:rsidR="3341BD48" w:rsidRPr="00B85D62" w:rsidRDefault="3341BD48" w:rsidP="0066232B">
            <w:pPr>
              <w:rPr>
                <w:rFonts w:eastAsia="Calibri" w:cs="Arial"/>
              </w:rPr>
            </w:pPr>
            <w:r w:rsidRPr="00B85D62">
              <w:rPr>
                <w:rFonts w:eastAsia="Calibri" w:cs="Arial"/>
              </w:rPr>
              <w:t>4</w:t>
            </w:r>
          </w:p>
          <w:p w14:paraId="15C09249" w14:textId="29BD4264" w:rsidR="3341BD48" w:rsidRPr="00B85D62" w:rsidRDefault="3341BD48" w:rsidP="0066232B">
            <w:pPr>
              <w:rPr>
                <w:rFonts w:eastAsia="Calibri" w:cs="Arial"/>
              </w:rPr>
            </w:pPr>
            <w:r w:rsidRPr="00B85D62">
              <w:rPr>
                <w:rFonts w:eastAsia="Calibri" w:cs="Arial"/>
              </w:rPr>
              <w:t>3</w:t>
            </w:r>
          </w:p>
          <w:p w14:paraId="32D5E149" w14:textId="4835310C" w:rsidR="3341BD48" w:rsidRPr="00B85D62" w:rsidRDefault="3341BD48" w:rsidP="0066232B">
            <w:pPr>
              <w:rPr>
                <w:rFonts w:eastAsia="Calibri" w:cs="Arial"/>
              </w:rPr>
            </w:pPr>
            <w:r w:rsidRPr="00B85D62">
              <w:rPr>
                <w:rFonts w:eastAsia="Calibri" w:cs="Arial"/>
              </w:rPr>
              <w:t>2</w:t>
            </w:r>
          </w:p>
          <w:p w14:paraId="25F25009" w14:textId="76D96F35" w:rsidR="3341BD48" w:rsidRPr="00B85D62" w:rsidRDefault="3341BD48" w:rsidP="0066232B">
            <w:pPr>
              <w:rPr>
                <w:rFonts w:eastAsia="Calibri" w:cs="Arial"/>
              </w:rPr>
            </w:pPr>
            <w:r w:rsidRPr="00B85D62">
              <w:rPr>
                <w:rFonts w:eastAsia="Calibri" w:cs="Arial"/>
              </w:rPr>
              <w:t>1</w:t>
            </w:r>
          </w:p>
        </w:tc>
      </w:tr>
      <w:tr w:rsidR="3341BD48" w:rsidRPr="00B85D62" w14:paraId="5BD6D872" w14:textId="77777777" w:rsidTr="00B85D62">
        <w:trPr>
          <w:cantSplit/>
        </w:trPr>
        <w:tc>
          <w:tcPr>
            <w:tcW w:w="0" w:type="auto"/>
            <w:shd w:val="clear" w:color="auto" w:fill="auto"/>
          </w:tcPr>
          <w:p w14:paraId="0DED4F3D" w14:textId="61157292" w:rsidR="3341BD48" w:rsidRPr="00B85D62" w:rsidRDefault="3341BD48" w:rsidP="0066232B">
            <w:pPr>
              <w:rPr>
                <w:rFonts w:eastAsia="Calibri" w:cs="Arial"/>
                <w:b/>
                <w:bCs/>
              </w:rPr>
            </w:pPr>
            <w:r w:rsidRPr="00B85D62">
              <w:rPr>
                <w:rFonts w:eastAsia="Calibri" w:cs="Arial"/>
                <w:i/>
                <w:iCs/>
              </w:rPr>
              <w:t>Highest Formal Education</w:t>
            </w:r>
          </w:p>
          <w:p w14:paraId="00682E51" w14:textId="64F866C7" w:rsidR="3341BD48" w:rsidRPr="00B85D62" w:rsidRDefault="3341BD48" w:rsidP="0066232B">
            <w:pPr>
              <w:rPr>
                <w:rFonts w:eastAsia="Calibri" w:cs="Arial"/>
                <w:b/>
                <w:bCs/>
              </w:rPr>
            </w:pPr>
            <w:r w:rsidRPr="00B85D62">
              <w:rPr>
                <w:rFonts w:eastAsia="Calibri" w:cs="Arial"/>
              </w:rPr>
              <w:t>Degree level qualification or above</w:t>
            </w:r>
          </w:p>
          <w:p w14:paraId="1CE031E7" w14:textId="152725E6" w:rsidR="3341BD48" w:rsidRPr="00B85D62" w:rsidRDefault="3341BD48" w:rsidP="0066232B">
            <w:pPr>
              <w:rPr>
                <w:rFonts w:eastAsia="Calibri" w:cs="Arial"/>
                <w:b/>
                <w:bCs/>
              </w:rPr>
            </w:pPr>
            <w:r w:rsidRPr="00B85D62">
              <w:rPr>
                <w:rFonts w:eastAsia="Calibri" w:cs="Arial"/>
              </w:rPr>
              <w:t>School &amp; College level (GCSE/O-Level/CSE/A Level/equivalent vocational)</w:t>
            </w:r>
          </w:p>
          <w:p w14:paraId="227ADBB5" w14:textId="7C3A2362" w:rsidR="3341BD48" w:rsidRPr="00B85D62" w:rsidRDefault="3341BD48" w:rsidP="0066232B">
            <w:pPr>
              <w:rPr>
                <w:rFonts w:eastAsia="Calibri" w:cs="Arial"/>
                <w:b/>
                <w:bCs/>
              </w:rPr>
            </w:pPr>
            <w:r w:rsidRPr="00B85D62">
              <w:rPr>
                <w:rFonts w:eastAsia="Calibri" w:cs="Arial"/>
              </w:rPr>
              <w:t>No formal qualification</w:t>
            </w:r>
          </w:p>
        </w:tc>
        <w:tc>
          <w:tcPr>
            <w:tcW w:w="0" w:type="auto"/>
            <w:shd w:val="clear" w:color="auto" w:fill="auto"/>
          </w:tcPr>
          <w:p w14:paraId="34C3ADFC" w14:textId="4E796D0F" w:rsidR="3341BD48" w:rsidRPr="00B85D62" w:rsidRDefault="3341BD48" w:rsidP="0066232B">
            <w:pPr>
              <w:rPr>
                <w:rFonts w:eastAsia="Calibri" w:cs="Arial"/>
              </w:rPr>
            </w:pPr>
          </w:p>
          <w:p w14:paraId="14E4B290" w14:textId="45B639F2" w:rsidR="3341BD48" w:rsidRPr="00B85D62" w:rsidRDefault="3341BD48" w:rsidP="0066232B">
            <w:pPr>
              <w:rPr>
                <w:rFonts w:eastAsia="Calibri" w:cs="Arial"/>
              </w:rPr>
            </w:pPr>
            <w:r w:rsidRPr="00B85D62">
              <w:rPr>
                <w:rFonts w:eastAsia="Calibri" w:cs="Arial"/>
              </w:rPr>
              <w:t>7</w:t>
            </w:r>
          </w:p>
          <w:p w14:paraId="31D1FE93" w14:textId="03C38DD8" w:rsidR="3341BD48" w:rsidRPr="00B85D62" w:rsidRDefault="3341BD48" w:rsidP="0066232B">
            <w:pPr>
              <w:rPr>
                <w:rFonts w:eastAsia="Calibri" w:cs="Arial"/>
              </w:rPr>
            </w:pPr>
            <w:r w:rsidRPr="00B85D62">
              <w:rPr>
                <w:rFonts w:eastAsia="Calibri" w:cs="Arial"/>
              </w:rPr>
              <w:t>8</w:t>
            </w:r>
          </w:p>
          <w:p w14:paraId="3DA9805E" w14:textId="6E7DE1A5" w:rsidR="3341BD48" w:rsidRPr="00B85D62" w:rsidRDefault="3341BD48" w:rsidP="0066232B">
            <w:pPr>
              <w:rPr>
                <w:rFonts w:eastAsia="Calibri" w:cs="Arial"/>
              </w:rPr>
            </w:pPr>
            <w:r w:rsidRPr="00B85D62">
              <w:rPr>
                <w:rFonts w:eastAsia="Calibri" w:cs="Arial"/>
              </w:rPr>
              <w:t>5</w:t>
            </w:r>
          </w:p>
        </w:tc>
      </w:tr>
      <w:tr w:rsidR="3341BD48" w:rsidRPr="00B85D62" w14:paraId="6FAC5591" w14:textId="77777777" w:rsidTr="00B85D62">
        <w:trPr>
          <w:cantSplit/>
        </w:trPr>
        <w:tc>
          <w:tcPr>
            <w:tcW w:w="0" w:type="auto"/>
            <w:shd w:val="clear" w:color="auto" w:fill="auto"/>
          </w:tcPr>
          <w:p w14:paraId="1EE6629D" w14:textId="4C202F57" w:rsidR="3341BD48" w:rsidRPr="00B85D62" w:rsidRDefault="3341BD48" w:rsidP="0066232B">
            <w:pPr>
              <w:ind w:firstLine="22"/>
              <w:rPr>
                <w:rFonts w:eastAsia="Calibri" w:cs="Arial"/>
                <w:b/>
                <w:bCs/>
              </w:rPr>
            </w:pPr>
            <w:r w:rsidRPr="00B85D62">
              <w:rPr>
                <w:rFonts w:eastAsia="Calibri" w:cs="Arial"/>
                <w:i/>
                <w:iCs/>
              </w:rPr>
              <w:t>Initial Contact Method Used</w:t>
            </w:r>
          </w:p>
          <w:p w14:paraId="0CF2973F" w14:textId="5F635BC5" w:rsidR="3341BD48" w:rsidRPr="00B85D62" w:rsidRDefault="3341BD48" w:rsidP="0066232B">
            <w:pPr>
              <w:ind w:left="306"/>
              <w:rPr>
                <w:rFonts w:eastAsia="Calibri" w:cs="Arial"/>
                <w:b/>
                <w:bCs/>
              </w:rPr>
            </w:pPr>
            <w:r w:rsidRPr="00B85D62">
              <w:rPr>
                <w:rFonts w:eastAsia="Calibri" w:cs="Arial"/>
              </w:rPr>
              <w:t>Direct</w:t>
            </w:r>
          </w:p>
          <w:p w14:paraId="57CB7786" w14:textId="67F621E9" w:rsidR="3341BD48" w:rsidRPr="00B85D62" w:rsidRDefault="3341BD48" w:rsidP="0066232B">
            <w:pPr>
              <w:ind w:left="306"/>
              <w:rPr>
                <w:rFonts w:eastAsia="Calibri" w:cs="Arial"/>
                <w:b/>
                <w:bCs/>
              </w:rPr>
            </w:pPr>
            <w:r w:rsidRPr="00B85D62">
              <w:rPr>
                <w:rFonts w:eastAsia="Calibri" w:cs="Arial"/>
              </w:rPr>
              <w:t>Indirect</w:t>
            </w:r>
          </w:p>
          <w:p w14:paraId="64A76A3F" w14:textId="0A41B90C" w:rsidR="3341BD48" w:rsidRPr="00B85D62" w:rsidRDefault="3341BD48" w:rsidP="0066232B">
            <w:pPr>
              <w:ind w:left="306"/>
              <w:rPr>
                <w:rFonts w:eastAsia="Calibri" w:cs="Arial"/>
                <w:b/>
                <w:bCs/>
              </w:rPr>
            </w:pPr>
            <w:r w:rsidRPr="00B85D62">
              <w:rPr>
                <w:rFonts w:eastAsia="Calibri" w:cs="Arial"/>
              </w:rPr>
              <w:t>Hybrid combination</w:t>
            </w:r>
          </w:p>
        </w:tc>
        <w:tc>
          <w:tcPr>
            <w:tcW w:w="0" w:type="auto"/>
            <w:shd w:val="clear" w:color="auto" w:fill="auto"/>
          </w:tcPr>
          <w:p w14:paraId="3EAED91A" w14:textId="6A701DB5" w:rsidR="3341BD48" w:rsidRPr="00B85D62" w:rsidRDefault="3341BD48" w:rsidP="0066232B">
            <w:pPr>
              <w:rPr>
                <w:rFonts w:eastAsia="Calibri" w:cs="Arial"/>
              </w:rPr>
            </w:pPr>
          </w:p>
          <w:p w14:paraId="46458CC0" w14:textId="44E0A90E" w:rsidR="3341BD48" w:rsidRPr="00B85D62" w:rsidRDefault="3341BD48" w:rsidP="0066232B">
            <w:pPr>
              <w:rPr>
                <w:rFonts w:eastAsia="Calibri" w:cs="Arial"/>
              </w:rPr>
            </w:pPr>
            <w:r w:rsidRPr="00B85D62">
              <w:rPr>
                <w:rFonts w:eastAsia="Calibri" w:cs="Arial"/>
              </w:rPr>
              <w:t>5</w:t>
            </w:r>
          </w:p>
          <w:p w14:paraId="78E231BE" w14:textId="3190C217" w:rsidR="3341BD48" w:rsidRPr="00B85D62" w:rsidRDefault="3341BD48" w:rsidP="0066232B">
            <w:pPr>
              <w:rPr>
                <w:rFonts w:eastAsia="Calibri" w:cs="Arial"/>
              </w:rPr>
            </w:pPr>
            <w:r w:rsidRPr="00B85D62">
              <w:rPr>
                <w:rFonts w:eastAsia="Calibri" w:cs="Arial"/>
              </w:rPr>
              <w:t>4</w:t>
            </w:r>
          </w:p>
          <w:p w14:paraId="2C9E20D2" w14:textId="39EC9DF0" w:rsidR="3341BD48" w:rsidRPr="00B85D62" w:rsidRDefault="3341BD48" w:rsidP="0066232B">
            <w:pPr>
              <w:rPr>
                <w:rFonts w:eastAsia="Calibri" w:cs="Arial"/>
              </w:rPr>
            </w:pPr>
            <w:r w:rsidRPr="00B85D62">
              <w:rPr>
                <w:rFonts w:eastAsia="Calibri" w:cs="Arial"/>
              </w:rPr>
              <w:t>11</w:t>
            </w:r>
          </w:p>
        </w:tc>
      </w:tr>
      <w:tr w:rsidR="3341BD48" w:rsidRPr="00B85D62" w14:paraId="2AD5843E" w14:textId="77777777" w:rsidTr="00B85D62">
        <w:trPr>
          <w:cantSplit/>
        </w:trPr>
        <w:tc>
          <w:tcPr>
            <w:tcW w:w="0" w:type="auto"/>
            <w:shd w:val="clear" w:color="auto" w:fill="auto"/>
          </w:tcPr>
          <w:p w14:paraId="7106FB17" w14:textId="1F5B2CD7" w:rsidR="3341BD48" w:rsidRPr="00B85D62" w:rsidRDefault="3341BD48" w:rsidP="0066232B">
            <w:pPr>
              <w:rPr>
                <w:rFonts w:eastAsia="Calibri" w:cs="Arial"/>
                <w:b/>
                <w:bCs/>
              </w:rPr>
            </w:pPr>
            <w:r w:rsidRPr="00B85D62">
              <w:rPr>
                <w:rFonts w:eastAsia="Calibri" w:cs="Arial"/>
                <w:i/>
                <w:iCs/>
              </w:rPr>
              <w:t>Cascade testing counselling (first contact for assessment)</w:t>
            </w:r>
          </w:p>
          <w:p w14:paraId="1C159A3E" w14:textId="00DBFBA7" w:rsidR="3341BD48" w:rsidRPr="00B85D62" w:rsidRDefault="3341BD48" w:rsidP="0066232B">
            <w:pPr>
              <w:ind w:firstLine="306"/>
              <w:rPr>
                <w:rFonts w:eastAsia="Calibri" w:cs="Arial"/>
                <w:b/>
                <w:bCs/>
              </w:rPr>
            </w:pPr>
            <w:r w:rsidRPr="00B85D62">
              <w:rPr>
                <w:rFonts w:eastAsia="Calibri" w:cs="Arial"/>
              </w:rPr>
              <w:t>FH Specialist Nurse (in secondary care)</w:t>
            </w:r>
          </w:p>
          <w:p w14:paraId="6752DC99" w14:textId="3ED7877E" w:rsidR="3341BD48" w:rsidRPr="00B85D62" w:rsidRDefault="3341BD48" w:rsidP="0066232B">
            <w:pPr>
              <w:ind w:firstLine="306"/>
              <w:rPr>
                <w:rFonts w:eastAsia="Calibri" w:cs="Arial"/>
                <w:b/>
                <w:bCs/>
              </w:rPr>
            </w:pPr>
            <w:r w:rsidRPr="00B85D62">
              <w:rPr>
                <w:rFonts w:eastAsia="Calibri" w:cs="Arial"/>
              </w:rPr>
              <w:t>FH Specialist Nurse (from secondary care or community outreach)</w:t>
            </w:r>
          </w:p>
          <w:p w14:paraId="29391808" w14:textId="16A4C0B4" w:rsidR="3341BD48" w:rsidRPr="00B85D62" w:rsidRDefault="3341BD48" w:rsidP="0066232B">
            <w:pPr>
              <w:ind w:firstLine="306"/>
              <w:rPr>
                <w:rFonts w:eastAsia="Calibri" w:cs="Arial"/>
                <w:b/>
                <w:bCs/>
              </w:rPr>
            </w:pPr>
            <w:r w:rsidRPr="00B85D62">
              <w:rPr>
                <w:rFonts w:eastAsia="Calibri" w:cs="Arial"/>
              </w:rPr>
              <w:t>Genetic Counsellor (specialist centre)</w:t>
            </w:r>
          </w:p>
          <w:p w14:paraId="33F4831F" w14:textId="0C1B0772" w:rsidR="3341BD48" w:rsidRPr="00B85D62" w:rsidRDefault="3341BD48" w:rsidP="0066232B">
            <w:pPr>
              <w:ind w:firstLine="306"/>
              <w:rPr>
                <w:rFonts w:eastAsia="Calibri" w:cs="Arial"/>
                <w:b/>
                <w:bCs/>
              </w:rPr>
            </w:pPr>
            <w:r w:rsidRPr="00B85D62">
              <w:rPr>
                <w:rFonts w:eastAsia="Calibri" w:cs="Arial"/>
              </w:rPr>
              <w:t>Lipidologist (secondary care)</w:t>
            </w:r>
          </w:p>
        </w:tc>
        <w:tc>
          <w:tcPr>
            <w:tcW w:w="0" w:type="auto"/>
            <w:shd w:val="clear" w:color="auto" w:fill="auto"/>
          </w:tcPr>
          <w:p w14:paraId="5DF25687" w14:textId="55398529" w:rsidR="3341BD48" w:rsidRPr="00B85D62" w:rsidRDefault="3341BD48" w:rsidP="0066232B">
            <w:pPr>
              <w:rPr>
                <w:rFonts w:eastAsia="Calibri" w:cs="Arial"/>
              </w:rPr>
            </w:pPr>
          </w:p>
          <w:p w14:paraId="504AC7B0" w14:textId="5626D640" w:rsidR="3341BD48" w:rsidRPr="00B85D62" w:rsidRDefault="3341BD48" w:rsidP="0066232B">
            <w:pPr>
              <w:rPr>
                <w:rFonts w:eastAsia="Calibri" w:cs="Arial"/>
              </w:rPr>
            </w:pPr>
            <w:r w:rsidRPr="00B85D62">
              <w:rPr>
                <w:rFonts w:eastAsia="Calibri" w:cs="Arial"/>
              </w:rPr>
              <w:t>3</w:t>
            </w:r>
          </w:p>
          <w:p w14:paraId="6B5FDB59" w14:textId="76EE4ED0" w:rsidR="3341BD48" w:rsidRPr="00B85D62" w:rsidRDefault="3341BD48" w:rsidP="0066232B">
            <w:pPr>
              <w:rPr>
                <w:rFonts w:eastAsia="Calibri" w:cs="Arial"/>
              </w:rPr>
            </w:pPr>
            <w:r w:rsidRPr="00B85D62">
              <w:rPr>
                <w:rFonts w:eastAsia="Calibri" w:cs="Arial"/>
              </w:rPr>
              <w:t>13</w:t>
            </w:r>
          </w:p>
          <w:p w14:paraId="6ED63CFE" w14:textId="37999B51" w:rsidR="3341BD48" w:rsidRPr="00B85D62" w:rsidRDefault="3341BD48" w:rsidP="0066232B">
            <w:pPr>
              <w:rPr>
                <w:rFonts w:eastAsia="Calibri" w:cs="Arial"/>
              </w:rPr>
            </w:pPr>
            <w:r w:rsidRPr="00B85D62">
              <w:rPr>
                <w:rFonts w:eastAsia="Calibri" w:cs="Arial"/>
              </w:rPr>
              <w:t>2</w:t>
            </w:r>
          </w:p>
          <w:p w14:paraId="701A0D8B" w14:textId="014F8F6F" w:rsidR="3341BD48" w:rsidRPr="00B85D62" w:rsidRDefault="3341BD48" w:rsidP="0066232B">
            <w:pPr>
              <w:rPr>
                <w:rFonts w:eastAsia="Calibri" w:cs="Arial"/>
              </w:rPr>
            </w:pPr>
            <w:r w:rsidRPr="00B85D62">
              <w:rPr>
                <w:rFonts w:eastAsia="Calibri" w:cs="Arial"/>
              </w:rPr>
              <w:t>2</w:t>
            </w:r>
          </w:p>
        </w:tc>
      </w:tr>
    </w:tbl>
    <w:p w14:paraId="1918A9C3" w14:textId="77777777" w:rsidR="00B85D62" w:rsidRPr="00B85D62" w:rsidRDefault="00B85D62" w:rsidP="0066232B">
      <w:pPr>
        <w:jc w:val="both"/>
        <w:rPr>
          <w:rFonts w:eastAsia="Calibri" w:cs="Arial"/>
          <w:color w:val="000000" w:themeColor="text1"/>
        </w:rPr>
      </w:pPr>
    </w:p>
    <w:p w14:paraId="2DB7E39B" w14:textId="15621ABF" w:rsidR="000A4171" w:rsidRPr="00B85D62" w:rsidRDefault="00B85D62" w:rsidP="000A4171">
      <w:pPr>
        <w:pStyle w:val="Caption"/>
        <w:keepNext/>
        <w:rPr>
          <w:rFonts w:cs="Arial"/>
        </w:rPr>
      </w:pPr>
      <w:bookmarkStart w:id="260" w:name="_Toc79740218"/>
      <w:bookmarkStart w:id="261" w:name="_Toc107157377"/>
      <w:r w:rsidRPr="00B85D62">
        <w:rPr>
          <w:rFonts w:cs="Arial"/>
          <w:i/>
          <w:color w:val="FF0000"/>
        </w:rPr>
        <w:t>T</w:t>
      </w:r>
      <w:r w:rsidRPr="00B85D62">
        <w:rPr>
          <w:rFonts w:cs="Arial"/>
          <w:i/>
          <w:color w:val="FF0000"/>
        </w:rPr>
        <w:t>able</w:t>
      </w:r>
      <w:r w:rsidRPr="00B85D62">
        <w:rPr>
          <w:rFonts w:cs="Arial"/>
          <w:i/>
          <w:color w:val="FF0000"/>
        </w:rPr>
        <w:t xml:space="preserve"> </w:t>
      </w:r>
      <w:r w:rsidRPr="00B85D62">
        <w:rPr>
          <w:rFonts w:cs="Arial"/>
          <w:i/>
          <w:noProof/>
          <w:color w:val="FF0000"/>
        </w:rPr>
        <w:t>23</w:t>
      </w:r>
      <w:r w:rsidR="000A4171" w:rsidRPr="00B85D62">
        <w:rPr>
          <w:rFonts w:cs="Arial"/>
        </w:rPr>
        <w:t xml:space="preserve"> Characteristics of Health Professional Participants</w:t>
      </w:r>
      <w:bookmarkEnd w:id="260"/>
      <w:bookmarkEnd w:id="26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000" w:firstRow="0" w:lastRow="0" w:firstColumn="0" w:lastColumn="0" w:noHBand="0" w:noVBand="0"/>
      </w:tblPr>
      <w:tblGrid>
        <w:gridCol w:w="5896"/>
        <w:gridCol w:w="579"/>
      </w:tblGrid>
      <w:tr w:rsidR="3341BD48" w:rsidRPr="00B85D62" w14:paraId="15920DAD" w14:textId="77777777" w:rsidTr="00B85D62">
        <w:trPr>
          <w:cantSplit/>
        </w:trPr>
        <w:tc>
          <w:tcPr>
            <w:tcW w:w="0" w:type="auto"/>
            <w:shd w:val="clear" w:color="auto" w:fill="auto"/>
          </w:tcPr>
          <w:p w14:paraId="6286F9D2" w14:textId="42E53C9C" w:rsidR="3341BD48" w:rsidRPr="00B85D62" w:rsidRDefault="3341BD48" w:rsidP="0066232B">
            <w:pPr>
              <w:spacing w:before="120"/>
              <w:rPr>
                <w:rFonts w:eastAsia="Calibri" w:cs="Arial"/>
                <w:b/>
                <w:bCs/>
              </w:rPr>
            </w:pPr>
            <w:r w:rsidRPr="00B85D62">
              <w:rPr>
                <w:rFonts w:eastAsia="Calibri" w:cs="Arial"/>
                <w:b/>
                <w:bCs/>
              </w:rPr>
              <w:t>Health Professional Characteristics</w:t>
            </w:r>
          </w:p>
        </w:tc>
        <w:tc>
          <w:tcPr>
            <w:tcW w:w="0" w:type="auto"/>
            <w:shd w:val="clear" w:color="auto" w:fill="auto"/>
          </w:tcPr>
          <w:p w14:paraId="04B27D0F" w14:textId="53B495FE" w:rsidR="3341BD48" w:rsidRPr="00B85D62" w:rsidRDefault="3341BD48" w:rsidP="0066232B">
            <w:pPr>
              <w:spacing w:before="120"/>
              <w:rPr>
                <w:rFonts w:eastAsia="Calibri" w:cs="Arial"/>
                <w:b/>
                <w:bCs/>
              </w:rPr>
            </w:pPr>
            <w:r w:rsidRPr="00B85D62">
              <w:rPr>
                <w:rFonts w:eastAsia="Calibri" w:cs="Arial"/>
                <w:b/>
                <w:bCs/>
                <w:i/>
                <w:iCs/>
              </w:rPr>
              <w:t>N=20</w:t>
            </w:r>
          </w:p>
        </w:tc>
      </w:tr>
      <w:tr w:rsidR="3341BD48" w:rsidRPr="00B85D62" w14:paraId="500EA289" w14:textId="77777777" w:rsidTr="00B85D62">
        <w:trPr>
          <w:cantSplit/>
        </w:trPr>
        <w:tc>
          <w:tcPr>
            <w:tcW w:w="0" w:type="auto"/>
            <w:shd w:val="clear" w:color="auto" w:fill="auto"/>
          </w:tcPr>
          <w:p w14:paraId="06997770" w14:textId="77777777" w:rsidR="00B85D62" w:rsidRPr="00B85D62" w:rsidRDefault="3341BD48" w:rsidP="0066232B">
            <w:pPr>
              <w:rPr>
                <w:rFonts w:eastAsia="Calibri" w:cs="Arial"/>
                <w:b/>
                <w:bCs/>
              </w:rPr>
            </w:pPr>
            <w:r w:rsidRPr="00B85D62">
              <w:rPr>
                <w:rFonts w:eastAsia="Calibri" w:cs="Arial"/>
                <w:i/>
                <w:iCs/>
              </w:rPr>
              <w:t>Role</w:t>
            </w:r>
          </w:p>
          <w:p w14:paraId="75493C20" w14:textId="78C70861" w:rsidR="3341BD48" w:rsidRPr="00B85D62" w:rsidRDefault="3341BD48" w:rsidP="0066232B">
            <w:pPr>
              <w:rPr>
                <w:rFonts w:eastAsia="Calibri" w:cs="Arial"/>
                <w:b/>
                <w:bCs/>
              </w:rPr>
            </w:pPr>
            <w:r w:rsidRPr="00B85D62">
              <w:rPr>
                <w:rFonts w:eastAsia="Calibri" w:cs="Arial"/>
              </w:rPr>
              <w:t>Consultant Lipidologist</w:t>
            </w:r>
          </w:p>
          <w:p w14:paraId="6BE2B46E" w14:textId="668AECC8" w:rsidR="3341BD48" w:rsidRPr="00B85D62" w:rsidRDefault="3341BD48" w:rsidP="0066232B">
            <w:pPr>
              <w:rPr>
                <w:rFonts w:eastAsia="Calibri" w:cs="Arial"/>
                <w:b/>
                <w:bCs/>
              </w:rPr>
            </w:pPr>
            <w:r w:rsidRPr="00B85D62">
              <w:rPr>
                <w:rFonts w:eastAsia="Calibri" w:cs="Arial"/>
              </w:rPr>
              <w:t>Paediatric Lipidologist</w:t>
            </w:r>
          </w:p>
          <w:p w14:paraId="63AFA81A" w14:textId="3939426D" w:rsidR="3341BD48" w:rsidRPr="00B85D62" w:rsidRDefault="3341BD48" w:rsidP="0066232B">
            <w:pPr>
              <w:rPr>
                <w:rFonts w:eastAsia="Calibri" w:cs="Arial"/>
                <w:b/>
                <w:bCs/>
              </w:rPr>
            </w:pPr>
            <w:r w:rsidRPr="00B85D62">
              <w:rPr>
                <w:rFonts w:eastAsia="Calibri" w:cs="Arial"/>
              </w:rPr>
              <w:t>FH Specialist Nurse</w:t>
            </w:r>
          </w:p>
          <w:p w14:paraId="04F81CCC" w14:textId="77777777" w:rsidR="00B85D62" w:rsidRPr="00B85D62" w:rsidRDefault="3341BD48" w:rsidP="0066232B">
            <w:pPr>
              <w:rPr>
                <w:rFonts w:eastAsia="Calibri" w:cs="Arial"/>
              </w:rPr>
            </w:pPr>
            <w:r w:rsidRPr="00B85D62">
              <w:rPr>
                <w:rFonts w:eastAsia="Calibri" w:cs="Arial"/>
              </w:rPr>
              <w:t xml:space="preserve">FH Service </w:t>
            </w:r>
            <w:r w:rsidRPr="00B85D62">
              <w:rPr>
                <w:rFonts w:eastAsia="Calibri" w:cs="Arial"/>
                <w:highlight w:val="magenta"/>
              </w:rPr>
              <w:t>Lead</w:t>
            </w:r>
            <w:r w:rsidRPr="00B85D62">
              <w:rPr>
                <w:rFonts w:eastAsia="Calibri" w:cs="Arial"/>
              </w:rPr>
              <w:t xml:space="preserve"> (Genetic Counsellor)</w:t>
            </w:r>
          </w:p>
          <w:p w14:paraId="3E3054E1" w14:textId="39DD970A" w:rsidR="3341BD48" w:rsidRPr="00B85D62" w:rsidRDefault="3341BD48" w:rsidP="0066232B">
            <w:pPr>
              <w:rPr>
                <w:rFonts w:eastAsia="Calibri" w:cs="Arial"/>
                <w:b/>
                <w:bCs/>
              </w:rPr>
            </w:pPr>
            <w:r w:rsidRPr="00B85D62">
              <w:rPr>
                <w:rFonts w:eastAsia="Calibri" w:cs="Arial"/>
              </w:rPr>
              <w:t>General Practitioner (GP)</w:t>
            </w:r>
          </w:p>
          <w:p w14:paraId="4550DBFA" w14:textId="18BD7A16" w:rsidR="3341BD48" w:rsidRPr="00B85D62" w:rsidRDefault="3341BD48" w:rsidP="0066232B">
            <w:pPr>
              <w:rPr>
                <w:rFonts w:eastAsia="Calibri" w:cs="Arial"/>
                <w:b/>
                <w:bCs/>
              </w:rPr>
            </w:pPr>
          </w:p>
        </w:tc>
        <w:tc>
          <w:tcPr>
            <w:tcW w:w="0" w:type="auto"/>
            <w:shd w:val="clear" w:color="auto" w:fill="auto"/>
          </w:tcPr>
          <w:p w14:paraId="4887C374" w14:textId="77777777" w:rsidR="00B85D62" w:rsidRPr="00B85D62" w:rsidRDefault="00B85D62" w:rsidP="0066232B">
            <w:pPr>
              <w:rPr>
                <w:rFonts w:eastAsia="Calibri" w:cs="Arial"/>
              </w:rPr>
            </w:pPr>
          </w:p>
          <w:p w14:paraId="4C850493" w14:textId="35B80396" w:rsidR="3341BD48" w:rsidRPr="00B85D62" w:rsidRDefault="3341BD48" w:rsidP="0066232B">
            <w:pPr>
              <w:rPr>
                <w:rFonts w:eastAsia="Calibri" w:cs="Arial"/>
              </w:rPr>
            </w:pPr>
            <w:r w:rsidRPr="00B85D62">
              <w:rPr>
                <w:rFonts w:eastAsia="Calibri" w:cs="Arial"/>
              </w:rPr>
              <w:t>7</w:t>
            </w:r>
          </w:p>
          <w:p w14:paraId="04DF2EE7" w14:textId="3320BF20" w:rsidR="3341BD48" w:rsidRPr="00B85D62" w:rsidRDefault="3341BD48" w:rsidP="0066232B">
            <w:pPr>
              <w:rPr>
                <w:rFonts w:eastAsia="Calibri" w:cs="Arial"/>
              </w:rPr>
            </w:pPr>
            <w:r w:rsidRPr="00B85D62">
              <w:rPr>
                <w:rFonts w:eastAsia="Calibri" w:cs="Arial"/>
              </w:rPr>
              <w:t>2</w:t>
            </w:r>
          </w:p>
          <w:p w14:paraId="55D20717" w14:textId="44305F53" w:rsidR="3341BD48" w:rsidRPr="00B85D62" w:rsidRDefault="3341BD48" w:rsidP="0066232B">
            <w:pPr>
              <w:rPr>
                <w:rFonts w:eastAsia="Calibri" w:cs="Arial"/>
              </w:rPr>
            </w:pPr>
            <w:r w:rsidRPr="00B85D62">
              <w:rPr>
                <w:rFonts w:eastAsia="Calibri" w:cs="Arial"/>
              </w:rPr>
              <w:t>6</w:t>
            </w:r>
          </w:p>
          <w:p w14:paraId="03BDD75D" w14:textId="4B0456CF" w:rsidR="3341BD48" w:rsidRPr="00B85D62" w:rsidRDefault="3341BD48" w:rsidP="0066232B">
            <w:pPr>
              <w:rPr>
                <w:rFonts w:eastAsia="Calibri" w:cs="Arial"/>
              </w:rPr>
            </w:pPr>
            <w:r w:rsidRPr="00B85D62">
              <w:rPr>
                <w:rFonts w:eastAsia="Calibri" w:cs="Arial"/>
              </w:rPr>
              <w:t>1</w:t>
            </w:r>
          </w:p>
          <w:p w14:paraId="18A81506" w14:textId="7F840663" w:rsidR="3341BD48" w:rsidRPr="00B85D62" w:rsidRDefault="3341BD48" w:rsidP="0066232B">
            <w:pPr>
              <w:rPr>
                <w:rFonts w:eastAsia="Calibri" w:cs="Arial"/>
              </w:rPr>
            </w:pPr>
            <w:r w:rsidRPr="00B85D62">
              <w:rPr>
                <w:rFonts w:eastAsia="Calibri" w:cs="Arial"/>
              </w:rPr>
              <w:t>4</w:t>
            </w:r>
          </w:p>
        </w:tc>
      </w:tr>
      <w:tr w:rsidR="3341BD48" w:rsidRPr="00B85D62" w14:paraId="49E45D19" w14:textId="77777777" w:rsidTr="00B85D62">
        <w:trPr>
          <w:cantSplit/>
        </w:trPr>
        <w:tc>
          <w:tcPr>
            <w:tcW w:w="0" w:type="auto"/>
            <w:shd w:val="clear" w:color="auto" w:fill="auto"/>
          </w:tcPr>
          <w:p w14:paraId="1A0F34EC" w14:textId="77777777" w:rsidR="00B85D62" w:rsidRPr="00B85D62" w:rsidRDefault="3341BD48" w:rsidP="0066232B">
            <w:pPr>
              <w:rPr>
                <w:rFonts w:eastAsia="Calibri" w:cs="Arial"/>
                <w:b/>
                <w:bCs/>
              </w:rPr>
            </w:pPr>
            <w:r w:rsidRPr="00B85D62">
              <w:rPr>
                <w:rFonts w:eastAsia="Calibri" w:cs="Arial"/>
                <w:i/>
                <w:iCs/>
              </w:rPr>
              <w:t>Gender</w:t>
            </w:r>
          </w:p>
          <w:p w14:paraId="7E79E81B" w14:textId="1B6202B9" w:rsidR="3341BD48" w:rsidRPr="00B85D62" w:rsidRDefault="3341BD48" w:rsidP="0066232B">
            <w:pPr>
              <w:ind w:firstLine="306"/>
              <w:rPr>
                <w:rFonts w:eastAsia="Calibri" w:cs="Arial"/>
                <w:b/>
                <w:bCs/>
              </w:rPr>
            </w:pPr>
            <w:r w:rsidRPr="00B85D62">
              <w:rPr>
                <w:rFonts w:eastAsia="Calibri" w:cs="Arial"/>
              </w:rPr>
              <w:t>M</w:t>
            </w:r>
          </w:p>
          <w:p w14:paraId="3D6BA7AE" w14:textId="7B599FFC" w:rsidR="3341BD48" w:rsidRPr="00B85D62" w:rsidRDefault="3341BD48" w:rsidP="0066232B">
            <w:pPr>
              <w:ind w:firstLine="306"/>
              <w:rPr>
                <w:rFonts w:eastAsia="Calibri" w:cs="Arial"/>
                <w:b/>
                <w:bCs/>
              </w:rPr>
            </w:pPr>
            <w:r w:rsidRPr="00B85D62">
              <w:rPr>
                <w:rFonts w:eastAsia="Calibri" w:cs="Arial"/>
              </w:rPr>
              <w:t>F</w:t>
            </w:r>
          </w:p>
        </w:tc>
        <w:tc>
          <w:tcPr>
            <w:tcW w:w="0" w:type="auto"/>
            <w:shd w:val="clear" w:color="auto" w:fill="auto"/>
          </w:tcPr>
          <w:p w14:paraId="546E00AC" w14:textId="77777777" w:rsidR="00B85D62" w:rsidRPr="00B85D62" w:rsidRDefault="00B85D62" w:rsidP="0066232B">
            <w:pPr>
              <w:rPr>
                <w:rFonts w:eastAsia="Calibri" w:cs="Arial"/>
              </w:rPr>
            </w:pPr>
          </w:p>
          <w:p w14:paraId="5A73AB4E" w14:textId="2F6DACC5" w:rsidR="3341BD48" w:rsidRPr="00B85D62" w:rsidRDefault="3341BD48" w:rsidP="0066232B">
            <w:pPr>
              <w:rPr>
                <w:rFonts w:eastAsia="Calibri" w:cs="Arial"/>
              </w:rPr>
            </w:pPr>
            <w:r w:rsidRPr="00B85D62">
              <w:rPr>
                <w:rFonts w:eastAsia="Calibri" w:cs="Arial"/>
              </w:rPr>
              <w:t>9</w:t>
            </w:r>
          </w:p>
          <w:p w14:paraId="5D3C4717" w14:textId="1CC5F104" w:rsidR="3341BD48" w:rsidRPr="00B85D62" w:rsidRDefault="3341BD48" w:rsidP="0066232B">
            <w:pPr>
              <w:rPr>
                <w:rFonts w:eastAsia="Calibri" w:cs="Arial"/>
              </w:rPr>
            </w:pPr>
            <w:r w:rsidRPr="00B85D62">
              <w:rPr>
                <w:rFonts w:eastAsia="Calibri" w:cs="Arial"/>
              </w:rPr>
              <w:t>11</w:t>
            </w:r>
          </w:p>
        </w:tc>
      </w:tr>
      <w:tr w:rsidR="3341BD48" w:rsidRPr="00B85D62" w14:paraId="3D2ABB4A" w14:textId="77777777" w:rsidTr="00B85D62">
        <w:trPr>
          <w:cantSplit/>
        </w:trPr>
        <w:tc>
          <w:tcPr>
            <w:tcW w:w="0" w:type="auto"/>
            <w:shd w:val="clear" w:color="auto" w:fill="auto"/>
          </w:tcPr>
          <w:p w14:paraId="37923B8B" w14:textId="77777777" w:rsidR="00B85D62" w:rsidRPr="00B85D62" w:rsidRDefault="3341BD48" w:rsidP="0066232B">
            <w:pPr>
              <w:rPr>
                <w:rFonts w:eastAsia="Calibri" w:cs="Arial"/>
                <w:i/>
                <w:iCs/>
              </w:rPr>
            </w:pPr>
            <w:r w:rsidRPr="00B85D62">
              <w:rPr>
                <w:rFonts w:eastAsia="Calibri" w:cs="Arial"/>
                <w:i/>
                <w:iCs/>
              </w:rPr>
              <w:t>Setting</w:t>
            </w:r>
          </w:p>
          <w:p w14:paraId="0129FBE2" w14:textId="1B1CB681" w:rsidR="00B85D62" w:rsidRPr="00B85D62" w:rsidRDefault="3341BD48" w:rsidP="0066232B">
            <w:pPr>
              <w:rPr>
                <w:rFonts w:eastAsia="Calibri" w:cs="Arial"/>
              </w:rPr>
            </w:pPr>
            <w:r w:rsidRPr="00B85D62">
              <w:rPr>
                <w:rFonts w:eastAsia="Calibri" w:cs="Arial"/>
              </w:rPr>
              <w:t>Region C</w:t>
            </w:r>
          </w:p>
          <w:p w14:paraId="13F24742" w14:textId="77777777" w:rsidR="00B85D62" w:rsidRPr="00B85D62" w:rsidRDefault="3341BD48" w:rsidP="0066232B">
            <w:pPr>
              <w:rPr>
                <w:rFonts w:eastAsia="Calibri" w:cs="Arial"/>
              </w:rPr>
            </w:pPr>
            <w:r w:rsidRPr="00B85D62">
              <w:rPr>
                <w:rFonts w:eastAsia="Calibri" w:cs="Arial"/>
              </w:rPr>
              <w:t>Region B</w:t>
            </w:r>
          </w:p>
          <w:p w14:paraId="4BF83A56" w14:textId="42B0CE97" w:rsidR="3341BD48" w:rsidRPr="00B85D62" w:rsidRDefault="3341BD48" w:rsidP="0066232B">
            <w:pPr>
              <w:rPr>
                <w:rFonts w:eastAsia="Calibri" w:cs="Arial"/>
                <w:b/>
                <w:bCs/>
              </w:rPr>
            </w:pPr>
            <w:r w:rsidRPr="00B85D62">
              <w:rPr>
                <w:rFonts w:eastAsia="Calibri" w:cs="Arial"/>
              </w:rPr>
              <w:t xml:space="preserve">Region A </w:t>
            </w:r>
          </w:p>
        </w:tc>
        <w:tc>
          <w:tcPr>
            <w:tcW w:w="0" w:type="auto"/>
            <w:shd w:val="clear" w:color="auto" w:fill="auto"/>
          </w:tcPr>
          <w:p w14:paraId="000324AF" w14:textId="77777777" w:rsidR="00B85D62" w:rsidRPr="00B85D62" w:rsidRDefault="00B85D62" w:rsidP="0066232B">
            <w:pPr>
              <w:rPr>
                <w:rFonts w:eastAsia="Calibri" w:cs="Arial"/>
              </w:rPr>
            </w:pPr>
          </w:p>
          <w:p w14:paraId="7D83E858" w14:textId="54938B35" w:rsidR="3341BD48" w:rsidRPr="00B85D62" w:rsidRDefault="3341BD48" w:rsidP="0066232B">
            <w:pPr>
              <w:rPr>
                <w:rFonts w:eastAsia="Calibri" w:cs="Arial"/>
              </w:rPr>
            </w:pPr>
            <w:r w:rsidRPr="00B85D62">
              <w:rPr>
                <w:rFonts w:eastAsia="Calibri" w:cs="Arial"/>
              </w:rPr>
              <w:t>10</w:t>
            </w:r>
          </w:p>
          <w:p w14:paraId="424B4379" w14:textId="158710AB" w:rsidR="3341BD48" w:rsidRPr="00B85D62" w:rsidRDefault="3341BD48" w:rsidP="0066232B">
            <w:pPr>
              <w:rPr>
                <w:rFonts w:eastAsia="Calibri" w:cs="Arial"/>
              </w:rPr>
            </w:pPr>
            <w:r w:rsidRPr="00B85D62">
              <w:rPr>
                <w:rFonts w:eastAsia="Calibri" w:cs="Arial"/>
              </w:rPr>
              <w:t>5</w:t>
            </w:r>
          </w:p>
          <w:p w14:paraId="0FF42762" w14:textId="234201B6" w:rsidR="3341BD48" w:rsidRPr="00B85D62" w:rsidRDefault="3341BD48" w:rsidP="0066232B">
            <w:pPr>
              <w:rPr>
                <w:rFonts w:eastAsia="Calibri" w:cs="Arial"/>
              </w:rPr>
            </w:pPr>
            <w:r w:rsidRPr="00B85D62">
              <w:rPr>
                <w:rFonts w:eastAsia="Calibri" w:cs="Arial"/>
              </w:rPr>
              <w:t>4</w:t>
            </w:r>
          </w:p>
          <w:p w14:paraId="2CEF9F87" w14:textId="0C4B7B7A" w:rsidR="3341BD48" w:rsidRPr="00B85D62" w:rsidRDefault="3341BD48" w:rsidP="0066232B">
            <w:pPr>
              <w:rPr>
                <w:rFonts w:eastAsia="Calibri" w:cs="Arial"/>
              </w:rPr>
            </w:pPr>
          </w:p>
        </w:tc>
      </w:tr>
      <w:tr w:rsidR="3341BD48" w:rsidRPr="00B85D62" w14:paraId="1A5F5DDD" w14:textId="77777777" w:rsidTr="00B85D62">
        <w:trPr>
          <w:cantSplit/>
        </w:trPr>
        <w:tc>
          <w:tcPr>
            <w:tcW w:w="0" w:type="auto"/>
            <w:shd w:val="clear" w:color="auto" w:fill="auto"/>
          </w:tcPr>
          <w:p w14:paraId="6D0D9CAE" w14:textId="77777777" w:rsidR="00B85D62" w:rsidRPr="00B85D62" w:rsidRDefault="3341BD48" w:rsidP="0066232B">
            <w:pPr>
              <w:rPr>
                <w:rFonts w:eastAsia="Calibri" w:cs="Arial"/>
                <w:b/>
                <w:bCs/>
              </w:rPr>
            </w:pPr>
            <w:r w:rsidRPr="00B85D62">
              <w:rPr>
                <w:rFonts w:eastAsia="Calibri" w:cs="Arial"/>
                <w:i/>
                <w:iCs/>
                <w:highlight w:val="magenta"/>
              </w:rPr>
              <w:t>Principal</w:t>
            </w:r>
            <w:r w:rsidRPr="00B85D62">
              <w:rPr>
                <w:rFonts w:eastAsia="Calibri" w:cs="Arial"/>
                <w:i/>
                <w:iCs/>
              </w:rPr>
              <w:t xml:space="preserve"> roles in FH service pathways</w:t>
            </w:r>
          </w:p>
          <w:p w14:paraId="08461BFB" w14:textId="13A2F13E" w:rsidR="3341BD48" w:rsidRPr="00B85D62" w:rsidRDefault="3341BD48" w:rsidP="0066232B">
            <w:pPr>
              <w:rPr>
                <w:rFonts w:eastAsia="Calibri" w:cs="Arial"/>
                <w:b/>
                <w:bCs/>
              </w:rPr>
            </w:pPr>
            <w:r w:rsidRPr="00B85D62">
              <w:rPr>
                <w:rFonts w:eastAsia="Calibri" w:cs="Arial"/>
              </w:rPr>
              <w:t>Primary care detection, referral to lipid services, long-term management</w:t>
            </w:r>
          </w:p>
          <w:p w14:paraId="548034CB" w14:textId="454BB46E" w:rsidR="3341BD48" w:rsidRPr="00B85D62" w:rsidRDefault="3341BD48" w:rsidP="0066232B">
            <w:pPr>
              <w:rPr>
                <w:rFonts w:eastAsia="Calibri" w:cs="Arial"/>
                <w:b/>
                <w:bCs/>
              </w:rPr>
            </w:pPr>
            <w:r w:rsidRPr="00B85D62">
              <w:rPr>
                <w:rFonts w:eastAsia="Calibri" w:cs="Arial"/>
              </w:rPr>
              <w:t>Providing virtual lipid clinic advice to requests/referrals</w:t>
            </w:r>
          </w:p>
          <w:p w14:paraId="7792A6E6" w14:textId="61904299" w:rsidR="3341BD48" w:rsidRPr="00B85D62" w:rsidRDefault="3341BD48" w:rsidP="0066232B">
            <w:pPr>
              <w:rPr>
                <w:rFonts w:eastAsia="Calibri" w:cs="Arial"/>
                <w:b/>
                <w:bCs/>
              </w:rPr>
            </w:pPr>
            <w:r w:rsidRPr="00B85D62">
              <w:rPr>
                <w:rFonts w:eastAsia="Calibri" w:cs="Arial"/>
              </w:rPr>
              <w:t>Secondary care lipid clinic (FH specialist nurse/lipidologist)</w:t>
            </w:r>
          </w:p>
          <w:p w14:paraId="2251CF8E" w14:textId="7A8CA15F" w:rsidR="3341BD48" w:rsidRPr="00B85D62" w:rsidRDefault="3341BD48" w:rsidP="0066232B">
            <w:pPr>
              <w:rPr>
                <w:rFonts w:eastAsia="Calibri" w:cs="Arial"/>
                <w:b/>
                <w:bCs/>
              </w:rPr>
            </w:pPr>
            <w:r w:rsidRPr="00B85D62">
              <w:rPr>
                <w:rFonts w:eastAsia="Calibri" w:cs="Arial"/>
              </w:rPr>
              <w:t>FH nurse outreach (primary care outreach)</w:t>
            </w:r>
          </w:p>
          <w:p w14:paraId="5511A652" w14:textId="77777777" w:rsidR="00B85D62" w:rsidRPr="00B85D62" w:rsidRDefault="3341BD48" w:rsidP="0066232B">
            <w:pPr>
              <w:rPr>
                <w:rFonts w:eastAsia="Calibri" w:cs="Arial"/>
              </w:rPr>
            </w:pPr>
            <w:r w:rsidRPr="00B85D62">
              <w:rPr>
                <w:rFonts w:eastAsia="Calibri" w:cs="Arial"/>
              </w:rPr>
              <w:t>Satellite lipid clinics (specialist FH outreach to local hospitals)</w:t>
            </w:r>
          </w:p>
          <w:p w14:paraId="1679EFC5" w14:textId="3E40BFFA" w:rsidR="3341BD48" w:rsidRPr="00B85D62" w:rsidRDefault="3341BD48" w:rsidP="0066232B">
            <w:pPr>
              <w:rPr>
                <w:rFonts w:eastAsia="Calibri" w:cs="Arial"/>
                <w:b/>
                <w:bCs/>
              </w:rPr>
            </w:pPr>
          </w:p>
        </w:tc>
        <w:tc>
          <w:tcPr>
            <w:tcW w:w="0" w:type="auto"/>
            <w:shd w:val="clear" w:color="auto" w:fill="auto"/>
          </w:tcPr>
          <w:p w14:paraId="21268317" w14:textId="77777777" w:rsidR="00B85D62" w:rsidRPr="00B85D62" w:rsidRDefault="00B85D62" w:rsidP="0066232B">
            <w:pPr>
              <w:rPr>
                <w:rFonts w:eastAsia="Calibri" w:cs="Arial"/>
              </w:rPr>
            </w:pPr>
          </w:p>
          <w:p w14:paraId="65BB98F8" w14:textId="4BD4CC59" w:rsidR="3341BD48" w:rsidRPr="00B85D62" w:rsidRDefault="3341BD48" w:rsidP="0066232B">
            <w:pPr>
              <w:rPr>
                <w:rFonts w:eastAsia="Calibri" w:cs="Arial"/>
              </w:rPr>
            </w:pPr>
            <w:r w:rsidRPr="00B85D62">
              <w:rPr>
                <w:rFonts w:eastAsia="Calibri" w:cs="Arial"/>
              </w:rPr>
              <w:t>5</w:t>
            </w:r>
          </w:p>
          <w:p w14:paraId="1103E32D" w14:textId="09DFB8E2" w:rsidR="3341BD48" w:rsidRPr="00B85D62" w:rsidRDefault="3341BD48" w:rsidP="0066232B">
            <w:pPr>
              <w:rPr>
                <w:rFonts w:eastAsia="Calibri" w:cs="Arial"/>
              </w:rPr>
            </w:pPr>
            <w:r w:rsidRPr="00B85D62">
              <w:rPr>
                <w:rFonts w:eastAsia="Calibri" w:cs="Arial"/>
              </w:rPr>
              <w:t>3</w:t>
            </w:r>
          </w:p>
          <w:p w14:paraId="0A51DDC9" w14:textId="225CAD3D" w:rsidR="3341BD48" w:rsidRPr="00B85D62" w:rsidRDefault="3341BD48" w:rsidP="0066232B">
            <w:pPr>
              <w:rPr>
                <w:rFonts w:eastAsia="Calibri" w:cs="Arial"/>
              </w:rPr>
            </w:pPr>
            <w:r w:rsidRPr="00B85D62">
              <w:rPr>
                <w:rFonts w:eastAsia="Calibri" w:cs="Arial"/>
              </w:rPr>
              <w:t>15</w:t>
            </w:r>
          </w:p>
          <w:p w14:paraId="3EF7EC09" w14:textId="387943F8" w:rsidR="3341BD48" w:rsidRPr="00B85D62" w:rsidRDefault="3341BD48" w:rsidP="0066232B">
            <w:pPr>
              <w:rPr>
                <w:rFonts w:eastAsia="Calibri" w:cs="Arial"/>
              </w:rPr>
            </w:pPr>
            <w:r w:rsidRPr="00B85D62">
              <w:rPr>
                <w:rFonts w:eastAsia="Calibri" w:cs="Arial"/>
              </w:rPr>
              <w:t>4</w:t>
            </w:r>
          </w:p>
          <w:p w14:paraId="53C9E635" w14:textId="60CA6162" w:rsidR="3341BD48" w:rsidRPr="00B85D62" w:rsidRDefault="3341BD48" w:rsidP="0066232B">
            <w:pPr>
              <w:rPr>
                <w:rFonts w:eastAsia="Calibri" w:cs="Arial"/>
              </w:rPr>
            </w:pPr>
            <w:r w:rsidRPr="00B85D62">
              <w:rPr>
                <w:rFonts w:eastAsia="Calibri" w:cs="Arial"/>
              </w:rPr>
              <w:t>9</w:t>
            </w:r>
          </w:p>
        </w:tc>
      </w:tr>
    </w:tbl>
    <w:p w14:paraId="5D7FC107" w14:textId="77777777" w:rsidR="00B85D62" w:rsidRPr="00B85D62" w:rsidRDefault="00B85D62" w:rsidP="0066232B">
      <w:pPr>
        <w:rPr>
          <w:rFonts w:eastAsia="Calibri" w:cs="Arial"/>
          <w:color w:val="000000" w:themeColor="text1"/>
        </w:rPr>
      </w:pPr>
    </w:p>
    <w:p w14:paraId="481662EE" w14:textId="77777777" w:rsidR="00B85D62" w:rsidRPr="00B85D62" w:rsidRDefault="71082DA5" w:rsidP="006C7E71">
      <w:pPr>
        <w:pStyle w:val="Heading3"/>
        <w:rPr>
          <w:rFonts w:eastAsia="Yu Gothic Light"/>
          <w:bCs/>
        </w:rPr>
      </w:pPr>
      <w:bookmarkStart w:id="262" w:name="_Toc107157508"/>
      <w:r w:rsidRPr="00B85D62">
        <w:t>Communication about FH and testing in families: influence on acceptability of indirect and direct approaches</w:t>
      </w:r>
      <w:bookmarkEnd w:id="262"/>
    </w:p>
    <w:p w14:paraId="60909815" w14:textId="639E39A5" w:rsidR="71082DA5" w:rsidRPr="00B85D62" w:rsidRDefault="71082DA5" w:rsidP="0066232B">
      <w:pPr>
        <w:jc w:val="both"/>
        <w:rPr>
          <w:rFonts w:eastAsia="Calibri" w:cs="Arial"/>
          <w:color w:val="000000" w:themeColor="text1"/>
        </w:rPr>
      </w:pPr>
      <w:r w:rsidRPr="00B85D62">
        <w:rPr>
          <w:rFonts w:eastAsia="Calibri" w:cs="Arial"/>
          <w:color w:val="000000" w:themeColor="text1"/>
        </w:rPr>
        <w:t>Index patients felt able to have conversations about FH testing with family members if they had close relationships. They described using communication they felt would help, such as focusing on the practicalities of blood testing, or using a jocular or informal tone, rather than attempting to convey detail. For example:</w:t>
      </w:r>
    </w:p>
    <w:p w14:paraId="4C71FD31" w14:textId="0F46FD5F" w:rsidR="71082DA5" w:rsidRPr="00B85D62" w:rsidRDefault="71082DA5" w:rsidP="0066232B">
      <w:pPr>
        <w:ind w:left="720"/>
        <w:jc w:val="both"/>
        <w:rPr>
          <w:rFonts w:eastAsia="Calibri" w:cs="Arial"/>
          <w:color w:val="000000" w:themeColor="text1"/>
          <w:highlight w:val="green"/>
        </w:rPr>
      </w:pPr>
      <w:r w:rsidRPr="00B85D62">
        <w:rPr>
          <w:rFonts w:eastAsia="Calibri" w:cs="Arial"/>
          <w:i/>
          <w:iCs/>
          <w:color w:val="000000" w:themeColor="text1"/>
          <w:highlight w:val="green"/>
        </w:rPr>
        <w:t xml:space="preserve">"I think it is probably better the more simplified it is </w:t>
      </w:r>
      <w:r w:rsidR="00B85D62" w:rsidRPr="00B85D62">
        <w:rPr>
          <w:rFonts w:eastAsia="Calibri" w:cs="Arial"/>
          <w:i/>
          <w:iCs/>
          <w:color w:val="00B0F0"/>
        </w:rPr>
        <w:t>. . .</w:t>
      </w:r>
      <w:r w:rsidRPr="00B85D62">
        <w:rPr>
          <w:rFonts w:eastAsia="Calibri" w:cs="Arial"/>
          <w:i/>
          <w:iCs/>
          <w:color w:val="000000" w:themeColor="text1"/>
          <w:highlight w:val="green"/>
        </w:rPr>
        <w:t xml:space="preserve">., so if people are just expecting to go for a blood test for screening </w:t>
      </w:r>
      <w:r w:rsidR="00B85D62" w:rsidRPr="00B85D62">
        <w:rPr>
          <w:rFonts w:eastAsia="Calibri" w:cs="Arial"/>
          <w:i/>
          <w:iCs/>
          <w:color w:val="00B0F0"/>
        </w:rPr>
        <w:t>. . .</w:t>
      </w:r>
      <w:r w:rsidRPr="00B85D62">
        <w:rPr>
          <w:rFonts w:eastAsia="Calibri" w:cs="Arial"/>
          <w:i/>
          <w:iCs/>
          <w:color w:val="000000" w:themeColor="text1"/>
          <w:highlight w:val="green"/>
        </w:rPr>
        <w:t>., I think people might have maybe less resistance to something which seems relatively harmless, than if they get overwhelmed with the big terms " (Index, M, 27, Region A – Direct)</w:t>
      </w:r>
    </w:p>
    <w:p w14:paraId="348D42C5" w14:textId="3DC3CE38" w:rsidR="71082DA5" w:rsidRPr="00B85D62" w:rsidRDefault="71082DA5" w:rsidP="0066232B">
      <w:pPr>
        <w:ind w:left="720"/>
        <w:jc w:val="both"/>
        <w:rPr>
          <w:rFonts w:eastAsia="Calibri" w:cs="Arial"/>
          <w:color w:val="000000" w:themeColor="text1"/>
        </w:rPr>
      </w:pPr>
      <w:r w:rsidRPr="00B85D62">
        <w:rPr>
          <w:rFonts w:eastAsia="Calibri" w:cs="Arial"/>
          <w:i/>
          <w:iCs/>
          <w:color w:val="000000" w:themeColor="text1"/>
          <w:highlight w:val="green"/>
        </w:rPr>
        <w:t>"We kept it tongue and cheek and light hearted and it was just a case of 'There is this gene that we have inherited, our suspicions are that it goes back to my grandmother.’ "(Index, F, 40, Region C - Hybrid)</w:t>
      </w:r>
    </w:p>
    <w:p w14:paraId="6E45B5BE"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Across all regions, health professionals found use of a solely indirect contact approach less successful. They were concerned index patients might not convey letters from their service or explain the importance of getting tested to their relatives. Professionals also felt they could not be confident what information about FH or testing had been communicated. In particular, success of the approach was beholden to relationships within the family. These factors could all increase opportunity for relatives to disengage from a cascade testing offer.</w:t>
      </w:r>
    </w:p>
    <w:p w14:paraId="3813CDD6" w14:textId="5B079A17" w:rsidR="00B85D62" w:rsidRPr="00B85D62" w:rsidRDefault="71082DA5" w:rsidP="00CB79F2">
      <w:pPr>
        <w:ind w:left="720"/>
        <w:rPr>
          <w:rFonts w:eastAsia="Calibri" w:cs="Arial"/>
          <w:i/>
          <w:iCs/>
          <w:color w:val="000000" w:themeColor="text1"/>
        </w:rPr>
      </w:pPr>
      <w:r w:rsidRPr="00B85D62">
        <w:rPr>
          <w:rFonts w:eastAsia="Calibri" w:cs="Arial"/>
          <w:i/>
          <w:iCs/>
          <w:color w:val="000000" w:themeColor="text1"/>
          <w:highlight w:val="green"/>
        </w:rPr>
        <w:t>“If we take the pure indirect method we have got no way of being really sure that the correct information has been passed on to relatives so obviously there is a point of weakness</w:t>
      </w:r>
      <w:r w:rsidR="006A155D" w:rsidRPr="00B85D62">
        <w:rPr>
          <w:rFonts w:eastAsia="Calibri" w:cs="Arial"/>
          <w:i/>
          <w:iCs/>
          <w:color w:val="000000" w:themeColor="text1"/>
          <w:highlight w:val="green"/>
        </w:rPr>
        <w:t xml:space="preserve"> </w:t>
      </w:r>
      <w:r w:rsidRPr="00B85D62">
        <w:rPr>
          <w:rFonts w:eastAsia="Calibri" w:cs="Arial"/>
          <w:i/>
          <w:iCs/>
          <w:color w:val="000000" w:themeColor="text1"/>
          <w:highlight w:val="green"/>
        </w:rPr>
        <w:t>there</w:t>
      </w:r>
      <w:r w:rsidR="00B85D62" w:rsidRPr="00B85D62">
        <w:rPr>
          <w:rFonts w:eastAsia="Calibri" w:cs="Arial"/>
          <w:i/>
          <w:iCs/>
          <w:color w:val="00B0F0"/>
        </w:rPr>
        <w:t>. . .</w:t>
      </w:r>
      <w:r w:rsidRPr="00B85D62">
        <w:rPr>
          <w:rFonts w:eastAsia="Calibri" w:cs="Arial"/>
          <w:i/>
          <w:iCs/>
          <w:color w:val="000000" w:themeColor="text1"/>
          <w:highlight w:val="green"/>
        </w:rPr>
        <w:t xml:space="preserve"> and of course in some families </w:t>
      </w:r>
      <w:r w:rsidR="00B85D62" w:rsidRPr="00B85D62">
        <w:rPr>
          <w:rFonts w:eastAsia="Calibri" w:cs="Arial"/>
          <w:i/>
          <w:iCs/>
          <w:color w:val="00B0F0"/>
        </w:rPr>
        <w:t>. . .</w:t>
      </w:r>
      <w:r w:rsidRPr="00B85D62">
        <w:rPr>
          <w:rFonts w:eastAsia="Calibri" w:cs="Arial"/>
          <w:i/>
          <w:iCs/>
          <w:color w:val="000000" w:themeColor="text1"/>
          <w:highlight w:val="green"/>
        </w:rPr>
        <w:t xml:space="preserve"> they refuse to speak to relatives and then we don’t really</w:t>
      </w:r>
      <w:r w:rsidR="006A155D" w:rsidRPr="00B85D62">
        <w:rPr>
          <w:rFonts w:eastAsia="Calibri" w:cs="Arial"/>
          <w:i/>
          <w:iCs/>
          <w:color w:val="000000" w:themeColor="text1"/>
          <w:highlight w:val="green"/>
        </w:rPr>
        <w:t xml:space="preserve"> </w:t>
      </w:r>
      <w:r w:rsidRPr="00B85D62">
        <w:rPr>
          <w:rFonts w:eastAsia="Calibri" w:cs="Arial"/>
          <w:i/>
          <w:iCs/>
          <w:color w:val="000000" w:themeColor="text1"/>
          <w:highlight w:val="green"/>
        </w:rPr>
        <w:t>get to see those people because the family communication has broken down.” (FH Nurse, Direct Contact Approach)</w:t>
      </w:r>
    </w:p>
    <w:p w14:paraId="3A9B0393"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An indirect approach had worked well for some patients with good family relationships, and for those whose chose to informally support a direct approach by communicating with relatives to forewarn them about future correspondence they would receive from the specialist service.</w:t>
      </w:r>
    </w:p>
    <w:p w14:paraId="41F7A03C" w14:textId="6ACC4C61" w:rsidR="71082DA5" w:rsidRPr="00B85D62" w:rsidRDefault="71082DA5" w:rsidP="0066232B">
      <w:pPr>
        <w:ind w:left="720"/>
        <w:jc w:val="both"/>
        <w:rPr>
          <w:rFonts w:eastAsia="Calibri" w:cs="Arial"/>
          <w:color w:val="000000" w:themeColor="text1"/>
          <w:highlight w:val="green"/>
        </w:rPr>
      </w:pPr>
      <w:r w:rsidRPr="00B85D62">
        <w:rPr>
          <w:rFonts w:eastAsia="Calibri" w:cs="Arial"/>
          <w:i/>
          <w:iCs/>
          <w:color w:val="000000" w:themeColor="text1"/>
          <w:highlight w:val="green"/>
        </w:rPr>
        <w:t>"We are a close family, I am close with my brother so it was very easy for me to speak to him about it and saying ‘look I have had this done, I have got this diagnosis, you are the only one that really it could affect next." (Index, F, 46, Region B - Indirect)</w:t>
      </w:r>
    </w:p>
    <w:p w14:paraId="292772C7" w14:textId="4BD9B548" w:rsidR="3341BD48" w:rsidRPr="00B85D62" w:rsidRDefault="3341BD48" w:rsidP="0066232B">
      <w:pPr>
        <w:ind w:left="720"/>
        <w:jc w:val="both"/>
        <w:rPr>
          <w:rFonts w:eastAsia="Calibri" w:cs="Arial"/>
          <w:color w:val="000000" w:themeColor="text1"/>
          <w:highlight w:val="green"/>
        </w:rPr>
      </w:pPr>
    </w:p>
    <w:p w14:paraId="7EF14FF7" w14:textId="06889483" w:rsidR="71082DA5" w:rsidRPr="00B85D62" w:rsidRDefault="71082DA5" w:rsidP="0066232B">
      <w:pPr>
        <w:ind w:left="720"/>
        <w:jc w:val="both"/>
        <w:rPr>
          <w:rFonts w:eastAsia="Calibri" w:cs="Arial"/>
          <w:color w:val="000000" w:themeColor="text1"/>
        </w:rPr>
      </w:pPr>
      <w:r w:rsidRPr="00B85D62">
        <w:rPr>
          <w:rFonts w:eastAsia="Calibri" w:cs="Arial"/>
          <w:i/>
          <w:iCs/>
          <w:color w:val="000000" w:themeColor="text1"/>
          <w:highlight w:val="green"/>
        </w:rPr>
        <w:t>"I was sort of tipping the relatives off that somebody would be getting in touch with them from the hospital so they knew that I had had this incident (diagnosed with FH) and that they were looking at screening everyone (in the family)." (Index, M, 52, Region A - Direct)</w:t>
      </w:r>
    </w:p>
    <w:p w14:paraId="6E5F3EC1" w14:textId="0927C145" w:rsidR="71082DA5" w:rsidRPr="00B85D62" w:rsidRDefault="71082DA5" w:rsidP="0066232B">
      <w:pPr>
        <w:jc w:val="both"/>
        <w:rPr>
          <w:rFonts w:eastAsia="Calibri" w:cs="Arial"/>
          <w:color w:val="000000" w:themeColor="text1"/>
        </w:rPr>
      </w:pPr>
      <w:r w:rsidRPr="00B85D62">
        <w:rPr>
          <w:rFonts w:eastAsia="Calibri" w:cs="Arial"/>
          <w:color w:val="000000" w:themeColor="text1"/>
        </w:rPr>
        <w:t>However an indirect approach could often leave index patients feeling pressured, or unable to do this in the context of a negative relationship. They felt they lacked the necessary information and wherewithal themselves and that this was better and more appropriately undertaken independent of the family.</w:t>
      </w:r>
    </w:p>
    <w:p w14:paraId="20020754" w14:textId="4F85D433" w:rsidR="71082DA5" w:rsidRPr="00B85D62" w:rsidRDefault="00B85D62" w:rsidP="0066232B">
      <w:pPr>
        <w:ind w:left="720"/>
        <w:jc w:val="both"/>
        <w:rPr>
          <w:rFonts w:eastAsia="Calibri" w:cs="Arial"/>
          <w:color w:val="000000" w:themeColor="text1"/>
          <w:highlight w:val="green"/>
        </w:rPr>
      </w:pPr>
      <w:r w:rsidRPr="00B85D62">
        <w:rPr>
          <w:rFonts w:eastAsia="Calibri" w:cs="Arial"/>
          <w:i/>
          <w:iCs/>
          <w:color w:val="000000" w:themeColor="text1"/>
        </w:rPr>
        <w:t>“</w:t>
      </w:r>
      <w:r w:rsidR="71082DA5" w:rsidRPr="00B85D62">
        <w:rPr>
          <w:rFonts w:eastAsia="Calibri" w:cs="Arial"/>
          <w:i/>
          <w:iCs/>
          <w:color w:val="000000" w:themeColor="text1"/>
        </w:rPr>
        <w:t xml:space="preserve">my [daughter] is a nightmare and it would be good for her to speak to somebody outside of the family, </w:t>
      </w:r>
      <w:r w:rsidR="71082DA5" w:rsidRPr="00B85D62">
        <w:rPr>
          <w:rFonts w:eastAsia="Calibri" w:cs="Arial"/>
          <w:i/>
          <w:iCs/>
          <w:color w:val="000000" w:themeColor="text1"/>
          <w:highlight w:val="green"/>
        </w:rPr>
        <w:t>because us trying to get through to her the seriousness of the condition, she just says ‘oh you know you’re always on at me’ (Relative, F, 42, Region C - Hybrid)</w:t>
      </w:r>
    </w:p>
    <w:p w14:paraId="68F6DEB9" w14:textId="7AB2B07D" w:rsidR="71082DA5" w:rsidRPr="00B85D62" w:rsidRDefault="71082DA5" w:rsidP="0066232B">
      <w:pPr>
        <w:ind w:left="720"/>
        <w:jc w:val="both"/>
        <w:rPr>
          <w:rFonts w:eastAsia="Calibri" w:cs="Arial"/>
          <w:color w:val="000000" w:themeColor="text1"/>
          <w:highlight w:val="green"/>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 xml:space="preserve"> He (brother) doesn’t want to know, and I don’t have enough to do with him really to thrash that one out with him " (Index, F, 56, Region B- Indirect)</w:t>
      </w:r>
    </w:p>
    <w:p w14:paraId="5F7969CC" w14:textId="57539170" w:rsidR="71082DA5" w:rsidRPr="00B85D62" w:rsidRDefault="71082DA5" w:rsidP="0066232B">
      <w:pPr>
        <w:ind w:left="720"/>
        <w:jc w:val="both"/>
        <w:rPr>
          <w:rFonts w:eastAsia="Calibri" w:cs="Arial"/>
          <w:color w:val="000000" w:themeColor="text1"/>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people maybe don’t want you to contact them. I have fallen out with my sister so it would be quite hard for me to contact my sister about this. I would rather go for someone else contacting her." (Index, M, 46, Region B- Indirect)</w:t>
      </w:r>
    </w:p>
    <w:p w14:paraId="24C8C617" w14:textId="564C394F" w:rsidR="00B85D62" w:rsidRPr="00B85D62" w:rsidRDefault="71082DA5" w:rsidP="0066232B">
      <w:pPr>
        <w:jc w:val="both"/>
        <w:rPr>
          <w:rFonts w:eastAsia="Calibri" w:cs="Arial"/>
          <w:color w:val="000000" w:themeColor="text1"/>
        </w:rPr>
      </w:pPr>
      <w:r w:rsidRPr="00B85D62">
        <w:rPr>
          <w:rFonts w:eastAsia="Calibri" w:cs="Arial"/>
          <w:color w:val="000000" w:themeColor="text1"/>
        </w:rPr>
        <w:t>In contrast, index patients spoke of several advantages of a direct approach. Even where close family relationships existed some were concerned about communicating information to family members appropriately. Some also felt frustrated at being unable to persuade reluctant relatives to engage with testing, and would have opted for health professionals</w:t>
      </w:r>
      <w:r w:rsidR="00B85D62" w:rsidRPr="00B85D62">
        <w:rPr>
          <w:rFonts w:eastAsia="Calibri" w:cs="Arial"/>
          <w:color w:val="000000" w:themeColor="text1"/>
        </w:rPr>
        <w:t>’</w:t>
      </w:r>
      <w:r w:rsidRPr="00B85D62">
        <w:rPr>
          <w:rFonts w:eastAsia="Calibri" w:cs="Arial"/>
          <w:color w:val="000000" w:themeColor="text1"/>
        </w:rPr>
        <w:t xml:space="preserve"> direct contact if this had been offered. Contact by service health professionals was seen as carrying more helpful credibility and authority.</w:t>
      </w:r>
    </w:p>
    <w:p w14:paraId="56540B55" w14:textId="0FD6241E" w:rsidR="71082DA5" w:rsidRPr="00B85D62" w:rsidRDefault="71082DA5" w:rsidP="0066232B">
      <w:pPr>
        <w:ind w:left="720"/>
        <w:jc w:val="both"/>
        <w:rPr>
          <w:rFonts w:eastAsia="Calibri" w:cs="Arial"/>
          <w:color w:val="000000" w:themeColor="text1"/>
          <w:highlight w:val="green"/>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 xml:space="preserve"> I understand people might not be too grateful that they have been summoned to hospital for something that they might have never heard of, </w:t>
      </w:r>
      <w:r w:rsidR="00B85D62" w:rsidRPr="00B85D62">
        <w:rPr>
          <w:rFonts w:eastAsia="Calibri" w:cs="Arial"/>
          <w:i/>
          <w:iCs/>
          <w:color w:val="00B0F0"/>
        </w:rPr>
        <w:t>. . .</w:t>
      </w:r>
      <w:r w:rsidRPr="00B85D62">
        <w:rPr>
          <w:rFonts w:eastAsia="Calibri" w:cs="Arial"/>
          <w:i/>
          <w:iCs/>
          <w:color w:val="000000" w:themeColor="text1"/>
          <w:highlight w:val="green"/>
        </w:rPr>
        <w:t>. but at the same time I think it might be quite difficult for family members to explain what it is." (Index, M, 27, Region</w:t>
      </w:r>
      <w:r w:rsidR="00895586" w:rsidRPr="00B85D62">
        <w:rPr>
          <w:rFonts w:eastAsia="Calibri" w:cs="Arial"/>
          <w:i/>
          <w:iCs/>
          <w:color w:val="000000" w:themeColor="text1"/>
          <w:highlight w:val="green"/>
        </w:rPr>
        <w:t xml:space="preserve"> </w:t>
      </w:r>
      <w:r w:rsidRPr="00B85D62">
        <w:rPr>
          <w:rFonts w:eastAsia="Calibri" w:cs="Arial"/>
          <w:i/>
          <w:iCs/>
          <w:color w:val="000000" w:themeColor="text1"/>
          <w:highlight w:val="green"/>
        </w:rPr>
        <w:t>A - Direct)</w:t>
      </w:r>
    </w:p>
    <w:p w14:paraId="7528F6E0" w14:textId="4710A2E2" w:rsidR="3341BD48" w:rsidRPr="00B85D62" w:rsidRDefault="3341BD48" w:rsidP="0066232B">
      <w:pPr>
        <w:ind w:left="720"/>
        <w:jc w:val="both"/>
        <w:rPr>
          <w:rFonts w:eastAsia="Calibri" w:cs="Arial"/>
          <w:color w:val="000000" w:themeColor="text1"/>
          <w:highlight w:val="green"/>
        </w:rPr>
      </w:pPr>
    </w:p>
    <w:p w14:paraId="25E0757E" w14:textId="5A6006EA" w:rsidR="71082DA5" w:rsidRPr="00B85D62" w:rsidRDefault="71082DA5" w:rsidP="0066232B">
      <w:pPr>
        <w:ind w:left="720"/>
        <w:jc w:val="both"/>
        <w:rPr>
          <w:rFonts w:eastAsia="Calibri" w:cs="Arial"/>
          <w:color w:val="000000" w:themeColor="text1"/>
          <w:highlight w:val="green"/>
        </w:rPr>
      </w:pPr>
      <w:r w:rsidRPr="00B85D62">
        <w:rPr>
          <w:rFonts w:eastAsia="Calibri" w:cs="Arial"/>
          <w:i/>
          <w:iCs/>
          <w:color w:val="000000" w:themeColor="text1"/>
          <w:highlight w:val="green"/>
        </w:rPr>
        <w:t>"Receiving a letter from somebody in the medical profession who is an expert in it carries more weight than just me saying you need to get this test done." (Relative, F, 77, Region B - Indirect)</w:t>
      </w:r>
    </w:p>
    <w:p w14:paraId="20F5A3DF" w14:textId="6096ACE4" w:rsidR="71082DA5" w:rsidRPr="00B85D62" w:rsidRDefault="71082DA5" w:rsidP="0066232B">
      <w:pPr>
        <w:ind w:left="720"/>
        <w:jc w:val="both"/>
        <w:rPr>
          <w:rFonts w:eastAsia="Calibri" w:cs="Arial"/>
          <w:color w:val="000000" w:themeColor="text1"/>
        </w:rPr>
      </w:pPr>
      <w:r w:rsidRPr="00B85D62">
        <w:rPr>
          <w:rFonts w:eastAsia="Calibri" w:cs="Arial"/>
          <w:i/>
          <w:iCs/>
          <w:color w:val="000000" w:themeColor="text1"/>
          <w:highlight w:val="green"/>
        </w:rPr>
        <w:t xml:space="preserve">"I think if a hospital was to contact you and say you really need to come for this test, I think it would be much more effective than your mum </w:t>
      </w:r>
      <w:r w:rsidR="00B85D62" w:rsidRPr="00B85D62">
        <w:rPr>
          <w:rFonts w:eastAsia="Calibri" w:cs="Arial"/>
          <w:i/>
          <w:iCs/>
          <w:color w:val="00B0F0"/>
        </w:rPr>
        <w:t>. . .</w:t>
      </w:r>
      <w:r w:rsidRPr="00B85D62">
        <w:rPr>
          <w:rFonts w:eastAsia="Calibri" w:cs="Arial"/>
          <w:i/>
          <w:iCs/>
          <w:color w:val="000000" w:themeColor="text1"/>
          <w:highlight w:val="green"/>
        </w:rPr>
        <w:t>. " (Relative, M, 52, Health Board C- Hybrid)</w:t>
      </w:r>
    </w:p>
    <w:p w14:paraId="2B87A1FC" w14:textId="2BAB965E" w:rsidR="00B85D62" w:rsidRPr="00B85D62" w:rsidRDefault="71082DA5" w:rsidP="0066232B">
      <w:pPr>
        <w:jc w:val="both"/>
        <w:rPr>
          <w:rFonts w:eastAsia="Calibri" w:cs="Arial"/>
          <w:color w:val="000000" w:themeColor="text1"/>
        </w:rPr>
      </w:pPr>
      <w:r w:rsidRPr="00B85D62">
        <w:rPr>
          <w:rFonts w:eastAsia="Calibri" w:cs="Arial"/>
          <w:color w:val="000000" w:themeColor="text1"/>
        </w:rPr>
        <w:t>Corresponding with patients</w:t>
      </w:r>
      <w:r w:rsidR="00B85D62" w:rsidRPr="00B85D62">
        <w:rPr>
          <w:rFonts w:eastAsia="Calibri" w:cs="Arial"/>
          <w:color w:val="000000" w:themeColor="text1"/>
        </w:rPr>
        <w:t>’</w:t>
      </w:r>
      <w:r w:rsidRPr="00B85D62">
        <w:rPr>
          <w:rFonts w:eastAsia="Calibri" w:cs="Arial"/>
          <w:color w:val="000000" w:themeColor="text1"/>
        </w:rPr>
        <w:t xml:space="preserve"> perspectives, health professionals found that using a direct approach better ensured that contact with the offer of testing was made to relatives and that information about FH and testing could be conveyed appropriately and accurately. Some also highlighted their concerns about potential ethical difficulty arising with an indirect approach – that returning to the index patient to determine if or why their relatives </w:t>
      </w:r>
      <w:r w:rsidR="00B85D62" w:rsidRPr="00B85D62">
        <w:rPr>
          <w:rFonts w:eastAsia="Calibri" w:cs="Arial"/>
          <w:color w:val="00B0F0"/>
        </w:rPr>
        <w:t>had not</w:t>
      </w:r>
      <w:r w:rsidRPr="00B85D62">
        <w:rPr>
          <w:rFonts w:eastAsia="Calibri" w:cs="Arial"/>
          <w:color w:val="000000" w:themeColor="text1"/>
        </w:rPr>
        <w:t xml:space="preserve"> engaged may breach patient confidentiality. This meant a solely indirect approach could create a dead end for engaging relatives. Using a direct contact method meant services were better able to </w:t>
      </w:r>
      <w:r w:rsidRPr="00B85D62">
        <w:rPr>
          <w:rFonts w:eastAsia="Calibri" w:cs="Arial"/>
          <w:color w:val="000000" w:themeColor="text1"/>
          <w:highlight w:val="magenta"/>
        </w:rPr>
        <w:t>follow up</w:t>
      </w:r>
      <w:r w:rsidRPr="00B85D62">
        <w:rPr>
          <w:rFonts w:eastAsia="Calibri" w:cs="Arial"/>
          <w:color w:val="000000" w:themeColor="text1"/>
        </w:rPr>
        <w:t xml:space="preserve"> non-response from relatives by phone or sending another letter.</w:t>
      </w:r>
    </w:p>
    <w:p w14:paraId="18398F32" w14:textId="45641508" w:rsidR="71082DA5" w:rsidRPr="00B85D62" w:rsidRDefault="71082DA5" w:rsidP="0066232B">
      <w:pPr>
        <w:tabs>
          <w:tab w:val="left" w:pos="8453"/>
          <w:tab w:val="left" w:pos="8535"/>
        </w:tabs>
        <w:ind w:right="-5653"/>
        <w:jc w:val="both"/>
        <w:rPr>
          <w:rFonts w:eastAsia="Calibri" w:cs="Arial"/>
          <w:color w:val="000000" w:themeColor="text1"/>
          <w:highlight w:val="green"/>
        </w:rPr>
      </w:pPr>
      <w:r w:rsidRPr="00B85D62">
        <w:rPr>
          <w:rFonts w:eastAsia="Calibri" w:cs="Arial"/>
          <w:i/>
          <w:iCs/>
          <w:color w:val="000000" w:themeColor="text1"/>
          <w:highlight w:val="green"/>
        </w:rPr>
        <w:t xml:space="preserve">“I think the one frustrating thing about indirect cascade testing is if a family doesn’t engage where </w:t>
      </w:r>
    </w:p>
    <w:p w14:paraId="5032B152" w14:textId="3CDA88BD" w:rsidR="71082DA5" w:rsidRPr="00B85D62" w:rsidRDefault="71082DA5" w:rsidP="0066232B">
      <w:pPr>
        <w:tabs>
          <w:tab w:val="left" w:pos="8453"/>
          <w:tab w:val="left" w:pos="8535"/>
        </w:tabs>
        <w:ind w:right="-5653"/>
        <w:jc w:val="both"/>
        <w:rPr>
          <w:rFonts w:eastAsia="Calibri" w:cs="Arial"/>
          <w:color w:val="000000" w:themeColor="text1"/>
          <w:highlight w:val="green"/>
        </w:rPr>
      </w:pPr>
      <w:r w:rsidRPr="00B85D62">
        <w:rPr>
          <w:rFonts w:eastAsia="Calibri" w:cs="Arial"/>
          <w:i/>
          <w:iCs/>
          <w:color w:val="000000" w:themeColor="text1"/>
          <w:highlight w:val="green"/>
        </w:rPr>
        <w:t>can you go from there really?</w:t>
      </w:r>
      <w:r w:rsidR="00895586" w:rsidRPr="00B85D62">
        <w:rPr>
          <w:rFonts w:eastAsia="Calibri" w:cs="Arial"/>
          <w:i/>
          <w:iCs/>
          <w:color w:val="000000" w:themeColor="text1"/>
          <w:highlight w:val="green"/>
        </w:rPr>
        <w:t xml:space="preserve"> </w:t>
      </w:r>
      <w:r w:rsidRPr="00B85D62">
        <w:rPr>
          <w:rFonts w:eastAsia="Calibri" w:cs="Arial"/>
          <w:i/>
          <w:iCs/>
          <w:color w:val="000000" w:themeColor="text1"/>
          <w:highlight w:val="green"/>
        </w:rPr>
        <w:t>You know what are the ethics in contacting the index again and saying</w:t>
      </w:r>
    </w:p>
    <w:p w14:paraId="77A9E757" w14:textId="36D0C985" w:rsidR="71082DA5" w:rsidRPr="00B85D62" w:rsidRDefault="71082DA5" w:rsidP="0066232B">
      <w:pPr>
        <w:tabs>
          <w:tab w:val="left" w:pos="8453"/>
          <w:tab w:val="left" w:pos="8535"/>
        </w:tabs>
        <w:ind w:right="-5653"/>
        <w:jc w:val="both"/>
        <w:rPr>
          <w:rFonts w:eastAsia="Calibri" w:cs="Arial"/>
          <w:color w:val="000000" w:themeColor="text1"/>
          <w:highlight w:val="green"/>
        </w:rPr>
      </w:pPr>
      <w:r w:rsidRPr="00B85D62">
        <w:rPr>
          <w:rFonts w:eastAsia="Calibri" w:cs="Arial"/>
          <w:i/>
          <w:iCs/>
          <w:color w:val="000000" w:themeColor="text1"/>
          <w:highlight w:val="green"/>
        </w:rPr>
        <w:t xml:space="preserve">’Did they get the letters?’ because you can’t really let the index know that people haven’t come in. </w:t>
      </w:r>
    </w:p>
    <w:p w14:paraId="544848E3" w14:textId="77777777" w:rsidR="00B85D62" w:rsidRPr="00B85D62" w:rsidRDefault="71082DA5" w:rsidP="0066232B">
      <w:pPr>
        <w:tabs>
          <w:tab w:val="left" w:pos="8453"/>
          <w:tab w:val="left" w:pos="8535"/>
        </w:tabs>
        <w:ind w:right="-5653"/>
        <w:jc w:val="both"/>
        <w:rPr>
          <w:rFonts w:eastAsia="Calibri" w:cs="Arial"/>
          <w:color w:val="000000" w:themeColor="text1"/>
        </w:rPr>
      </w:pPr>
      <w:r w:rsidRPr="00B85D62">
        <w:rPr>
          <w:rFonts w:eastAsia="Calibri" w:cs="Arial"/>
          <w:i/>
          <w:iCs/>
          <w:color w:val="000000" w:themeColor="text1"/>
          <w:highlight w:val="green"/>
        </w:rPr>
        <w:t>(with) the direct method you can send letters again.” (FH Nurse, Hybrid Approach )</w:t>
      </w:r>
    </w:p>
    <w:p w14:paraId="42306531" w14:textId="6C3FF0A7" w:rsidR="71082DA5" w:rsidRPr="00B85D62" w:rsidRDefault="71082DA5" w:rsidP="0066232B">
      <w:pPr>
        <w:jc w:val="both"/>
        <w:rPr>
          <w:rFonts w:eastAsia="Calibri" w:cs="Arial"/>
          <w:color w:val="000000" w:themeColor="text1"/>
        </w:rPr>
      </w:pPr>
      <w:r w:rsidRPr="00B85D62">
        <w:rPr>
          <w:rFonts w:eastAsia="Calibri" w:cs="Arial"/>
          <w:color w:val="000000" w:themeColor="text1"/>
        </w:rPr>
        <w:t xml:space="preserve">Health professionals perceived or had found using a more flexible combined or </w:t>
      </w:r>
      <w:r w:rsidR="00B85D62" w:rsidRPr="00B85D62">
        <w:rPr>
          <w:rFonts w:eastAsia="Calibri" w:cs="Arial"/>
          <w:color w:val="000000" w:themeColor="text1"/>
        </w:rPr>
        <w:t>‘</w:t>
      </w:r>
      <w:r w:rsidRPr="00B85D62">
        <w:rPr>
          <w:rFonts w:eastAsia="Calibri" w:cs="Arial"/>
          <w:color w:val="000000" w:themeColor="text1"/>
        </w:rPr>
        <w:t>hybrid</w:t>
      </w:r>
      <w:r w:rsidR="00B85D62" w:rsidRPr="00B85D62">
        <w:rPr>
          <w:rFonts w:eastAsia="Calibri" w:cs="Arial"/>
          <w:color w:val="000000" w:themeColor="text1"/>
        </w:rPr>
        <w:t>’</w:t>
      </w:r>
      <w:r w:rsidRPr="00B85D62">
        <w:rPr>
          <w:rFonts w:eastAsia="Calibri" w:cs="Arial"/>
          <w:color w:val="000000" w:themeColor="text1"/>
        </w:rPr>
        <w:t xml:space="preserve"> approach, worked more effectively. This was informed by exploring the nature of relationships within families with the index patient, and their views on what would best work for them and their relatives.</w:t>
      </w:r>
      <w:r w:rsidR="00895586" w:rsidRPr="00B85D62">
        <w:rPr>
          <w:rFonts w:eastAsia="Calibri" w:cs="Arial"/>
          <w:color w:val="000000" w:themeColor="text1"/>
        </w:rPr>
        <w:t xml:space="preserve"> </w:t>
      </w:r>
      <w:r w:rsidRPr="00B85D62">
        <w:rPr>
          <w:rFonts w:eastAsia="Calibri" w:cs="Arial"/>
          <w:color w:val="000000" w:themeColor="text1"/>
        </w:rPr>
        <w:t xml:space="preserve">This entailed negotiating using direct or indirect or both methods for each different relative. This might, for example, involve index patients wishing to inform a relative and pass information to them (indirect) but also with direct </w:t>
      </w:r>
      <w:r w:rsidRPr="00B85D62">
        <w:rPr>
          <w:rFonts w:eastAsia="Calibri" w:cs="Arial"/>
          <w:color w:val="000000" w:themeColor="text1"/>
          <w:highlight w:val="magenta"/>
        </w:rPr>
        <w:t>follow up</w:t>
      </w:r>
      <w:r w:rsidRPr="00B85D62">
        <w:rPr>
          <w:rFonts w:eastAsia="Calibri" w:cs="Arial"/>
          <w:color w:val="000000" w:themeColor="text1"/>
        </w:rPr>
        <w:t xml:space="preserve"> contact from the service. Conversely an index patient might prefer their relative be only contacted directly by the service </w:t>
      </w:r>
      <w:r w:rsidRPr="00B85D62">
        <w:rPr>
          <w:rFonts w:eastAsia="Calibri" w:cs="Arial"/>
          <w:color w:val="000000" w:themeColor="text1"/>
          <w:highlight w:val="magenta"/>
        </w:rPr>
        <w:t>due to</w:t>
      </w:r>
      <w:r w:rsidRPr="00B85D62">
        <w:rPr>
          <w:rFonts w:eastAsia="Calibri" w:cs="Arial"/>
          <w:color w:val="000000" w:themeColor="text1"/>
        </w:rPr>
        <w:t xml:space="preserve"> the nature of their relationship or because of insights about how their relative may prefer to be contacted or to hear about FH.</w:t>
      </w:r>
    </w:p>
    <w:p w14:paraId="28492B89" w14:textId="77777777" w:rsidR="00CB79F2" w:rsidRPr="00B85D62" w:rsidRDefault="00CB79F2" w:rsidP="00CB79F2">
      <w:pPr>
        <w:ind w:left="720"/>
        <w:rPr>
          <w:rFonts w:cs="Arial"/>
          <w:i/>
          <w:iCs/>
          <w:highlight w:val="green"/>
        </w:rPr>
      </w:pPr>
      <w:r w:rsidRPr="00B85D62">
        <w:rPr>
          <w:rFonts w:cs="Arial"/>
          <w:i/>
          <w:iCs/>
          <w:highlight w:val="green"/>
        </w:rPr>
        <w:t xml:space="preserve">“it is just having that freedom for that hybrid approach and getting consent at that point to say ‘right </w:t>
      </w:r>
    </w:p>
    <w:p w14:paraId="1A17E842" w14:textId="77777777" w:rsidR="00CB79F2" w:rsidRPr="00B85D62" w:rsidRDefault="00CB79F2" w:rsidP="00CB79F2">
      <w:pPr>
        <w:ind w:left="720"/>
        <w:rPr>
          <w:rFonts w:cs="Arial"/>
          <w:i/>
          <w:iCs/>
          <w:highlight w:val="green"/>
        </w:rPr>
      </w:pPr>
      <w:r w:rsidRPr="00B85D62">
        <w:rPr>
          <w:rFonts w:cs="Arial"/>
          <w:i/>
          <w:iCs/>
          <w:highlight w:val="green"/>
        </w:rPr>
        <w:t xml:space="preserve">which relatives can we just go straight to?, which ones do you think need a bit more nurturing? </w:t>
      </w:r>
    </w:p>
    <w:p w14:paraId="2235FC60" w14:textId="60748B41" w:rsidR="00CB79F2" w:rsidRPr="00B85D62" w:rsidRDefault="00CB79F2" w:rsidP="00CB79F2">
      <w:pPr>
        <w:ind w:left="720"/>
        <w:rPr>
          <w:rFonts w:cs="Arial"/>
          <w:i/>
          <w:iCs/>
          <w:highlight w:val="green"/>
        </w:rPr>
      </w:pPr>
      <w:r w:rsidRPr="00B85D62">
        <w:rPr>
          <w:rFonts w:cs="Arial"/>
          <w:i/>
          <w:iCs/>
          <w:highlight w:val="green"/>
        </w:rPr>
        <w:t>Direct isn’t (always) better than indirect, it is a combination of the two that works best for each individual family</w:t>
      </w:r>
      <w:r w:rsidR="00B85D62" w:rsidRPr="00B85D62">
        <w:rPr>
          <w:rFonts w:cs="Arial"/>
          <w:i/>
          <w:iCs/>
          <w:color w:val="00B0F0"/>
        </w:rPr>
        <w:t>. . .</w:t>
      </w:r>
    </w:p>
    <w:p w14:paraId="0C1FC4E5" w14:textId="77777777" w:rsidR="00CB79F2" w:rsidRPr="00B85D62" w:rsidRDefault="00CB79F2" w:rsidP="00CB79F2">
      <w:pPr>
        <w:ind w:left="720"/>
        <w:rPr>
          <w:rFonts w:cs="Arial"/>
          <w:i/>
          <w:iCs/>
          <w:highlight w:val="green"/>
        </w:rPr>
      </w:pPr>
      <w:r w:rsidRPr="00B85D62">
        <w:rPr>
          <w:rFonts w:cs="Arial"/>
          <w:i/>
          <w:iCs/>
          <w:highlight w:val="green"/>
        </w:rPr>
        <w:t xml:space="preserve">that’s another privilege of having [FH nurse led model] within this service that (they) have an hour with each patient, </w:t>
      </w:r>
    </w:p>
    <w:p w14:paraId="32FE645F" w14:textId="47BAB35D" w:rsidR="00B85D62" w:rsidRPr="00B85D62" w:rsidRDefault="00B85D62" w:rsidP="00CB79F2">
      <w:pPr>
        <w:ind w:left="720"/>
        <w:rPr>
          <w:rFonts w:cs="Arial"/>
          <w:i/>
          <w:iCs/>
        </w:rPr>
      </w:pPr>
      <w:r w:rsidRPr="00B85D62">
        <w:rPr>
          <w:rFonts w:cs="Arial"/>
          <w:i/>
          <w:iCs/>
          <w:color w:val="00B0F0"/>
        </w:rPr>
        <w:t>. . .</w:t>
      </w:r>
      <w:r w:rsidR="00CB79F2" w:rsidRPr="00B85D62">
        <w:rPr>
          <w:rFonts w:cs="Arial"/>
          <w:i/>
          <w:iCs/>
          <w:highlight w:val="green"/>
        </w:rPr>
        <w:t>. while you draw the pedigree you’re really finding out what the dynamic is in the family.” (FH Service Lead, Hybrid Approach )</w:t>
      </w:r>
    </w:p>
    <w:p w14:paraId="352338E4" w14:textId="118F0D49" w:rsidR="00B85D62" w:rsidRPr="00B85D62" w:rsidRDefault="71082DA5" w:rsidP="0066232B">
      <w:pPr>
        <w:jc w:val="both"/>
        <w:rPr>
          <w:rFonts w:eastAsia="Calibri" w:cs="Arial"/>
          <w:color w:val="000000" w:themeColor="text1"/>
        </w:rPr>
      </w:pPr>
      <w:r w:rsidRPr="00B85D62">
        <w:rPr>
          <w:rFonts w:eastAsia="Calibri" w:cs="Arial"/>
          <w:color w:val="000000" w:themeColor="text1"/>
        </w:rPr>
        <w:t xml:space="preserve">For similar reasons, most index patients and relatives had experienced or perceived this </w:t>
      </w:r>
      <w:r w:rsidR="00B85D62" w:rsidRPr="00B85D62">
        <w:rPr>
          <w:rFonts w:eastAsia="Calibri" w:cs="Arial"/>
          <w:color w:val="000000" w:themeColor="text1"/>
        </w:rPr>
        <w:t>‘</w:t>
      </w:r>
      <w:r w:rsidRPr="00B85D62">
        <w:rPr>
          <w:rFonts w:eastAsia="Calibri" w:cs="Arial"/>
          <w:color w:val="000000" w:themeColor="text1"/>
        </w:rPr>
        <w:t>blended</w:t>
      </w:r>
      <w:r w:rsidR="00B85D62" w:rsidRPr="00B85D62">
        <w:rPr>
          <w:rFonts w:eastAsia="Calibri" w:cs="Arial"/>
          <w:color w:val="000000" w:themeColor="text1"/>
        </w:rPr>
        <w:t>’</w:t>
      </w:r>
      <w:r w:rsidRPr="00B85D62">
        <w:rPr>
          <w:rFonts w:eastAsia="Calibri" w:cs="Arial"/>
          <w:color w:val="000000" w:themeColor="text1"/>
        </w:rPr>
        <w:t xml:space="preserve"> combination approach to be more acceptable.</w:t>
      </w:r>
    </w:p>
    <w:p w14:paraId="734E2645" w14:textId="2411492D" w:rsidR="00B85D62" w:rsidRPr="00B85D62" w:rsidRDefault="71082DA5" w:rsidP="0066232B">
      <w:pPr>
        <w:ind w:left="720"/>
        <w:jc w:val="both"/>
        <w:rPr>
          <w:rFonts w:eastAsia="Calibri" w:cs="Arial"/>
          <w:i/>
          <w:iCs/>
          <w:color w:val="000000" w:themeColor="text1"/>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a blended approach, definitely, because I think if you do receive that letter, that can be in itself quite worrying, but purely relying on the individual [index], it is entirely dependent on that individual's ability to convey the message and the seriousness of it." (Index, M, 43, Region C - Hybrid)</w:t>
      </w:r>
    </w:p>
    <w:p w14:paraId="6ADD7D5F" w14:textId="118E8A27" w:rsidR="00B85D62" w:rsidRPr="00B85D62" w:rsidRDefault="71082DA5" w:rsidP="00CB79F2">
      <w:pPr>
        <w:rPr>
          <w:rFonts w:cs="Arial"/>
        </w:rPr>
      </w:pPr>
      <w:r w:rsidRPr="00B85D62">
        <w:rPr>
          <w:rFonts w:cs="Arial"/>
        </w:rPr>
        <w:t xml:space="preserve">Use of </w:t>
      </w:r>
      <w:r w:rsidRPr="00B85D62">
        <w:rPr>
          <w:rFonts w:cs="Arial"/>
          <w:highlight w:val="magenta"/>
        </w:rPr>
        <w:t>an F</w:t>
      </w:r>
      <w:r w:rsidRPr="00B85D62">
        <w:rPr>
          <w:rFonts w:cs="Arial"/>
        </w:rPr>
        <w:t>H nurse-led model appeared well-suited to this approach. This was perceived to offer particular strengths in establishing continuity of care for index patients and their relatives, providing a single point of contact for them to maintain engagement with the process, and facilitating a therapeutic relationship and understanding of families</w:t>
      </w:r>
      <w:r w:rsidR="00B85D62" w:rsidRPr="00B85D62">
        <w:rPr>
          <w:rFonts w:cs="Arial"/>
        </w:rPr>
        <w:t>’</w:t>
      </w:r>
      <w:r w:rsidRPr="00B85D62">
        <w:rPr>
          <w:rFonts w:cs="Arial"/>
        </w:rPr>
        <w:t xml:space="preserve"> needs. This was greatly valued by families who had experienced this approach.</w:t>
      </w:r>
    </w:p>
    <w:p w14:paraId="006165EF" w14:textId="62766BEC"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it definitely works better, with the nurse doing the whole thing, I think it is better for the patient</w:t>
      </w:r>
    </w:p>
    <w:p w14:paraId="40496EB4" w14:textId="01DA1339"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 xml:space="preserve"> and the family because they have got one consistent contact who then knows the dynamics </w:t>
      </w:r>
    </w:p>
    <w:p w14:paraId="37755F11" w14:textId="248D507B"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of the family better and also the referral process.” (FH Nurse, Indirect Contact Approach)</w:t>
      </w:r>
    </w:p>
    <w:p w14:paraId="2F25727E" w14:textId="46F59E32" w:rsidR="3341BD48" w:rsidRPr="00B85D62" w:rsidRDefault="3341BD48" w:rsidP="0066232B">
      <w:pPr>
        <w:jc w:val="both"/>
        <w:rPr>
          <w:rFonts w:eastAsia="Calibri" w:cs="Arial"/>
          <w:color w:val="000000" w:themeColor="text1"/>
          <w:highlight w:val="green"/>
        </w:rPr>
      </w:pPr>
    </w:p>
    <w:p w14:paraId="2B8798DF" w14:textId="77777777" w:rsidR="00B85D62"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"The (FH) nurse that does all of the genetic testing and things and it is perfect, she is really, really nice and you don’t feel rushed, your family get to ask all of your questions and she came to my daughters first appointment too." (Index, F, 40 Region</w:t>
      </w:r>
      <w:r w:rsidR="00895586" w:rsidRPr="00B85D62">
        <w:rPr>
          <w:rFonts w:eastAsia="Calibri" w:cs="Arial"/>
          <w:i/>
          <w:iCs/>
          <w:color w:val="000000" w:themeColor="text1"/>
          <w:highlight w:val="green"/>
        </w:rPr>
        <w:t xml:space="preserve"> </w:t>
      </w:r>
      <w:r w:rsidRPr="00B85D62">
        <w:rPr>
          <w:rFonts w:eastAsia="Calibri" w:cs="Arial"/>
          <w:i/>
          <w:iCs/>
          <w:color w:val="000000" w:themeColor="text1"/>
          <w:highlight w:val="green"/>
        </w:rPr>
        <w:t>C - Hybrid)</w:t>
      </w:r>
    </w:p>
    <w:p w14:paraId="42F99BBF" w14:textId="77777777" w:rsidR="00B85D62" w:rsidRPr="00B85D62" w:rsidRDefault="71082DA5" w:rsidP="006C7E71">
      <w:pPr>
        <w:pStyle w:val="Heading3"/>
        <w:rPr>
          <w:rFonts w:eastAsia="Yu Gothic Light"/>
          <w:bCs/>
        </w:rPr>
      </w:pPr>
      <w:bookmarkStart w:id="263" w:name="_Toc107157509"/>
      <w:r w:rsidRPr="00B85D62">
        <w:t>Communication and being informed about FH</w:t>
      </w:r>
      <w:bookmarkEnd w:id="263"/>
    </w:p>
    <w:p w14:paraId="24BF7CA6"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Having positive interactions with healthcare professionals who communicated effectively about FH reassured patients about FH testing and what a positive result would mean for their lives.</w:t>
      </w:r>
      <w:r w:rsidRPr="00B85D62">
        <w:rPr>
          <w:rFonts w:eastAsia="Cambria" w:cs="Arial"/>
          <w:color w:val="000000" w:themeColor="text1"/>
        </w:rPr>
        <w:t xml:space="preserve"> </w:t>
      </w:r>
      <w:r w:rsidRPr="00B85D62">
        <w:rPr>
          <w:rFonts w:eastAsia="Calibri" w:cs="Arial"/>
          <w:color w:val="000000" w:themeColor="text1"/>
        </w:rPr>
        <w:t>People who had been able to discuss FH testing with their FH Nurse, genetic counsellor or consultant recalled a good understanding of FH and the principles of genetic inheritance for FH.</w:t>
      </w:r>
    </w:p>
    <w:p w14:paraId="51CB7C82" w14:textId="7CD8D064" w:rsidR="71082DA5" w:rsidRPr="00B85D62" w:rsidRDefault="71082DA5" w:rsidP="0066232B">
      <w:pPr>
        <w:ind w:left="14"/>
        <w:jc w:val="both"/>
        <w:rPr>
          <w:rFonts w:eastAsia="Calibri" w:cs="Arial"/>
          <w:color w:val="000000" w:themeColor="text1"/>
        </w:rPr>
      </w:pPr>
      <w:r w:rsidRPr="00B85D62">
        <w:rPr>
          <w:rFonts w:eastAsia="Calibri" w:cs="Arial"/>
          <w:i/>
          <w:iCs/>
          <w:color w:val="000000" w:themeColor="text1"/>
          <w:highlight w:val="green"/>
        </w:rPr>
        <w:t>"They explained it to me as trying to find the gene in the human genome is like trying to find a spelling mistake in a novel but once you know what page and what word is spelt wrong then it is much easier for them to then see if my boys had the same thing." (Index, M, 43, Region C - Hybrid)</w:t>
      </w:r>
    </w:p>
    <w:p w14:paraId="4A257AB4"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Some consultants felt they or other colleagues lacked adequate time within busy appointments to ensure that messages had been understood by the patients, or to discuss family issues appropriately, compromising uptake of testing. This required well developed communication skills and confidence to address any deeper issues that might act as a barrier to engagement with cascade testing, such as guilt or loss related to FH diagnosis, or sensitivity about inheritance or family issues.</w:t>
      </w:r>
    </w:p>
    <w:p w14:paraId="659EE13B" w14:textId="5EA4AF33"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 xml:space="preserve">I think genetics is perceived as being a little bit mysterious and in a busy medical appointment it is quite difficult to explain that </w:t>
      </w:r>
      <w:r w:rsidR="00B85D62" w:rsidRPr="00B85D62">
        <w:rPr>
          <w:rFonts w:eastAsia="Calibri" w:cs="Arial"/>
          <w:i/>
          <w:iCs/>
          <w:color w:val="00B0F0"/>
        </w:rPr>
        <w:t>. . .</w:t>
      </w:r>
      <w:r w:rsidRPr="00B85D62">
        <w:rPr>
          <w:rFonts w:eastAsia="Calibri" w:cs="Arial"/>
          <w:i/>
          <w:iCs/>
          <w:color w:val="000000" w:themeColor="text1"/>
          <w:highlight w:val="green"/>
        </w:rPr>
        <w:t>. I have got plenty of people who don’t turn up to their genotyping appointment and that is possibly my fault because I haven’t had the opportunity to explain in a way that they recognise the value of bothering to get tested.”</w:t>
      </w:r>
      <w:r w:rsidR="00895586" w:rsidRPr="00B85D62">
        <w:rPr>
          <w:rFonts w:eastAsia="Calibri" w:cs="Arial"/>
          <w:color w:val="000000" w:themeColor="text1"/>
          <w:highlight w:val="green"/>
        </w:rPr>
        <w:t xml:space="preserve"> </w:t>
      </w:r>
      <w:r w:rsidRPr="00B85D62">
        <w:rPr>
          <w:rFonts w:eastAsia="Calibri" w:cs="Arial"/>
          <w:i/>
          <w:iCs/>
          <w:color w:val="000000" w:themeColor="text1"/>
          <w:highlight w:val="green"/>
        </w:rPr>
        <w:t>(Consultant Lipidologist, Indirect Contact Approach)</w:t>
      </w:r>
    </w:p>
    <w:p w14:paraId="73D9608F" w14:textId="47C54447" w:rsidR="3341BD48" w:rsidRPr="00B85D62" w:rsidRDefault="3341BD48" w:rsidP="0066232B">
      <w:pPr>
        <w:jc w:val="both"/>
        <w:rPr>
          <w:rFonts w:eastAsia="Calibri" w:cs="Arial"/>
          <w:color w:val="000000" w:themeColor="text1"/>
          <w:highlight w:val="green"/>
        </w:rPr>
      </w:pPr>
    </w:p>
    <w:p w14:paraId="4D5AB7B4" w14:textId="3A2B7FEE" w:rsidR="00B85D62"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 xml:space="preserve"> “</w:t>
      </w:r>
      <w:r w:rsidR="00B85D62" w:rsidRPr="00B85D62">
        <w:rPr>
          <w:rFonts w:eastAsia="Calibri" w:cs="Arial"/>
          <w:i/>
          <w:iCs/>
          <w:color w:val="00B0F0"/>
        </w:rPr>
        <w:t>. . .</w:t>
      </w:r>
      <w:r w:rsidRPr="00B85D62">
        <w:rPr>
          <w:rFonts w:eastAsia="Calibri" w:cs="Arial"/>
          <w:i/>
          <w:iCs/>
          <w:color w:val="000000" w:themeColor="text1"/>
          <w:highlight w:val="green"/>
        </w:rPr>
        <w:t xml:space="preserve">we have had issues with paternity come up, you know there are all sorts of potential issues, </w:t>
      </w:r>
      <w:r w:rsidR="00B85D62" w:rsidRPr="00B85D62">
        <w:rPr>
          <w:rFonts w:eastAsia="Calibri" w:cs="Arial"/>
          <w:i/>
          <w:iCs/>
          <w:color w:val="00B0F0"/>
        </w:rPr>
        <w:t>. . .</w:t>
      </w:r>
      <w:r w:rsidRPr="00B85D62">
        <w:rPr>
          <w:rFonts w:eastAsia="Calibri" w:cs="Arial"/>
          <w:i/>
          <w:iCs/>
          <w:color w:val="000000" w:themeColor="text1"/>
          <w:highlight w:val="green"/>
        </w:rPr>
        <w:t xml:space="preserve">. It is that whole perspective of the individual versus the family but also having the confidence to explore because, if there are issues around bereavement or guilt and blame, </w:t>
      </w:r>
      <w:r w:rsidR="00B85D62" w:rsidRPr="00B85D62">
        <w:rPr>
          <w:rFonts w:eastAsia="Calibri" w:cs="Arial"/>
          <w:i/>
          <w:iCs/>
          <w:color w:val="00B0F0"/>
        </w:rPr>
        <w:t>. . . . .</w:t>
      </w:r>
      <w:r w:rsidRPr="00B85D62">
        <w:rPr>
          <w:rFonts w:eastAsia="Calibri" w:cs="Arial"/>
          <w:i/>
          <w:iCs/>
          <w:color w:val="000000" w:themeColor="text1"/>
          <w:highlight w:val="green"/>
        </w:rPr>
        <w:t>.”</w:t>
      </w:r>
      <w:r w:rsidRPr="00B85D62">
        <w:rPr>
          <w:rFonts w:eastAsia="Calibri" w:cs="Arial"/>
          <w:color w:val="000000" w:themeColor="text1"/>
          <w:highlight w:val="green"/>
        </w:rPr>
        <w:t xml:space="preserve"> </w:t>
      </w:r>
      <w:r w:rsidRPr="00B85D62">
        <w:rPr>
          <w:rFonts w:eastAsia="Calibri" w:cs="Arial"/>
          <w:i/>
          <w:iCs/>
          <w:color w:val="000000" w:themeColor="text1"/>
          <w:highlight w:val="green"/>
        </w:rPr>
        <w:t>(FH Nurse, Hybrid Approach )</w:t>
      </w:r>
    </w:p>
    <w:p w14:paraId="229563B1"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FH nurses were considered to be well placed to take on this counselling role with support and training, while bringing specialist clinical knowledge and potentially greater time within appointments than medical colleagues.</w:t>
      </w:r>
    </w:p>
    <w:p w14:paraId="1A7E45BE"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A strong theme prioritised by health professionals was that communication about testing be focused on FH having effective treatment to prevent major cardiac events, and rather less foregrounded as genetic testing for a genetic disease.</w:t>
      </w:r>
      <w:r w:rsidR="00895586" w:rsidRPr="00B85D62">
        <w:rPr>
          <w:rFonts w:eastAsia="Calibri" w:cs="Arial"/>
          <w:color w:val="000000" w:themeColor="text1"/>
        </w:rPr>
        <w:t xml:space="preserve"> </w:t>
      </w:r>
      <w:r w:rsidRPr="00B85D62">
        <w:rPr>
          <w:rFonts w:eastAsia="Calibri" w:cs="Arial"/>
          <w:color w:val="000000" w:themeColor="text1"/>
        </w:rPr>
        <w:t xml:space="preserve">Introducing this too early could be too disconcerting and </w:t>
      </w:r>
      <w:r w:rsidRPr="00B85D62">
        <w:rPr>
          <w:rFonts w:eastAsia="Calibri" w:cs="Arial"/>
          <w:color w:val="000000" w:themeColor="text1"/>
          <w:highlight w:val="magenta"/>
        </w:rPr>
        <w:t>lead</w:t>
      </w:r>
      <w:r w:rsidRPr="00B85D62">
        <w:rPr>
          <w:rFonts w:eastAsia="Calibri" w:cs="Arial"/>
          <w:color w:val="000000" w:themeColor="text1"/>
        </w:rPr>
        <w:t xml:space="preserve"> to patient disengagement.</w:t>
      </w:r>
    </w:p>
    <w:p w14:paraId="0CC27455" w14:textId="581E3904"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 xml:space="preserve">“When we come from a genetic test perspective the language is far too alarming and </w:t>
      </w:r>
    </w:p>
    <w:p w14:paraId="5C638DF9" w14:textId="061F972E"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we almost put them off the idea of having a test at all</w:t>
      </w:r>
      <w:r w:rsidR="00B85D62" w:rsidRPr="00B85D62">
        <w:rPr>
          <w:rFonts w:eastAsia="Calibri" w:cs="Arial"/>
          <w:i/>
          <w:iCs/>
          <w:color w:val="00B0F0"/>
        </w:rPr>
        <w:t>. . .</w:t>
      </w:r>
      <w:r w:rsidRPr="00B85D62">
        <w:rPr>
          <w:rFonts w:eastAsia="Calibri" w:cs="Arial"/>
          <w:color w:val="000000" w:themeColor="text1"/>
          <w:highlight w:val="green"/>
        </w:rPr>
        <w:t xml:space="preserve"> </w:t>
      </w:r>
      <w:r w:rsidRPr="00B85D62">
        <w:rPr>
          <w:rFonts w:eastAsia="Calibri" w:cs="Arial"/>
          <w:i/>
          <w:iCs/>
          <w:color w:val="000000" w:themeColor="text1"/>
          <w:highlight w:val="green"/>
        </w:rPr>
        <w:t xml:space="preserve">thinking about this as a cardiac condition </w:t>
      </w:r>
    </w:p>
    <w:p w14:paraId="17AF1DCB" w14:textId="77777777" w:rsidR="00B85D62" w:rsidRPr="00B85D62" w:rsidRDefault="71082DA5" w:rsidP="0066232B">
      <w:pPr>
        <w:ind w:right="-5653"/>
        <w:jc w:val="both"/>
        <w:rPr>
          <w:rFonts w:eastAsia="Calibri" w:cs="Arial"/>
          <w:color w:val="000000" w:themeColor="text1"/>
        </w:rPr>
      </w:pPr>
      <w:r w:rsidRPr="00B85D62">
        <w:rPr>
          <w:rFonts w:eastAsia="Calibri" w:cs="Arial"/>
          <w:i/>
          <w:iCs/>
          <w:color w:val="000000" w:themeColor="text1"/>
          <w:highlight w:val="green"/>
        </w:rPr>
        <w:t>which is preventable, I think is more helpful”(Consultant Lipidologist, Indirect contact approach)</w:t>
      </w:r>
    </w:p>
    <w:p w14:paraId="6759C0AF"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Engaging and communicating with a range of people with different health literacy was seen as an issue in this context. Professionals perceived that those from more socially advantaged and educated backgrounds may access FH services to a greater extent and be better able to assimilate the information presented to them</w:t>
      </w:r>
    </w:p>
    <w:p w14:paraId="02A62561" w14:textId="268BCD46"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 xml:space="preserve">[focusing on genetics] does mean that you lend yourself as a service to people who are better </w:t>
      </w:r>
    </w:p>
    <w:p w14:paraId="452C361A" w14:textId="2138870E"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 xml:space="preserve">resourced [in understanding], so people who perhaps have got higher levels of education, whose first </w:t>
      </w:r>
    </w:p>
    <w:p w14:paraId="56B6DBC7" w14:textId="37954E0A"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 xml:space="preserve">language is English etc. and it makes it more challenging for people who aren’t of that background I </w:t>
      </w:r>
    </w:p>
    <w:p w14:paraId="13B9B2B0" w14:textId="412E8D18"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think to engage.”</w:t>
      </w:r>
      <w:r w:rsidRPr="00B85D62">
        <w:rPr>
          <w:rFonts w:eastAsia="Calibri" w:cs="Arial"/>
          <w:color w:val="000000" w:themeColor="text1"/>
          <w:highlight w:val="green"/>
        </w:rPr>
        <w:t xml:space="preserve"> </w:t>
      </w:r>
      <w:r w:rsidRPr="00B85D62">
        <w:rPr>
          <w:rFonts w:eastAsia="Calibri" w:cs="Arial"/>
          <w:i/>
          <w:iCs/>
          <w:color w:val="000000" w:themeColor="text1"/>
          <w:highlight w:val="green"/>
        </w:rPr>
        <w:t>(Consultant Lipidologist, Indirect Contact Approach)</w:t>
      </w:r>
    </w:p>
    <w:p w14:paraId="53F0BE1F" w14:textId="2C470F9D" w:rsidR="3341BD48" w:rsidRPr="00B85D62" w:rsidRDefault="3341BD48" w:rsidP="0066232B">
      <w:pPr>
        <w:ind w:right="-5653"/>
        <w:jc w:val="both"/>
        <w:rPr>
          <w:rFonts w:eastAsia="Calibri" w:cs="Arial"/>
          <w:color w:val="000000" w:themeColor="text1"/>
          <w:highlight w:val="green"/>
        </w:rPr>
      </w:pPr>
    </w:p>
    <w:p w14:paraId="2632663D" w14:textId="5109D8C1"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 xml:space="preserve">we see a lot of middle class people, we do see other people but we see a lot of people from.. </w:t>
      </w:r>
    </w:p>
    <w:p w14:paraId="78CA381E" w14:textId="05B041D2" w:rsidR="71082DA5" w:rsidRPr="00B85D62" w:rsidRDefault="71082DA5" w:rsidP="0066232B">
      <w:pPr>
        <w:ind w:right="-5653"/>
        <w:jc w:val="both"/>
        <w:rPr>
          <w:rFonts w:eastAsia="Calibri" w:cs="Arial"/>
          <w:color w:val="000000" w:themeColor="text1"/>
          <w:highlight w:val="green"/>
        </w:rPr>
      </w:pPr>
      <w:r w:rsidRPr="00B85D62">
        <w:rPr>
          <w:rFonts w:eastAsia="Calibri" w:cs="Arial"/>
          <w:i/>
          <w:iCs/>
          <w:color w:val="000000" w:themeColor="text1"/>
          <w:highlight w:val="green"/>
        </w:rPr>
        <w:t>the higher your social class and your intellect the better you tend to be at accessing services.”</w:t>
      </w:r>
    </w:p>
    <w:p w14:paraId="6F4C84AD" w14:textId="77777777" w:rsidR="00B85D62" w:rsidRPr="00B85D62" w:rsidRDefault="71082DA5" w:rsidP="0066232B">
      <w:pPr>
        <w:ind w:right="-5653"/>
        <w:jc w:val="both"/>
        <w:rPr>
          <w:rFonts w:eastAsia="Calibri" w:cs="Arial"/>
          <w:i/>
          <w:iCs/>
          <w:color w:val="000000" w:themeColor="text1"/>
        </w:rPr>
      </w:pPr>
      <w:r w:rsidRPr="00B85D62">
        <w:rPr>
          <w:rFonts w:eastAsia="Calibri" w:cs="Arial"/>
          <w:i/>
          <w:iCs/>
          <w:color w:val="000000" w:themeColor="text1"/>
          <w:highlight w:val="green"/>
        </w:rPr>
        <w:t>(FH Nurse, Hybrid Approach )</w:t>
      </w:r>
    </w:p>
    <w:p w14:paraId="63BAE742" w14:textId="2C2266AF" w:rsidR="71082DA5" w:rsidRPr="00B85D62" w:rsidRDefault="71082DA5" w:rsidP="0066232B">
      <w:pPr>
        <w:ind w:left="720"/>
        <w:jc w:val="both"/>
        <w:rPr>
          <w:rFonts w:eastAsia="Calibri" w:cs="Arial"/>
          <w:color w:val="000000" w:themeColor="text1"/>
        </w:rPr>
      </w:pPr>
      <w:r w:rsidRPr="00B85D62">
        <w:rPr>
          <w:rFonts w:eastAsia="Calibri" w:cs="Arial"/>
          <w:color w:val="000000" w:themeColor="text1"/>
        </w:rPr>
        <w:t>An example of a family</w:t>
      </w:r>
      <w:r w:rsidR="00B85D62" w:rsidRPr="00B85D62">
        <w:rPr>
          <w:rFonts w:eastAsia="Calibri" w:cs="Arial"/>
          <w:color w:val="000000" w:themeColor="text1"/>
        </w:rPr>
        <w:t>’</w:t>
      </w:r>
      <w:r w:rsidRPr="00B85D62">
        <w:rPr>
          <w:rFonts w:eastAsia="Calibri" w:cs="Arial"/>
          <w:color w:val="000000" w:themeColor="text1"/>
        </w:rPr>
        <w:t>s confusion about FH testing emphasised the importance of how FH and its inheritance is communicated to wider family members:</w:t>
      </w:r>
    </w:p>
    <w:p w14:paraId="17DDB008" w14:textId="35C1CE9B" w:rsidR="00B85D62"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 xml:space="preserve">we traced it (FH) back on my mum’s side but they didn’t offer my dad a test </w:t>
      </w:r>
      <w:r w:rsidR="00B85D62" w:rsidRPr="00B85D62">
        <w:rPr>
          <w:rFonts w:eastAsia="Calibri" w:cs="Arial"/>
          <w:i/>
          <w:iCs/>
          <w:color w:val="00B0F0"/>
        </w:rPr>
        <w:t>. . .</w:t>
      </w:r>
      <w:r w:rsidRPr="00B85D62">
        <w:rPr>
          <w:rFonts w:eastAsia="Calibri" w:cs="Arial"/>
          <w:i/>
          <w:iCs/>
          <w:color w:val="000000" w:themeColor="text1"/>
          <w:highlight w:val="green"/>
        </w:rPr>
        <w:t>. he is absolutely convinced that he will be (have FH) as well because of his family medical history."(Index, F, 40, Region C - Hybrid)</w:t>
      </w:r>
    </w:p>
    <w:p w14:paraId="366269C0"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 xml:space="preserve">Some patients and relatives had been signposted towards more formal medical resources, such as journal articles and NICE guidelines, and found this off-putting and overwhelming. They appreciated provision of trusted information they were better able to understand, such as from the charity </w:t>
      </w:r>
      <w:r w:rsidRPr="00B85D62">
        <w:rPr>
          <w:rFonts w:eastAsia="Calibri" w:cs="Arial"/>
          <w:i/>
          <w:iCs/>
          <w:color w:val="000000" w:themeColor="text1"/>
        </w:rPr>
        <w:t>Heart UK</w:t>
      </w:r>
      <w:r w:rsidRPr="00B85D62">
        <w:rPr>
          <w:rFonts w:eastAsia="Calibri" w:cs="Arial"/>
          <w:color w:val="000000" w:themeColor="text1"/>
        </w:rPr>
        <w:t>, and also accessed wider NHS and external resources online or in written forms from other sources.</w:t>
      </w:r>
    </w:p>
    <w:p w14:paraId="2A85F357" w14:textId="2EB6D050" w:rsidR="00B85D62" w:rsidRPr="00B85D62" w:rsidRDefault="71082DA5" w:rsidP="0066232B">
      <w:pPr>
        <w:jc w:val="both"/>
        <w:rPr>
          <w:rFonts w:eastAsia="Calibri" w:cs="Arial"/>
          <w:color w:val="000000" w:themeColor="text1"/>
        </w:rPr>
      </w:pPr>
      <w:r w:rsidRPr="00B85D62">
        <w:rPr>
          <w:rFonts w:eastAsia="Calibri" w:cs="Arial"/>
          <w:color w:val="000000" w:themeColor="text1"/>
        </w:rPr>
        <w:t>Participants felt wider awareness raising and public understanding about FH was needed if its detection and successful cascade testing was to occur, including at school and through public media.</w:t>
      </w:r>
    </w:p>
    <w:p w14:paraId="56DC9B17" w14:textId="48C454E2" w:rsidR="00B85D62" w:rsidRPr="00B85D62" w:rsidRDefault="71082DA5" w:rsidP="00CB79F2">
      <w:pPr>
        <w:ind w:left="720"/>
        <w:jc w:val="both"/>
        <w:rPr>
          <w:rFonts w:eastAsia="Calibri" w:cs="Arial"/>
          <w:i/>
          <w:iCs/>
          <w:color w:val="000000" w:themeColor="text1"/>
        </w:rPr>
      </w:pPr>
      <w:r w:rsidRPr="00B85D62">
        <w:rPr>
          <w:rFonts w:eastAsia="Calibri" w:cs="Arial"/>
          <w:i/>
          <w:iCs/>
          <w:color w:val="000000" w:themeColor="text1"/>
          <w:highlight w:val="green"/>
        </w:rPr>
        <w:t>“I mean, there is no one that goes on Holby City with FH is there?</w:t>
      </w:r>
      <w:r w:rsidR="00B85D62" w:rsidRPr="00B85D62">
        <w:rPr>
          <w:rFonts w:eastAsia="Calibri" w:cs="Arial"/>
          <w:i/>
          <w:iCs/>
          <w:color w:val="00B0F0"/>
        </w:rPr>
        <w:t>. . .</w:t>
      </w:r>
      <w:r w:rsidRPr="00B85D62">
        <w:rPr>
          <w:rFonts w:eastAsia="Calibri" w:cs="Arial"/>
          <w:i/>
          <w:iCs/>
          <w:color w:val="000000" w:themeColor="text1"/>
          <w:highlight w:val="green"/>
        </w:rPr>
        <w:t xml:space="preserve">make (people) look at themselves, </w:t>
      </w:r>
      <w:r w:rsidR="00B85D62" w:rsidRPr="00B85D62">
        <w:rPr>
          <w:rFonts w:eastAsia="Calibri" w:cs="Arial"/>
          <w:i/>
          <w:iCs/>
          <w:color w:val="00B0F0"/>
        </w:rPr>
        <w:t>. . .</w:t>
      </w:r>
      <w:r w:rsidRPr="00B85D62">
        <w:rPr>
          <w:rFonts w:eastAsia="Calibri" w:cs="Arial"/>
          <w:i/>
          <w:iCs/>
          <w:color w:val="000000" w:themeColor="text1"/>
          <w:highlight w:val="green"/>
        </w:rPr>
        <w:t xml:space="preserve">we realised my grandma’s dad had a massive heart attack and died, grandma had a triple heart bypass, </w:t>
      </w:r>
      <w:r w:rsidR="00B85D62" w:rsidRPr="00B85D62">
        <w:rPr>
          <w:rFonts w:eastAsia="Calibri" w:cs="Arial"/>
          <w:i/>
          <w:iCs/>
          <w:color w:val="00B0F0"/>
        </w:rPr>
        <w:t>. . .</w:t>
      </w:r>
      <w:r w:rsidRPr="00B85D62">
        <w:rPr>
          <w:rFonts w:eastAsia="Calibri" w:cs="Arial"/>
          <w:i/>
          <w:iCs/>
          <w:color w:val="000000" w:themeColor="text1"/>
          <w:highlight w:val="green"/>
        </w:rPr>
        <w:t xml:space="preserve">and my mum run ultra-marathons </w:t>
      </w:r>
      <w:r w:rsidR="00B85D62" w:rsidRPr="00B85D62">
        <w:rPr>
          <w:rFonts w:eastAsia="Calibri" w:cs="Arial"/>
          <w:i/>
          <w:iCs/>
          <w:color w:val="00B0F0"/>
        </w:rPr>
        <w:t>. . .</w:t>
      </w:r>
      <w:r w:rsidRPr="00B85D62">
        <w:rPr>
          <w:rFonts w:eastAsia="Calibri" w:cs="Arial"/>
          <w:i/>
          <w:iCs/>
          <w:color w:val="000000" w:themeColor="text1"/>
          <w:highlight w:val="green"/>
        </w:rPr>
        <w:t xml:space="preserve"> yet there is still problems why is that?</w:t>
      </w:r>
      <w:r w:rsidR="00895586" w:rsidRPr="00B85D62">
        <w:rPr>
          <w:rFonts w:eastAsia="Calibri" w:cs="Arial"/>
          <w:i/>
          <w:iCs/>
          <w:color w:val="000000" w:themeColor="text1"/>
          <w:highlight w:val="green"/>
        </w:rPr>
        <w:t xml:space="preserve"> </w:t>
      </w:r>
      <w:r w:rsidR="00B85D62" w:rsidRPr="00B85D62">
        <w:rPr>
          <w:rFonts w:eastAsia="Calibri" w:cs="Arial"/>
          <w:i/>
          <w:iCs/>
          <w:color w:val="00B0F0"/>
        </w:rPr>
        <w:t>. . .</w:t>
      </w:r>
      <w:r w:rsidRPr="00B85D62">
        <w:rPr>
          <w:rFonts w:eastAsia="Calibri" w:cs="Arial"/>
          <w:i/>
          <w:iCs/>
          <w:color w:val="000000" w:themeColor="text1"/>
          <w:highlight w:val="green"/>
        </w:rPr>
        <w:t xml:space="preserve"> So it’s up to individual families to question it isn’t it?" (Relative, F, 23, Region C)</w:t>
      </w:r>
    </w:p>
    <w:p w14:paraId="6983A7BD" w14:textId="77777777" w:rsidR="00B85D62" w:rsidRPr="00B85D62" w:rsidRDefault="71082DA5" w:rsidP="006C7E71">
      <w:pPr>
        <w:pStyle w:val="Heading3"/>
        <w:rPr>
          <w:rFonts w:eastAsia="Yu Gothic Light"/>
          <w:bCs/>
        </w:rPr>
      </w:pPr>
      <w:bookmarkStart w:id="264" w:name="_Toc107157510"/>
      <w:r w:rsidRPr="00B85D62">
        <w:t>Access to and organisation of FH testing pathway</w:t>
      </w:r>
      <w:bookmarkEnd w:id="264"/>
    </w:p>
    <w:p w14:paraId="7F5C1EC6" w14:textId="7F25D5AF" w:rsidR="71082DA5" w:rsidRPr="00B85D62" w:rsidRDefault="71082DA5" w:rsidP="0066232B">
      <w:pPr>
        <w:rPr>
          <w:rFonts w:eastAsia="Calibri" w:cs="Arial"/>
          <w:color w:val="000000" w:themeColor="text1"/>
        </w:rPr>
      </w:pPr>
      <w:r w:rsidRPr="00B85D62">
        <w:rPr>
          <w:rFonts w:eastAsia="Calibri" w:cs="Arial"/>
          <w:b/>
          <w:bCs/>
          <w:i/>
          <w:iCs/>
          <w:color w:val="000000" w:themeColor="text1"/>
        </w:rPr>
        <w:t>Access to cascade testing pathway and interface with primary care</w:t>
      </w:r>
    </w:p>
    <w:p w14:paraId="3A7C8D35" w14:textId="0B408D43" w:rsidR="00B85D62" w:rsidRPr="00B85D62" w:rsidRDefault="71082DA5" w:rsidP="0066232B">
      <w:pPr>
        <w:jc w:val="both"/>
        <w:rPr>
          <w:rFonts w:eastAsia="Calibri" w:cs="Arial"/>
          <w:color w:val="000000" w:themeColor="text1"/>
        </w:rPr>
      </w:pPr>
      <w:r w:rsidRPr="00B85D62">
        <w:rPr>
          <w:rFonts w:eastAsia="Calibri" w:cs="Arial"/>
          <w:color w:val="000000" w:themeColor="text1"/>
        </w:rPr>
        <w:t>Index patients reported difficulties for relatives getting referred for cascade testing when they lived in other areas of the country. Across all settings there were mixed experiences of accessing cascade testing indirectly through primary care. Some index patients noted their GPs were well informed, had proactively queried FH and referred them. However</w:t>
      </w:r>
      <w:r w:rsidR="002E5199" w:rsidRPr="00B85D62">
        <w:rPr>
          <w:rFonts w:eastAsia="Calibri" w:cs="Arial"/>
          <w:color w:val="000000" w:themeColor="text1"/>
        </w:rPr>
        <w:t>,</w:t>
      </w:r>
      <w:r w:rsidRPr="00B85D62">
        <w:rPr>
          <w:rFonts w:eastAsia="Calibri" w:cs="Arial"/>
          <w:color w:val="000000" w:themeColor="text1"/>
        </w:rPr>
        <w:t xml:space="preserve"> some relatives were challenged when presenting their contact letters from </w:t>
      </w:r>
      <w:r w:rsidRPr="00B85D62">
        <w:rPr>
          <w:rFonts w:eastAsia="Calibri" w:cs="Arial"/>
          <w:color w:val="000000" w:themeColor="text1"/>
          <w:highlight w:val="magenta"/>
        </w:rPr>
        <w:t>an F</w:t>
      </w:r>
      <w:r w:rsidRPr="00B85D62">
        <w:rPr>
          <w:rFonts w:eastAsia="Calibri" w:cs="Arial"/>
          <w:color w:val="000000" w:themeColor="text1"/>
        </w:rPr>
        <w:t xml:space="preserve">H service. They found their GPs </w:t>
      </w:r>
      <w:r w:rsidR="00B85D62" w:rsidRPr="00B85D62">
        <w:rPr>
          <w:rFonts w:eastAsia="Calibri" w:cs="Arial"/>
          <w:color w:val="00B0F0"/>
        </w:rPr>
        <w:t>would not</w:t>
      </w:r>
      <w:r w:rsidRPr="00B85D62">
        <w:rPr>
          <w:rFonts w:eastAsia="Calibri" w:cs="Arial"/>
          <w:color w:val="000000" w:themeColor="text1"/>
        </w:rPr>
        <w:t xml:space="preserve"> refer them, most commonly because they were of younger age or had cholesterol results that did not reach the usual threshold of concern. This experience was familiar to FH professionals.</w:t>
      </w:r>
    </w:p>
    <w:p w14:paraId="41BD7D27" w14:textId="2ABC9B61"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 xml:space="preserve"> being in X (country), a lot of family members are over the border in Y (country) so that is a whole other barrier you know of getting them tested." (Index, F, 46, Region B - indirect)</w:t>
      </w:r>
    </w:p>
    <w:p w14:paraId="0D320275" w14:textId="5C85A298" w:rsidR="3341BD48" w:rsidRPr="00B85D62" w:rsidRDefault="3341BD48" w:rsidP="0066232B">
      <w:pPr>
        <w:jc w:val="both"/>
        <w:rPr>
          <w:rFonts w:eastAsia="Calibri" w:cs="Arial"/>
          <w:color w:val="000000" w:themeColor="text1"/>
          <w:highlight w:val="green"/>
        </w:rPr>
      </w:pPr>
    </w:p>
    <w:p w14:paraId="09D521AF" w14:textId="4F71D973"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so there is really only our eldest son that we don’t know for sure, but the GP says he can’t have it (referral for testing), because his cholesterol isn’t high." (Index, F, 68, Region A)</w:t>
      </w:r>
    </w:p>
    <w:p w14:paraId="552E79E9" w14:textId="7028D627" w:rsidR="3341BD48" w:rsidRPr="00B85D62" w:rsidRDefault="3341BD48" w:rsidP="0066232B">
      <w:pPr>
        <w:jc w:val="both"/>
        <w:rPr>
          <w:rFonts w:eastAsia="Calibri" w:cs="Arial"/>
          <w:color w:val="000000" w:themeColor="text1"/>
          <w:highlight w:val="green"/>
        </w:rPr>
      </w:pPr>
    </w:p>
    <w:p w14:paraId="44EE96FA" w14:textId="09B52F23"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 xml:space="preserve">"No, he [GP] won’t refer him [younger brother]. </w:t>
      </w:r>
      <w:r w:rsidR="00B85D62" w:rsidRPr="00B85D62">
        <w:rPr>
          <w:rFonts w:eastAsia="Calibri" w:cs="Arial"/>
          <w:i/>
          <w:iCs/>
          <w:color w:val="00B0F0"/>
        </w:rPr>
        <w:t>. . .</w:t>
      </w:r>
      <w:r w:rsidRPr="00B85D62">
        <w:rPr>
          <w:rFonts w:eastAsia="Calibri" w:cs="Arial"/>
          <w:i/>
          <w:iCs/>
          <w:color w:val="000000" w:themeColor="text1"/>
          <w:highlight w:val="green"/>
        </w:rPr>
        <w:t xml:space="preserve">. the GP said it wasn’t necessary but I do happen to know that it is within the NICE guidelines </w:t>
      </w:r>
      <w:r w:rsidR="00B85D62" w:rsidRPr="00B85D62">
        <w:rPr>
          <w:rFonts w:eastAsia="Calibri" w:cs="Arial"/>
          <w:i/>
          <w:iCs/>
          <w:color w:val="00B0F0"/>
        </w:rPr>
        <w:t>. . .</w:t>
      </w:r>
      <w:r w:rsidRPr="00B85D62">
        <w:rPr>
          <w:rFonts w:eastAsia="Calibri" w:cs="Arial"/>
          <w:i/>
          <w:iCs/>
          <w:color w:val="000000" w:themeColor="text1"/>
          <w:highlight w:val="green"/>
        </w:rPr>
        <w:t>." (Index, M, 43, Region C)</w:t>
      </w:r>
    </w:p>
    <w:p w14:paraId="55D2D06B" w14:textId="4D2B2A20" w:rsidR="3341BD48" w:rsidRPr="00B85D62" w:rsidRDefault="3341BD48" w:rsidP="0066232B">
      <w:pPr>
        <w:jc w:val="both"/>
        <w:rPr>
          <w:rFonts w:eastAsia="Calibri" w:cs="Arial"/>
          <w:color w:val="000000" w:themeColor="text1"/>
          <w:highlight w:val="green"/>
        </w:rPr>
      </w:pPr>
    </w:p>
    <w:p w14:paraId="172306BE" w14:textId="5807B51F" w:rsidR="00B85D62"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 xml:space="preserve">once you get to a GP they may say ‘OK </w:t>
      </w:r>
      <w:r w:rsidR="00B85D62" w:rsidRPr="00B85D62">
        <w:rPr>
          <w:rFonts w:eastAsia="Calibri" w:cs="Arial"/>
          <w:i/>
          <w:iCs/>
          <w:color w:val="00B0F0"/>
        </w:rPr>
        <w:t>. . .</w:t>
      </w:r>
      <w:r w:rsidRPr="00B85D62">
        <w:rPr>
          <w:rFonts w:eastAsia="Calibri" w:cs="Arial"/>
          <w:i/>
          <w:iCs/>
          <w:color w:val="000000" w:themeColor="text1"/>
          <w:highlight w:val="green"/>
        </w:rPr>
        <w:t xml:space="preserve">. but I have checked your cholesterol and it is fine’ </w:t>
      </w:r>
      <w:r w:rsidR="00B85D62" w:rsidRPr="00B85D62">
        <w:rPr>
          <w:rFonts w:eastAsia="Calibri" w:cs="Arial"/>
          <w:i/>
          <w:iCs/>
          <w:color w:val="00B0F0"/>
        </w:rPr>
        <w:t>. . .</w:t>
      </w:r>
      <w:r w:rsidRPr="00B85D62">
        <w:rPr>
          <w:rFonts w:eastAsia="Calibri" w:cs="Arial"/>
          <w:i/>
          <w:iCs/>
          <w:color w:val="000000" w:themeColor="text1"/>
          <w:highlight w:val="green"/>
        </w:rPr>
        <w:t xml:space="preserve"> but they may still actually have FH and that mutation is more important to test </w:t>
      </w:r>
      <w:r w:rsidR="00B85D62" w:rsidRPr="00B85D62">
        <w:rPr>
          <w:rFonts w:eastAsia="Calibri" w:cs="Arial"/>
          <w:i/>
          <w:iCs/>
          <w:color w:val="00B0F0"/>
        </w:rPr>
        <w:t>. . .</w:t>
      </w:r>
      <w:r w:rsidRPr="00B85D62">
        <w:rPr>
          <w:rFonts w:eastAsia="Calibri" w:cs="Arial"/>
          <w:i/>
          <w:iCs/>
          <w:color w:val="000000" w:themeColor="text1"/>
          <w:highlight w:val="green"/>
        </w:rPr>
        <w:t>. they may be batted away at that point, but the biggest barrier as a relative is getting that initial appointment with a GP.” (FH Service Lead, Hybrid Approach )</w:t>
      </w:r>
    </w:p>
    <w:p w14:paraId="187050CF" w14:textId="69C18494" w:rsidR="00B85D62" w:rsidRPr="00B85D62" w:rsidRDefault="71082DA5" w:rsidP="0066232B">
      <w:pPr>
        <w:jc w:val="both"/>
        <w:rPr>
          <w:rFonts w:eastAsia="Calibri" w:cs="Arial"/>
          <w:color w:val="000000" w:themeColor="text1"/>
        </w:rPr>
      </w:pPr>
      <w:r w:rsidRPr="00B85D62">
        <w:rPr>
          <w:rFonts w:eastAsia="Calibri" w:cs="Arial"/>
          <w:color w:val="000000" w:themeColor="text1"/>
        </w:rPr>
        <w:t>GP respondents reported the challenges they had experienced in this context. These included a lack of information in relatives</w:t>
      </w:r>
      <w:r w:rsidR="00B85D62" w:rsidRPr="00B85D62">
        <w:rPr>
          <w:rFonts w:eastAsia="Calibri" w:cs="Arial"/>
          <w:color w:val="000000" w:themeColor="text1"/>
        </w:rPr>
        <w:t>’</w:t>
      </w:r>
      <w:r w:rsidRPr="00B85D62">
        <w:rPr>
          <w:rFonts w:eastAsia="Calibri" w:cs="Arial"/>
          <w:color w:val="000000" w:themeColor="text1"/>
        </w:rPr>
        <w:t xml:space="preserve"> letters about which service to refer to and a lack of guidance about what to do if there was no appropriate local FH service. Both made the request to support cascade testing for their patient more resource-intensive in determining how to help. GPs sought better information and communication from FH services to address these issues. The patchy nature of services for FH testing was also recognised by FH service colleagues as a challenge for primary care.</w:t>
      </w:r>
    </w:p>
    <w:p w14:paraId="35F2A322" w14:textId="35C66DD5"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“As a GP it is particularly those out of area ones where you’re left with a letter that makes no sense in your locality and it can involve you ringing the organisational trust who made the initial diagnosis to say what do you want me to do with this?</w:t>
      </w:r>
      <w:r w:rsidR="00895586" w:rsidRPr="00B85D62">
        <w:rPr>
          <w:rFonts w:eastAsia="Calibri" w:cs="Arial"/>
          <w:i/>
          <w:iCs/>
          <w:color w:val="000000" w:themeColor="text1"/>
          <w:highlight w:val="green"/>
        </w:rPr>
        <w:t xml:space="preserve"> </w:t>
      </w:r>
      <w:r w:rsidRPr="00B85D62">
        <w:rPr>
          <w:rFonts w:eastAsia="Calibri" w:cs="Arial"/>
          <w:i/>
          <w:iCs/>
          <w:color w:val="000000" w:themeColor="text1"/>
          <w:highlight w:val="green"/>
        </w:rPr>
        <w:t xml:space="preserve">And that takes up huge amounts of time.” (GP, Indirect Contact Approach) </w:t>
      </w:r>
    </w:p>
    <w:p w14:paraId="67E1E4BE" w14:textId="2A67BB5D" w:rsidR="3341BD48" w:rsidRPr="00B85D62" w:rsidRDefault="3341BD48" w:rsidP="0066232B">
      <w:pPr>
        <w:jc w:val="both"/>
        <w:rPr>
          <w:rFonts w:eastAsia="Calibri" w:cs="Arial"/>
          <w:color w:val="000000" w:themeColor="text1"/>
          <w:highlight w:val="green"/>
        </w:rPr>
      </w:pPr>
    </w:p>
    <w:p w14:paraId="4429D46A" w14:textId="66A5AC91" w:rsidR="00B85D62"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the GP maybe hasn’t got anyone for them to refer to or it is a lone lipidologist who hasn’t got access to genetic testing or it is a genetic service that won’t see FH patients or no FH nurses in that area..”</w:t>
      </w:r>
      <w:r w:rsidRPr="00B85D62">
        <w:rPr>
          <w:rFonts w:eastAsia="Calibri" w:cs="Arial"/>
          <w:color w:val="000000" w:themeColor="text1"/>
          <w:highlight w:val="green"/>
        </w:rPr>
        <w:t xml:space="preserve"> </w:t>
      </w:r>
      <w:r w:rsidRPr="00B85D62">
        <w:rPr>
          <w:rFonts w:eastAsia="Calibri" w:cs="Arial"/>
          <w:i/>
          <w:iCs/>
          <w:color w:val="000000" w:themeColor="text1"/>
          <w:highlight w:val="green"/>
        </w:rPr>
        <w:t>(FH Service Lead, Hybrid Approach )</w:t>
      </w:r>
    </w:p>
    <w:p w14:paraId="4A832B5E"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Those relatives provided with the option on their cascade contact letter to self-refer into the FH service found this very helpful in facilitating their uptake of the offer:</w:t>
      </w:r>
    </w:p>
    <w:p w14:paraId="5EEF6011" w14:textId="33D1412A" w:rsidR="00B85D62"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 xml:space="preserve">“ we don’t have time to go through our GPs </w:t>
      </w:r>
      <w:r w:rsidR="00B85D62" w:rsidRPr="00B85D62">
        <w:rPr>
          <w:rFonts w:eastAsia="Calibri" w:cs="Arial"/>
          <w:i/>
          <w:iCs/>
          <w:color w:val="00B0F0"/>
        </w:rPr>
        <w:t>. . .</w:t>
      </w:r>
      <w:r w:rsidRPr="00B85D62">
        <w:rPr>
          <w:rFonts w:eastAsia="Calibri" w:cs="Arial"/>
          <w:i/>
          <w:iCs/>
          <w:color w:val="000000" w:themeColor="text1"/>
          <w:highlight w:val="green"/>
        </w:rPr>
        <w:t xml:space="preserve">. it is a really long winded process, you have to wait for the GP’s appointment </w:t>
      </w:r>
      <w:r w:rsidR="00B85D62" w:rsidRPr="00B85D62">
        <w:rPr>
          <w:rFonts w:eastAsia="Calibri" w:cs="Arial"/>
          <w:i/>
          <w:iCs/>
          <w:color w:val="00B0F0"/>
        </w:rPr>
        <w:t>. . .</w:t>
      </w:r>
      <w:r w:rsidRPr="00B85D62">
        <w:rPr>
          <w:rFonts w:eastAsia="Calibri" w:cs="Arial"/>
          <w:i/>
          <w:iCs/>
          <w:color w:val="000000" w:themeColor="text1"/>
          <w:highlight w:val="green"/>
        </w:rPr>
        <w:t xml:space="preserve"> by the time you have done that, got your referral and they have contacted you it has just taken longer. So to have a letter sent out with the number, call this direct line, we will make your appointment for you (for lipid service). Sorted." (Relative, F, 23, Region C)</w:t>
      </w:r>
    </w:p>
    <w:p w14:paraId="1CB897D6" w14:textId="2327882C" w:rsidR="00B85D62" w:rsidRPr="00B85D62" w:rsidRDefault="71082DA5" w:rsidP="0066232B">
      <w:pPr>
        <w:jc w:val="both"/>
        <w:rPr>
          <w:rFonts w:eastAsia="Calibri" w:cs="Arial"/>
          <w:color w:val="000000" w:themeColor="text1"/>
        </w:rPr>
      </w:pPr>
      <w:r w:rsidRPr="00B85D62">
        <w:rPr>
          <w:rFonts w:eastAsia="Calibri" w:cs="Arial"/>
          <w:color w:val="000000" w:themeColor="text1"/>
        </w:rPr>
        <w:t>With commissioners</w:t>
      </w:r>
      <w:r w:rsidR="00B85D62" w:rsidRPr="00B85D62">
        <w:rPr>
          <w:rFonts w:eastAsia="Calibri" w:cs="Arial"/>
          <w:color w:val="000000" w:themeColor="text1"/>
        </w:rPr>
        <w:t>’</w:t>
      </w:r>
      <w:r w:rsidRPr="00B85D62">
        <w:rPr>
          <w:rFonts w:eastAsia="Calibri" w:cs="Arial"/>
          <w:color w:val="000000" w:themeColor="text1"/>
        </w:rPr>
        <w:t xml:space="preserve"> support this self-referral process had been implemented with positive experiences in one region, although the requirement for GP referral for relatives outside the index patient</w:t>
      </w:r>
      <w:r w:rsidR="00B85D62" w:rsidRPr="00B85D62">
        <w:rPr>
          <w:rFonts w:eastAsia="Calibri" w:cs="Arial"/>
          <w:color w:val="000000" w:themeColor="text1"/>
        </w:rPr>
        <w:t>’</w:t>
      </w:r>
      <w:r w:rsidRPr="00B85D62">
        <w:rPr>
          <w:rFonts w:eastAsia="Calibri" w:cs="Arial"/>
          <w:color w:val="000000" w:themeColor="text1"/>
        </w:rPr>
        <w:t>s service region still remains.</w:t>
      </w:r>
    </w:p>
    <w:p w14:paraId="1C81DBB5" w14:textId="749B0171" w:rsidR="00B85D62"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the CCG’s agreed for anybody who is at risk of FH can just automatically make an appointment to see us without having a GP referral first and that for us has made an absolutely massive difference to the amount of people who we have seen coming through for Cascade testing in our area.” (FH Nurse, Hybrid Approach )</w:t>
      </w:r>
    </w:p>
    <w:p w14:paraId="65257A60" w14:textId="77777777" w:rsidR="00B85D62" w:rsidRPr="00B85D62" w:rsidRDefault="71082DA5" w:rsidP="006C7E71">
      <w:pPr>
        <w:pStyle w:val="Heading3"/>
        <w:rPr>
          <w:rFonts w:eastAsia="Yu Gothic Light"/>
          <w:bCs/>
        </w:rPr>
      </w:pPr>
      <w:bookmarkStart w:id="265" w:name="_Toc107157511"/>
      <w:r w:rsidRPr="00B85D62">
        <w:t>Improving service pathways and patient-centred services</w:t>
      </w:r>
      <w:bookmarkEnd w:id="265"/>
    </w:p>
    <w:p w14:paraId="7838BBA4" w14:textId="4710A8B8" w:rsidR="71082DA5" w:rsidRPr="00B85D62" w:rsidRDefault="71082DA5" w:rsidP="0066232B">
      <w:pPr>
        <w:jc w:val="both"/>
        <w:rPr>
          <w:rFonts w:eastAsia="Calibri" w:cs="Arial"/>
          <w:color w:val="000000" w:themeColor="text1"/>
        </w:rPr>
      </w:pPr>
      <w:r w:rsidRPr="00B85D62">
        <w:rPr>
          <w:rFonts w:eastAsia="Calibri" w:cs="Arial"/>
          <w:b/>
          <w:bCs/>
          <w:color w:val="000000" w:themeColor="text1"/>
        </w:rPr>
        <w:t>Continuity of Care</w:t>
      </w:r>
    </w:p>
    <w:p w14:paraId="1DDACCF8"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Regardless of cascade testing approach or service pathway, acceptability of cascade testing was enhanced where patients had experienced continuity of care for themselves and family members from a well- informed healthcare professional. Most were able to name a key healthcare professional, their FH nurse or lipid consultant or a genetic counsellor, whom they had built up trust and rapport with and felt that they could ask if they had problems or questions.</w:t>
      </w:r>
    </w:p>
    <w:p w14:paraId="795354F9" w14:textId="3835BD95"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 xml:space="preserve">" She [consultant] has done a good job </w:t>
      </w:r>
      <w:r w:rsidR="00B85D62" w:rsidRPr="00B85D62">
        <w:rPr>
          <w:rFonts w:eastAsia="Calibri" w:cs="Arial"/>
          <w:i/>
          <w:iCs/>
          <w:color w:val="00B0F0"/>
        </w:rPr>
        <w:t>. . .. . .</w:t>
      </w:r>
      <w:r w:rsidRPr="00B85D62">
        <w:rPr>
          <w:rFonts w:eastAsia="Calibri" w:cs="Arial"/>
          <w:i/>
          <w:iCs/>
          <w:color w:val="000000" w:themeColor="text1"/>
          <w:highlight w:val="green"/>
        </w:rPr>
        <w:t xml:space="preserve"> she knows my history she has understood the changes in my medical history and my family’s so she knows us better than anyone." (Index, M, 27, Region A)</w:t>
      </w:r>
    </w:p>
    <w:p w14:paraId="7FEC6C5F" w14:textId="4CC31C09" w:rsidR="3341BD48" w:rsidRPr="00B85D62" w:rsidRDefault="3341BD48" w:rsidP="0066232B">
      <w:pPr>
        <w:jc w:val="both"/>
        <w:rPr>
          <w:rFonts w:eastAsia="Calibri" w:cs="Arial"/>
          <w:color w:val="000000" w:themeColor="text1"/>
          <w:highlight w:val="green"/>
        </w:rPr>
      </w:pPr>
    </w:p>
    <w:p w14:paraId="7A26D858" w14:textId="40C5A133"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 We’re all seen at the FH clinic which is really nice because {FH Nurse] actually knows us all as a family</w:t>
      </w:r>
      <w:r w:rsidR="00B85D62" w:rsidRPr="00B85D62">
        <w:rPr>
          <w:rFonts w:eastAsia="Calibri" w:cs="Arial"/>
          <w:i/>
          <w:iCs/>
          <w:color w:val="00B0F0"/>
        </w:rPr>
        <w:t>. . .</w:t>
      </w:r>
      <w:r w:rsidRPr="00B85D62">
        <w:rPr>
          <w:rFonts w:eastAsia="Calibri" w:cs="Arial"/>
          <w:i/>
          <w:iCs/>
          <w:color w:val="000000" w:themeColor="text1"/>
          <w:highlight w:val="green"/>
        </w:rPr>
        <w:t>I really do think that it's a good thing, you’re actually treated as a family, an FH family really, and I'm quite happy about that." (Relative, F, 66, Region C)</w:t>
      </w:r>
    </w:p>
    <w:p w14:paraId="33F10BFB" w14:textId="3566FC61" w:rsidR="3341BD48" w:rsidRPr="00B85D62" w:rsidRDefault="3341BD48" w:rsidP="0066232B">
      <w:pPr>
        <w:jc w:val="both"/>
        <w:rPr>
          <w:rFonts w:eastAsia="Calibri" w:cs="Arial"/>
          <w:color w:val="000000" w:themeColor="text1"/>
          <w:highlight w:val="green"/>
        </w:rPr>
      </w:pPr>
    </w:p>
    <w:p w14:paraId="12FAEA9E" w14:textId="5ED5F07B" w:rsidR="00B85D62"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 xml:space="preserve">She (genetic counsellor) is always so approachable, she is brilliant </w:t>
      </w:r>
      <w:r w:rsidR="00B85D62" w:rsidRPr="00B85D62">
        <w:rPr>
          <w:rFonts w:eastAsia="Calibri" w:cs="Arial"/>
          <w:i/>
          <w:iCs/>
          <w:color w:val="00B0F0"/>
        </w:rPr>
        <w:t>. . . . .</w:t>
      </w:r>
      <w:r w:rsidRPr="00B85D62">
        <w:rPr>
          <w:rFonts w:eastAsia="Calibri" w:cs="Arial"/>
          <w:i/>
          <w:iCs/>
          <w:color w:val="000000" w:themeColor="text1"/>
          <w:highlight w:val="green"/>
        </w:rPr>
        <w:t xml:space="preserve"> I have been going to the clinic for a number of years prior to (cascade testing of child) </w:t>
      </w:r>
      <w:r w:rsidR="00B85D62" w:rsidRPr="00B85D62">
        <w:rPr>
          <w:rFonts w:eastAsia="Calibri" w:cs="Arial"/>
          <w:i/>
          <w:iCs/>
          <w:color w:val="00B0F0"/>
        </w:rPr>
        <w:t>. . .</w:t>
      </w:r>
      <w:r w:rsidRPr="00B85D62">
        <w:rPr>
          <w:rFonts w:eastAsia="Calibri" w:cs="Arial"/>
          <w:i/>
          <w:iCs/>
          <w:color w:val="000000" w:themeColor="text1"/>
          <w:highlight w:val="green"/>
        </w:rPr>
        <w:t xml:space="preserve"> I knew she was there and I could speak to her at any time (Index, F, 46, Region B)</w:t>
      </w:r>
    </w:p>
    <w:p w14:paraId="3B4A537E" w14:textId="6DF60A6D" w:rsidR="00B85D62" w:rsidRPr="00B85D62" w:rsidRDefault="71082DA5" w:rsidP="0066232B">
      <w:pPr>
        <w:jc w:val="both"/>
        <w:rPr>
          <w:rFonts w:eastAsia="Calibri" w:cs="Arial"/>
          <w:color w:val="000000" w:themeColor="text1"/>
        </w:rPr>
      </w:pPr>
      <w:r w:rsidRPr="00B85D62">
        <w:rPr>
          <w:rFonts w:eastAsia="Calibri" w:cs="Arial"/>
          <w:b/>
          <w:bCs/>
          <w:color w:val="000000" w:themeColor="text1"/>
        </w:rPr>
        <w:t>Streamlining services</w:t>
      </w:r>
    </w:p>
    <w:p w14:paraId="2FBCEBB3"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Professionals nevertheless described how cascade testing services were insufficiently designed around patients and their families but were instead based upon existing organisation of their service. This was difficult for patients to navigate and resulted in their non-attendance. They felt there were too many different healthcare professionals in some cascade testing pathways. This, and waiting for referrals between professionals were experienced as significant points for attrition of relatives engaging with cascade testing.</w:t>
      </w:r>
    </w:p>
    <w:p w14:paraId="25BF57A6" w14:textId="3FAB0AE9" w:rsidR="00B85D62" w:rsidRPr="00B85D62" w:rsidRDefault="71082DA5" w:rsidP="00CB79F2">
      <w:pPr>
        <w:ind w:left="360"/>
        <w:jc w:val="both"/>
        <w:rPr>
          <w:rFonts w:eastAsia="Calibri" w:cs="Arial"/>
          <w:color w:val="000000" w:themeColor="text1"/>
        </w:rPr>
      </w:pPr>
      <w:r w:rsidRPr="00B85D62">
        <w:rPr>
          <w:rFonts w:eastAsia="Calibri" w:cs="Arial"/>
          <w:i/>
          <w:iCs/>
          <w:color w:val="000000" w:themeColor="text1"/>
          <w:highlight w:val="green"/>
        </w:rPr>
        <w:t>“Some patients are obviously put off by their wait or have been lost to follow up as well</w:t>
      </w:r>
      <w:r w:rsidR="00B85D62" w:rsidRPr="00B85D62">
        <w:rPr>
          <w:rFonts w:eastAsia="Calibri" w:cs="Arial"/>
          <w:i/>
          <w:iCs/>
          <w:color w:val="00B0F0"/>
        </w:rPr>
        <w:t>. . .</w:t>
      </w:r>
      <w:r w:rsidRPr="00B85D62">
        <w:rPr>
          <w:rFonts w:eastAsia="Calibri" w:cs="Arial"/>
          <w:i/>
          <w:iCs/>
          <w:color w:val="000000" w:themeColor="text1"/>
          <w:highlight w:val="green"/>
        </w:rPr>
        <w:t xml:space="preserve"> because the pathway has been split between relatives going to (see) genetic counsellors and probands (index patients) seeing the (FH) nurses</w:t>
      </w:r>
      <w:r w:rsidR="00B85D62" w:rsidRPr="00B85D62">
        <w:rPr>
          <w:rFonts w:eastAsia="Calibri" w:cs="Arial"/>
          <w:i/>
          <w:iCs/>
          <w:color w:val="00B0F0"/>
        </w:rPr>
        <w:t>. . .</w:t>
      </w:r>
      <w:r w:rsidRPr="00B85D62">
        <w:rPr>
          <w:rFonts w:eastAsia="Calibri" w:cs="Arial"/>
          <w:i/>
          <w:iCs/>
          <w:color w:val="000000" w:themeColor="text1"/>
          <w:highlight w:val="green"/>
        </w:rPr>
        <w:t xml:space="preserve"> However (both) the whole family has the potential to be seen by me” (FH Nurse, Indirect Contact Approach).</w:t>
      </w:r>
    </w:p>
    <w:p w14:paraId="3648D71E" w14:textId="7DAB0A84" w:rsidR="00B85D62" w:rsidRPr="00B85D62" w:rsidRDefault="71082DA5" w:rsidP="0066232B">
      <w:pPr>
        <w:jc w:val="both"/>
        <w:rPr>
          <w:rFonts w:eastAsia="Calibri" w:cs="Arial"/>
          <w:color w:val="000000" w:themeColor="text1"/>
        </w:rPr>
      </w:pPr>
      <w:r w:rsidRPr="00B85D62">
        <w:rPr>
          <w:rFonts w:eastAsia="Calibri" w:cs="Arial"/>
          <w:color w:val="000000" w:themeColor="text1"/>
        </w:rPr>
        <w:t>Professions sought to reduce inefficient overlap and duplication across different services (lipid, genetic, cardiac) and professionals involved, to streamline their service pathway. This included reducing the number of clinic appointments necessary and completing both counselling and blood sampling for FH testing within them; creating more flexibility in appointment times, and having more outreach clinics rather than a single centralised hospital location. In addition, it was recognised that people respond differently to receiving a cascade offer and may not engage straight away, thus risking being routinely discharged and lost</w:t>
      </w:r>
      <w:r w:rsidR="002E5199" w:rsidRPr="00B85D62">
        <w:rPr>
          <w:rFonts w:eastAsia="Calibri" w:cs="Arial"/>
          <w:color w:val="000000" w:themeColor="text1"/>
        </w:rPr>
        <w:t>.</w:t>
      </w:r>
    </w:p>
    <w:p w14:paraId="186088F3"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The current lack of a centralised IT system in the UK for FH and related lab results, linking services from across all regions of the UK was highlighted as a major issue. Professionals anticipated this would improve better nationwide communication and optimise cascade testing</w:t>
      </w:r>
      <w:r w:rsidRPr="00B85D62">
        <w:rPr>
          <w:rFonts w:eastAsia="Calibri" w:cs="Arial"/>
          <w:i/>
          <w:iCs/>
          <w:color w:val="000000" w:themeColor="text1"/>
        </w:rPr>
        <w:t>.</w:t>
      </w:r>
    </w:p>
    <w:p w14:paraId="2807A38F" w14:textId="3F075BFB" w:rsidR="71082DA5" w:rsidRPr="00B85D62" w:rsidRDefault="71082DA5" w:rsidP="0066232B">
      <w:pPr>
        <w:tabs>
          <w:tab w:val="left" w:pos="8453"/>
          <w:tab w:val="left" w:pos="8535"/>
        </w:tabs>
        <w:ind w:right="-5654"/>
        <w:jc w:val="both"/>
        <w:rPr>
          <w:rFonts w:eastAsia="Calibri" w:cs="Arial"/>
          <w:color w:val="000000" w:themeColor="text1"/>
          <w:highlight w:val="green"/>
        </w:rPr>
      </w:pPr>
      <w:r w:rsidRPr="00B85D62">
        <w:rPr>
          <w:rFonts w:eastAsia="Calibri" w:cs="Arial"/>
          <w:i/>
          <w:iCs/>
          <w:color w:val="000000" w:themeColor="text1"/>
          <w:highlight w:val="green"/>
        </w:rPr>
        <w:t xml:space="preserve">“Sending letters all across the UK and wider obviously makes cascade testing a little bit more </w:t>
      </w:r>
    </w:p>
    <w:p w14:paraId="7757D180" w14:textId="2A6551BB" w:rsidR="71082DA5" w:rsidRPr="00B85D62" w:rsidRDefault="71082DA5" w:rsidP="0066232B">
      <w:pPr>
        <w:tabs>
          <w:tab w:val="left" w:pos="8453"/>
          <w:tab w:val="left" w:pos="8535"/>
        </w:tabs>
        <w:ind w:right="-5654"/>
        <w:jc w:val="both"/>
        <w:rPr>
          <w:rFonts w:eastAsia="Calibri" w:cs="Arial"/>
          <w:color w:val="000000" w:themeColor="text1"/>
          <w:highlight w:val="green"/>
        </w:rPr>
      </w:pPr>
      <w:r w:rsidRPr="00B85D62">
        <w:rPr>
          <w:rFonts w:eastAsia="Calibri" w:cs="Arial"/>
          <w:i/>
          <w:iCs/>
          <w:color w:val="000000" w:themeColor="text1"/>
          <w:highlight w:val="green"/>
        </w:rPr>
        <w:t xml:space="preserve">distant and tricky but as we see more services coming together nationally and communicating, </w:t>
      </w:r>
    </w:p>
    <w:p w14:paraId="2C40771F" w14:textId="1B8D1F57" w:rsidR="71082DA5" w:rsidRPr="00B85D62" w:rsidRDefault="71082DA5" w:rsidP="0066232B">
      <w:pPr>
        <w:tabs>
          <w:tab w:val="left" w:pos="8453"/>
          <w:tab w:val="left" w:pos="8535"/>
        </w:tabs>
        <w:ind w:right="-5654"/>
        <w:jc w:val="both"/>
        <w:rPr>
          <w:rFonts w:eastAsia="Calibri" w:cs="Arial"/>
          <w:color w:val="000000" w:themeColor="text1"/>
          <w:highlight w:val="green"/>
        </w:rPr>
      </w:pPr>
      <w:r w:rsidRPr="00B85D62">
        <w:rPr>
          <w:rFonts w:eastAsia="Calibri" w:cs="Arial"/>
          <w:i/>
          <w:iCs/>
          <w:color w:val="000000" w:themeColor="text1"/>
          <w:highlight w:val="green"/>
        </w:rPr>
        <w:t>communication improves and ultimately I think new systems will develop meaning information will be</w:t>
      </w:r>
    </w:p>
    <w:p w14:paraId="7AB6E283" w14:textId="7F807A7C" w:rsidR="71082DA5" w:rsidRPr="00B85D62" w:rsidRDefault="71082DA5" w:rsidP="0066232B">
      <w:pPr>
        <w:tabs>
          <w:tab w:val="left" w:pos="8453"/>
          <w:tab w:val="left" w:pos="8535"/>
        </w:tabs>
        <w:ind w:right="-5654"/>
        <w:jc w:val="both"/>
        <w:rPr>
          <w:rFonts w:eastAsia="Calibri" w:cs="Arial"/>
          <w:color w:val="000000" w:themeColor="text1"/>
          <w:highlight w:val="green"/>
        </w:rPr>
      </w:pPr>
      <w:r w:rsidRPr="00B85D62">
        <w:rPr>
          <w:rFonts w:eastAsia="Calibri" w:cs="Arial"/>
          <w:i/>
          <w:iCs/>
          <w:color w:val="000000" w:themeColor="text1"/>
          <w:highlight w:val="green"/>
        </w:rPr>
        <w:t xml:space="preserve">more easy to pass from one area to another of who is being notified and contacted and how, and I </w:t>
      </w:r>
    </w:p>
    <w:p w14:paraId="25C45753" w14:textId="77777777" w:rsidR="00B85D62"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think a good IT system is going to be key there.” (FH Nurse, Direct Contact Approach)</w:t>
      </w:r>
    </w:p>
    <w:p w14:paraId="29204537" w14:textId="4A7280CF" w:rsidR="00B85D62" w:rsidRPr="00B85D62" w:rsidRDefault="71082DA5" w:rsidP="006C7E71">
      <w:pPr>
        <w:pStyle w:val="Heading3"/>
        <w:rPr>
          <w:rFonts w:eastAsia="Yu Gothic Light"/>
          <w:bCs/>
        </w:rPr>
      </w:pPr>
      <w:bookmarkStart w:id="266" w:name="_Toc107157512"/>
      <w:r w:rsidRPr="00B85D62">
        <w:t>Individual Contexts for Engaging With FH Testing</w:t>
      </w:r>
      <w:bookmarkEnd w:id="266"/>
    </w:p>
    <w:p w14:paraId="60855820" w14:textId="4E302C4C" w:rsidR="71082DA5" w:rsidRPr="00B85D62" w:rsidRDefault="71082DA5" w:rsidP="0066232B">
      <w:pPr>
        <w:jc w:val="both"/>
        <w:rPr>
          <w:rFonts w:eastAsia="Calibri" w:cs="Arial"/>
          <w:color w:val="000000" w:themeColor="text1"/>
        </w:rPr>
      </w:pPr>
      <w:r w:rsidRPr="00B85D62">
        <w:rPr>
          <w:rFonts w:eastAsia="Calibri" w:cs="Arial"/>
          <w:color w:val="000000" w:themeColor="text1"/>
        </w:rPr>
        <w:t>Seeking an explanation for family history of cardiac events or premature death, and the desire or strongly felt obligation to protect younger generations of the family from the same, were the most common motivations for engaging with FH testing. Most people had been positive about and unsurprised to receive the offer of FH testing and subsequent diagnosis or its exclusion.</w:t>
      </w:r>
    </w:p>
    <w:p w14:paraId="1CD69EB1" w14:textId="49B7B1D1" w:rsidR="3341BD48"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 xml:space="preserve">"Everybody (in family) has been receptive to it [FH testing] and keen to know if potentially they have it because my mother’s stroke was so sudden and unexpected </w:t>
      </w:r>
      <w:r w:rsidR="00B85D62" w:rsidRPr="00B85D62">
        <w:rPr>
          <w:rFonts w:eastAsia="Calibri" w:cs="Arial"/>
          <w:i/>
          <w:iCs/>
          <w:color w:val="00B0F0"/>
        </w:rPr>
        <w:t>. . .</w:t>
      </w:r>
      <w:r w:rsidRPr="00B85D62">
        <w:rPr>
          <w:rFonts w:eastAsia="Calibri" w:cs="Arial"/>
          <w:i/>
          <w:iCs/>
          <w:color w:val="000000" w:themeColor="text1"/>
          <w:highlight w:val="green"/>
        </w:rPr>
        <w:t>. " (Index, F, 40, Region C)</w:t>
      </w:r>
    </w:p>
    <w:p w14:paraId="6939AAC1" w14:textId="14A54EA3" w:rsidR="00B85D62" w:rsidRPr="00B85D62" w:rsidRDefault="71082DA5" w:rsidP="0066232B">
      <w:pPr>
        <w:jc w:val="both"/>
        <w:rPr>
          <w:rFonts w:eastAsia="Calibri" w:cs="Arial"/>
          <w:color w:val="000000" w:themeColor="text1"/>
        </w:rPr>
      </w:pPr>
      <w:r w:rsidRPr="00B85D62">
        <w:rPr>
          <w:rFonts w:eastAsia="Calibri" w:cs="Arial"/>
          <w:color w:val="000000" w:themeColor="text1"/>
        </w:rPr>
        <w:t xml:space="preserve">Index patients explained why </w:t>
      </w:r>
      <w:r w:rsidR="00F36552" w:rsidRPr="00B85D62">
        <w:rPr>
          <w:rFonts w:eastAsia="Calibri" w:cs="Arial"/>
          <w:color w:val="000000" w:themeColor="text1"/>
        </w:rPr>
        <w:t xml:space="preserve">their </w:t>
      </w:r>
      <w:r w:rsidRPr="00B85D62">
        <w:rPr>
          <w:rFonts w:eastAsia="Calibri" w:cs="Arial"/>
          <w:color w:val="000000" w:themeColor="text1"/>
        </w:rPr>
        <w:t>relatives had not taken up the offer of cascade testing. Some, particularly if only indirectly contacted, were deterred by long waiting times for first appointments, or if several successive appointments with different professionals had been involved.</w:t>
      </w:r>
      <w:r w:rsidRPr="00B85D62">
        <w:rPr>
          <w:rFonts w:eastAsia="Calibri" w:cs="Arial"/>
          <w:i/>
          <w:iCs/>
          <w:color w:val="000000" w:themeColor="text1"/>
        </w:rPr>
        <w:t xml:space="preserve"> </w:t>
      </w:r>
      <w:r w:rsidRPr="00B85D62">
        <w:rPr>
          <w:rFonts w:eastAsia="Calibri" w:cs="Arial"/>
          <w:color w:val="000000" w:themeColor="text1"/>
        </w:rPr>
        <w:t>Others noted their relatives</w:t>
      </w:r>
      <w:r w:rsidR="00B85D62" w:rsidRPr="00B85D62">
        <w:rPr>
          <w:rFonts w:eastAsia="Calibri" w:cs="Arial"/>
          <w:color w:val="000000" w:themeColor="text1"/>
        </w:rPr>
        <w:t>’</w:t>
      </w:r>
      <w:r w:rsidRPr="00B85D62">
        <w:rPr>
          <w:rFonts w:eastAsia="Calibri" w:cs="Arial"/>
          <w:color w:val="000000" w:themeColor="text1"/>
        </w:rPr>
        <w:t xml:space="preserve"> nature, concerns about impact upon lifestyle if diagnosed, having to take statins or similar medication, uncertainties about future employment or obtaining life insurance.</w:t>
      </w:r>
    </w:p>
    <w:p w14:paraId="4E331288" w14:textId="17679E67"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 xml:space="preserve">"I was fine about it (testing), because the consultant had explained </w:t>
      </w:r>
      <w:r w:rsidR="00B85D62" w:rsidRPr="00B85D62">
        <w:rPr>
          <w:rFonts w:eastAsia="Calibri" w:cs="Arial"/>
          <w:i/>
          <w:iCs/>
          <w:color w:val="00B0F0"/>
        </w:rPr>
        <w:t>. . .</w:t>
      </w:r>
      <w:r w:rsidRPr="00B85D62">
        <w:rPr>
          <w:rFonts w:eastAsia="Calibri" w:cs="Arial"/>
          <w:i/>
          <w:iCs/>
          <w:color w:val="000000" w:themeColor="text1"/>
          <w:highlight w:val="green"/>
        </w:rPr>
        <w:t>. it is manageable, I was OK about it. My brother wasn’t to be honest, he went in to a bit of a meltdown and started panicking about life etc. but he is a different character to me." (Index, F, 42, Health Board C)</w:t>
      </w:r>
    </w:p>
    <w:p w14:paraId="6747AD11" w14:textId="3C64D59C" w:rsidR="3341BD48" w:rsidRPr="00B85D62" w:rsidRDefault="3341BD48" w:rsidP="0066232B">
      <w:pPr>
        <w:jc w:val="both"/>
        <w:rPr>
          <w:rFonts w:eastAsia="Calibri" w:cs="Arial"/>
          <w:color w:val="000000" w:themeColor="text1"/>
          <w:highlight w:val="green"/>
        </w:rPr>
      </w:pPr>
    </w:p>
    <w:p w14:paraId="0C311356" w14:textId="1684CE3F"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 xml:space="preserve">"There has been all of this talk as well about the statins being not good </w:t>
      </w:r>
      <w:r w:rsidR="00B85D62" w:rsidRPr="00B85D62">
        <w:rPr>
          <w:rFonts w:eastAsia="Calibri" w:cs="Arial"/>
          <w:i/>
          <w:iCs/>
          <w:color w:val="00B0F0"/>
        </w:rPr>
        <w:t>. . .</w:t>
      </w:r>
      <w:r w:rsidRPr="00B85D62">
        <w:rPr>
          <w:rFonts w:eastAsia="Calibri" w:cs="Arial"/>
          <w:i/>
          <w:iCs/>
          <w:color w:val="000000" w:themeColor="text1"/>
          <w:highlight w:val="green"/>
        </w:rPr>
        <w:t xml:space="preserve"> conflicting evidence all of the time, </w:t>
      </w:r>
      <w:r w:rsidR="00B85D62" w:rsidRPr="00B85D62">
        <w:rPr>
          <w:rFonts w:eastAsia="Calibri" w:cs="Arial"/>
          <w:i/>
          <w:iCs/>
          <w:color w:val="00B0F0"/>
        </w:rPr>
        <w:t>. . .</w:t>
      </w:r>
      <w:r w:rsidRPr="00B85D62">
        <w:rPr>
          <w:rFonts w:eastAsia="Calibri" w:cs="Arial"/>
          <w:i/>
          <w:iCs/>
          <w:color w:val="000000" w:themeColor="text1"/>
          <w:highlight w:val="green"/>
        </w:rPr>
        <w:t>.conflicting news reports</w:t>
      </w:r>
      <w:r w:rsidR="00B85D62" w:rsidRPr="00B85D62">
        <w:rPr>
          <w:rFonts w:eastAsia="Calibri" w:cs="Arial"/>
          <w:i/>
          <w:iCs/>
          <w:color w:val="00B0F0"/>
        </w:rPr>
        <w:t>. . .</w:t>
      </w:r>
      <w:r w:rsidRPr="00B85D62">
        <w:rPr>
          <w:rFonts w:eastAsia="Calibri" w:cs="Arial"/>
          <w:i/>
          <w:iCs/>
          <w:color w:val="000000" w:themeColor="text1"/>
          <w:highlight w:val="green"/>
        </w:rPr>
        <w:t xml:space="preserve"> I think that doesn’t help people or puts people off." (Relative, M, 52, Region A)</w:t>
      </w:r>
    </w:p>
    <w:p w14:paraId="05EAEE57" w14:textId="015E8AA6" w:rsidR="3341BD48" w:rsidRPr="00B85D62" w:rsidRDefault="3341BD48" w:rsidP="0066232B">
      <w:pPr>
        <w:jc w:val="both"/>
        <w:rPr>
          <w:rFonts w:eastAsia="Calibri" w:cs="Arial"/>
          <w:color w:val="000000" w:themeColor="text1"/>
          <w:highlight w:val="green"/>
        </w:rPr>
      </w:pPr>
    </w:p>
    <w:p w14:paraId="3597D3F7" w14:textId="2801D1A6" w:rsidR="00B85D62"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"I can remember having the conversation with my eldest son.. He was worried that if he had got (tested) it was going to affect his insurance</w:t>
      </w:r>
      <w:r w:rsidR="00B85D62" w:rsidRPr="00B85D62">
        <w:rPr>
          <w:rFonts w:eastAsia="Calibri" w:cs="Arial"/>
          <w:i/>
          <w:iCs/>
          <w:color w:val="00B0F0"/>
        </w:rPr>
        <w:t>. . .</w:t>
      </w:r>
      <w:r w:rsidRPr="00B85D62">
        <w:rPr>
          <w:rFonts w:eastAsia="Calibri" w:cs="Arial"/>
          <w:i/>
          <w:iCs/>
          <w:color w:val="000000" w:themeColor="text1"/>
          <w:highlight w:val="green"/>
        </w:rPr>
        <w:t>. that is why he thought he best not know." (Index, F, 68, Region A)</w:t>
      </w:r>
    </w:p>
    <w:p w14:paraId="5B76FB5D" w14:textId="77777777" w:rsidR="00B85D62" w:rsidRPr="00B85D62" w:rsidRDefault="71082DA5" w:rsidP="006C7E71">
      <w:pPr>
        <w:pStyle w:val="Heading3"/>
        <w:rPr>
          <w:rFonts w:eastAsia="Yu Gothic Light"/>
          <w:bCs/>
        </w:rPr>
      </w:pPr>
      <w:bookmarkStart w:id="267" w:name="_Toc107157513"/>
      <w:r w:rsidRPr="00B85D62">
        <w:t>Parents with younger children</w:t>
      </w:r>
      <w:bookmarkEnd w:id="267"/>
    </w:p>
    <w:p w14:paraId="4197BB61" w14:textId="36AE6575" w:rsidR="00B85D62" w:rsidRPr="00B85D62" w:rsidRDefault="71082DA5" w:rsidP="0066232B">
      <w:pPr>
        <w:jc w:val="both"/>
        <w:rPr>
          <w:rFonts w:eastAsia="Calibri" w:cs="Arial"/>
          <w:color w:val="000000" w:themeColor="text1"/>
        </w:rPr>
      </w:pPr>
      <w:r w:rsidRPr="00B85D62">
        <w:rPr>
          <w:rFonts w:eastAsia="Calibri" w:cs="Arial"/>
          <w:color w:val="000000" w:themeColor="text1"/>
        </w:rPr>
        <w:t>Relating experience of their own testing for FH, those respondents who were parents of younger children spoke about their conflicting feelings considering this decision for their children. Considerable uncertainly and anxiety existed for some in not being able to test their children of pre-school age, with a concern that they be able to plan for the future as early as possible.</w:t>
      </w:r>
    </w:p>
    <w:p w14:paraId="0F641540" w14:textId="22319876" w:rsidR="00B85D62" w:rsidRPr="00B85D62" w:rsidRDefault="71082DA5" w:rsidP="0066232B">
      <w:pPr>
        <w:ind w:left="720"/>
        <w:jc w:val="both"/>
        <w:rPr>
          <w:rFonts w:eastAsia="Calibri" w:cs="Arial"/>
          <w:i/>
          <w:iCs/>
          <w:color w:val="000000" w:themeColor="text1"/>
        </w:rPr>
      </w:pPr>
      <w:r w:rsidRPr="00B85D62">
        <w:rPr>
          <w:rFonts w:eastAsia="Calibri" w:cs="Arial"/>
          <w:i/>
          <w:iCs/>
          <w:color w:val="000000" w:themeColor="text1"/>
          <w:highlight w:val="green"/>
        </w:rPr>
        <w:t xml:space="preserve">"I understood that they wouldn’t medicate him </w:t>
      </w:r>
      <w:r w:rsidR="00B85D62" w:rsidRPr="00B85D62">
        <w:rPr>
          <w:rFonts w:eastAsia="Calibri" w:cs="Arial"/>
          <w:i/>
          <w:iCs/>
          <w:color w:val="00B0F0"/>
        </w:rPr>
        <w:t>. . .</w:t>
      </w:r>
      <w:r w:rsidRPr="00B85D62">
        <w:rPr>
          <w:rFonts w:eastAsia="Calibri" w:cs="Arial"/>
          <w:i/>
          <w:iCs/>
          <w:color w:val="000000" w:themeColor="text1"/>
          <w:highlight w:val="green"/>
        </w:rPr>
        <w:t xml:space="preserve"> but I just wanted to know what I was in for. Every time I had an appointment with the consultant I said "Can he come and get tested now?", "No, he is only five."</w:t>
      </w:r>
      <w:r w:rsidR="00895586" w:rsidRPr="00B85D62">
        <w:rPr>
          <w:rFonts w:eastAsia="Calibri" w:cs="Arial"/>
          <w:i/>
          <w:iCs/>
          <w:color w:val="000000" w:themeColor="text1"/>
          <w:highlight w:val="green"/>
        </w:rPr>
        <w:t xml:space="preserve"> </w:t>
      </w:r>
      <w:r w:rsidRPr="00B85D62">
        <w:rPr>
          <w:rFonts w:eastAsia="Calibri" w:cs="Arial"/>
          <w:i/>
          <w:iCs/>
          <w:color w:val="000000" w:themeColor="text1"/>
          <w:highlight w:val="green"/>
        </w:rPr>
        <w:t>When he was eight I said I really want to know, he is not that far off being ten." (Index, F, 46, Region B)</w:t>
      </w:r>
    </w:p>
    <w:p w14:paraId="4964F336" w14:textId="70EBC61F" w:rsidR="71082DA5" w:rsidRPr="00B85D62" w:rsidRDefault="71082DA5" w:rsidP="0066232B">
      <w:pPr>
        <w:jc w:val="both"/>
        <w:rPr>
          <w:rFonts w:eastAsia="Calibri" w:cs="Arial"/>
          <w:color w:val="000000" w:themeColor="text1"/>
        </w:rPr>
      </w:pPr>
      <w:r w:rsidRPr="00B85D62">
        <w:rPr>
          <w:rFonts w:eastAsia="Calibri" w:cs="Arial"/>
          <w:color w:val="000000" w:themeColor="text1"/>
        </w:rPr>
        <w:t>For older children, the decision could be more straightforward with respondents feeling empowered by knowledge that could help their children</w:t>
      </w:r>
      <w:r w:rsidR="00B85D62" w:rsidRPr="00B85D62">
        <w:rPr>
          <w:rFonts w:eastAsia="Calibri" w:cs="Arial"/>
          <w:color w:val="000000" w:themeColor="text1"/>
        </w:rPr>
        <w:t>’</w:t>
      </w:r>
      <w:r w:rsidRPr="00B85D62">
        <w:rPr>
          <w:rFonts w:eastAsia="Calibri" w:cs="Arial"/>
          <w:color w:val="000000" w:themeColor="text1"/>
        </w:rPr>
        <w:t>s future health, and for their child to be similarly informed. Others were more ambivalent and wondered if they had rushed their decision to establish if their child had FH. For example, they reflected whether they should have given more thought to how this could impact their children in later life, particularly around potentially limiting career options and the ability to get life insurance.</w:t>
      </w:r>
    </w:p>
    <w:p w14:paraId="4A2D6CF4" w14:textId="3E262A41"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w:t>
      </w:r>
      <w:r w:rsidR="00B85D62" w:rsidRPr="00B85D62">
        <w:rPr>
          <w:rFonts w:eastAsia="Calibri" w:cs="Arial"/>
          <w:i/>
          <w:iCs/>
          <w:color w:val="00B0F0"/>
        </w:rPr>
        <w:t>. . .</w:t>
      </w:r>
      <w:r w:rsidRPr="00B85D62">
        <w:rPr>
          <w:rFonts w:eastAsia="Calibri" w:cs="Arial"/>
          <w:i/>
          <w:iCs/>
          <w:color w:val="000000" w:themeColor="text1"/>
          <w:highlight w:val="green"/>
        </w:rPr>
        <w:t xml:space="preserve"> it never even occurred to me not to get them tested. Especially for my son </w:t>
      </w:r>
      <w:r w:rsidR="00B85D62" w:rsidRPr="00B85D62">
        <w:rPr>
          <w:rFonts w:eastAsia="Calibri" w:cs="Arial"/>
          <w:i/>
          <w:iCs/>
          <w:color w:val="00B0F0"/>
        </w:rPr>
        <w:t>. . .</w:t>
      </w:r>
      <w:r w:rsidRPr="00B85D62">
        <w:rPr>
          <w:rFonts w:eastAsia="Calibri" w:cs="Arial"/>
          <w:i/>
          <w:iCs/>
          <w:color w:val="000000" w:themeColor="text1"/>
          <w:highlight w:val="green"/>
        </w:rPr>
        <w:t xml:space="preserve"> having such a high chance of heart attacks before the age of 35." (Relative, F, 42, Region C)</w:t>
      </w:r>
    </w:p>
    <w:p w14:paraId="32BE8AEF" w14:textId="6BAADEF5" w:rsidR="71082DA5" w:rsidRPr="00B85D62" w:rsidRDefault="71082DA5" w:rsidP="0066232B">
      <w:pPr>
        <w:ind w:left="720"/>
        <w:jc w:val="both"/>
        <w:rPr>
          <w:rFonts w:eastAsia="Calibri" w:cs="Arial"/>
          <w:color w:val="000000" w:themeColor="text1"/>
        </w:rPr>
      </w:pPr>
      <w:r w:rsidRPr="00B85D62">
        <w:rPr>
          <w:rFonts w:eastAsia="Calibri" w:cs="Arial"/>
          <w:i/>
          <w:iCs/>
          <w:color w:val="000000" w:themeColor="text1"/>
          <w:highlight w:val="green"/>
        </w:rPr>
        <w:t>"I have a new appreciation I think for why you may not want to get your children tested, I went gung hoe and all guns blazing. Now I think maybe I shouldn’t have got him tested, not actually got him a diagnosis, just had his cholesterol treated, if I really had thought it through properly.</w:t>
      </w:r>
      <w:r w:rsidR="00895586" w:rsidRPr="00B85D62">
        <w:rPr>
          <w:rFonts w:eastAsia="Calibri" w:cs="Arial"/>
          <w:i/>
          <w:iCs/>
          <w:color w:val="000000" w:themeColor="text1"/>
          <w:highlight w:val="green"/>
        </w:rPr>
        <w:t xml:space="preserve"> </w:t>
      </w:r>
      <w:r w:rsidRPr="00B85D62">
        <w:rPr>
          <w:rFonts w:eastAsia="Calibri" w:cs="Arial"/>
          <w:i/>
          <w:iCs/>
          <w:color w:val="000000" w:themeColor="text1"/>
          <w:highlight w:val="green"/>
        </w:rPr>
        <w:t>What have I set him up for in adult life?</w:t>
      </w:r>
      <w:r w:rsidR="00B85D62" w:rsidRPr="00B85D62">
        <w:rPr>
          <w:rFonts w:eastAsia="Calibri" w:cs="Arial"/>
          <w:i/>
          <w:iCs/>
          <w:color w:val="00B0F0"/>
        </w:rPr>
        <w:t>. . .</w:t>
      </w:r>
      <w:r w:rsidRPr="00B85D62">
        <w:rPr>
          <w:rFonts w:eastAsia="Calibri" w:cs="Arial"/>
          <w:i/>
          <w:iCs/>
          <w:color w:val="000000" w:themeColor="text1"/>
          <w:highlight w:val="green"/>
        </w:rPr>
        <w:t xml:space="preserve"> his future and job prospects, certain careers, and a mortgage</w:t>
      </w:r>
      <w:r w:rsidR="00B85D62" w:rsidRPr="00B85D62">
        <w:rPr>
          <w:rFonts w:eastAsia="Calibri" w:cs="Arial"/>
          <w:i/>
          <w:iCs/>
          <w:color w:val="00B0F0"/>
        </w:rPr>
        <w:t>. . .</w:t>
      </w:r>
      <w:r w:rsidRPr="00B85D62">
        <w:rPr>
          <w:rFonts w:eastAsia="Calibri" w:cs="Arial"/>
          <w:i/>
          <w:iCs/>
          <w:color w:val="000000" w:themeColor="text1"/>
          <w:highlight w:val="green"/>
        </w:rPr>
        <w:t xml:space="preserve"> have I scuppered his chances of getting life insurance?" (Index, F, 46, Region B)</w:t>
      </w:r>
    </w:p>
    <w:p w14:paraId="5E3E57F4" w14:textId="77777777" w:rsidR="00B85D62" w:rsidRPr="00B85D62" w:rsidRDefault="71082DA5" w:rsidP="0066232B">
      <w:pPr>
        <w:jc w:val="both"/>
        <w:rPr>
          <w:rFonts w:eastAsia="Calibri" w:cs="Arial"/>
          <w:color w:val="000000" w:themeColor="text1"/>
        </w:rPr>
      </w:pPr>
      <w:r w:rsidRPr="00B85D62">
        <w:rPr>
          <w:rFonts w:eastAsia="Calibri" w:cs="Arial"/>
          <w:color w:val="000000" w:themeColor="text1"/>
        </w:rPr>
        <w:t>One mother described how she was unable to access psychological support for her teenage daughter following her cascade testing and FH diagnosis, which had amplified anxiety against a background of an existing condition.</w:t>
      </w:r>
    </w:p>
    <w:p w14:paraId="3062FB52" w14:textId="2A4BFAD1" w:rsidR="71082DA5" w:rsidRPr="00B85D62" w:rsidRDefault="71082DA5" w:rsidP="0066232B">
      <w:pPr>
        <w:jc w:val="both"/>
        <w:rPr>
          <w:rFonts w:eastAsia="Calibri" w:cs="Arial"/>
          <w:color w:val="000000" w:themeColor="text1"/>
        </w:rPr>
      </w:pPr>
      <w:r w:rsidRPr="00B85D62">
        <w:rPr>
          <w:rFonts w:eastAsia="Calibri" w:cs="Arial"/>
          <w:i/>
          <w:iCs/>
          <w:color w:val="000000" w:themeColor="text1"/>
          <w:highlight w:val="green"/>
        </w:rPr>
        <w:t xml:space="preserve">“My daughter has had a really bad year, she now has quite severe anxiety </w:t>
      </w:r>
      <w:r w:rsidR="00B85D62" w:rsidRPr="00B85D62">
        <w:rPr>
          <w:rFonts w:eastAsia="Calibri" w:cs="Arial"/>
          <w:i/>
          <w:iCs/>
          <w:color w:val="00B0F0"/>
        </w:rPr>
        <w:t>. . .</w:t>
      </w:r>
      <w:r w:rsidRPr="00B85D62">
        <w:rPr>
          <w:rFonts w:eastAsia="Calibri" w:cs="Arial"/>
          <w:i/>
          <w:iCs/>
          <w:color w:val="000000" w:themeColor="text1"/>
          <w:highlight w:val="green"/>
        </w:rPr>
        <w:t xml:space="preserve"> You know the problem is her processing the fact that for the rest of her life she has a hole in her heart, plus a faulty gene</w:t>
      </w:r>
      <w:r w:rsidR="00B85D62" w:rsidRPr="00B85D62">
        <w:rPr>
          <w:rFonts w:eastAsia="Calibri" w:cs="Arial"/>
          <w:i/>
          <w:iCs/>
          <w:color w:val="00B0F0"/>
        </w:rPr>
        <w:t>. . . . .</w:t>
      </w:r>
      <w:r w:rsidRPr="00B85D62">
        <w:rPr>
          <w:rFonts w:eastAsia="Calibri" w:cs="Arial"/>
          <w:i/>
          <w:iCs/>
          <w:color w:val="000000" w:themeColor="text1"/>
          <w:highlight w:val="green"/>
        </w:rPr>
        <w:t>it is has generated another concern and we feel like we have got nothing and nowhere with it."(Index, F, 40, Region C)</w:t>
      </w:r>
    </w:p>
    <w:p w14:paraId="6E8CBC25" w14:textId="59673842" w:rsidR="71082DA5" w:rsidRPr="00B85D62" w:rsidRDefault="71082DA5" w:rsidP="0066232B">
      <w:pPr>
        <w:jc w:val="both"/>
        <w:rPr>
          <w:rFonts w:eastAsia="Calibri" w:cs="Arial"/>
          <w:color w:val="000000" w:themeColor="text1"/>
        </w:rPr>
      </w:pPr>
      <w:r w:rsidRPr="00B85D62">
        <w:rPr>
          <w:rFonts w:eastAsia="Calibri" w:cs="Arial"/>
          <w:color w:val="000000" w:themeColor="text1"/>
        </w:rPr>
        <w:t xml:space="preserve">Overall, however, respondents were positive about their experience following cascade testing of their children, and again underlined the value of having shared continuity of care with </w:t>
      </w:r>
      <w:r w:rsidRPr="00B85D62">
        <w:rPr>
          <w:rFonts w:eastAsia="Calibri" w:cs="Arial"/>
          <w:color w:val="000000" w:themeColor="text1"/>
          <w:highlight w:val="magenta"/>
        </w:rPr>
        <w:t>an F</w:t>
      </w:r>
      <w:r w:rsidRPr="00B85D62">
        <w:rPr>
          <w:rFonts w:eastAsia="Calibri" w:cs="Arial"/>
          <w:color w:val="000000" w:themeColor="text1"/>
        </w:rPr>
        <w:t>H professional who had become known and trusted.</w:t>
      </w:r>
    </w:p>
    <w:p w14:paraId="76F9C729" w14:textId="3EDD029F" w:rsidR="71082DA5" w:rsidRPr="00B85D62" w:rsidRDefault="71082DA5" w:rsidP="0066232B">
      <w:pPr>
        <w:jc w:val="both"/>
        <w:rPr>
          <w:rFonts w:eastAsia="Calibri" w:cs="Arial"/>
          <w:color w:val="000000" w:themeColor="text1"/>
          <w:highlight w:val="green"/>
        </w:rPr>
      </w:pPr>
      <w:r w:rsidRPr="00B85D62">
        <w:rPr>
          <w:rFonts w:eastAsia="Calibri" w:cs="Arial"/>
          <w:i/>
          <w:iCs/>
          <w:color w:val="000000" w:themeColor="text1"/>
          <w:highlight w:val="green"/>
        </w:rPr>
        <w:t xml:space="preserve">"We took the children to the clinic </w:t>
      </w:r>
      <w:r w:rsidR="00B85D62" w:rsidRPr="00B85D62">
        <w:rPr>
          <w:rFonts w:eastAsia="Calibri" w:cs="Arial"/>
          <w:i/>
          <w:iCs/>
          <w:color w:val="00B0F0"/>
        </w:rPr>
        <w:t>. . .</w:t>
      </w:r>
      <w:r w:rsidRPr="00B85D62">
        <w:rPr>
          <w:rFonts w:eastAsia="Calibri" w:cs="Arial"/>
          <w:i/>
          <w:iCs/>
          <w:color w:val="000000" w:themeColor="text1"/>
          <w:highlight w:val="green"/>
        </w:rPr>
        <w:t xml:space="preserve">for blood tests, and I then had a phone call from [my FH Nurse] to give me their results </w:t>
      </w:r>
      <w:r w:rsidR="00B85D62" w:rsidRPr="00B85D62">
        <w:rPr>
          <w:rFonts w:eastAsia="Calibri" w:cs="Arial"/>
          <w:i/>
          <w:iCs/>
          <w:color w:val="00B0F0"/>
        </w:rPr>
        <w:t>. . .</w:t>
      </w:r>
      <w:r w:rsidRPr="00B85D62">
        <w:rPr>
          <w:rFonts w:eastAsia="Calibri" w:cs="Arial"/>
          <w:i/>
          <w:iCs/>
          <w:color w:val="000000" w:themeColor="text1"/>
          <w:highlight w:val="green"/>
        </w:rPr>
        <w:t xml:space="preserve"> When my daughter sees the child consultant, [FH nurse] is always there as well " (Index, F, 42, Region C).</w:t>
      </w:r>
    </w:p>
    <w:p w14:paraId="1164FADC" w14:textId="5C247620" w:rsidR="71082DA5" w:rsidRPr="00B85D62" w:rsidRDefault="3EAE7023" w:rsidP="0066232B">
      <w:pPr>
        <w:jc w:val="both"/>
        <w:rPr>
          <w:rFonts w:eastAsia="Calibri" w:cs="Arial"/>
          <w:color w:val="000000" w:themeColor="text1"/>
        </w:rPr>
      </w:pPr>
      <w:r w:rsidRPr="00B85D62">
        <w:rPr>
          <w:rFonts w:eastAsia="Calibri" w:cs="Arial"/>
          <w:i/>
          <w:iCs/>
          <w:color w:val="000000" w:themeColor="text1"/>
          <w:highlight w:val="green"/>
        </w:rPr>
        <w:t>"He [young son] has got a positive (FH) diagnosis but</w:t>
      </w:r>
      <w:r w:rsidR="00B85D62" w:rsidRPr="00B85D62">
        <w:rPr>
          <w:rFonts w:eastAsia="Calibri" w:cs="Arial"/>
          <w:i/>
          <w:iCs/>
          <w:color w:val="00B0F0"/>
        </w:rPr>
        <w:t>. . .</w:t>
      </w:r>
      <w:r w:rsidR="006A155D" w:rsidRPr="00B85D62">
        <w:rPr>
          <w:rFonts w:eastAsia="Calibri" w:cs="Arial"/>
          <w:i/>
          <w:iCs/>
          <w:color w:val="000000" w:themeColor="text1"/>
          <w:highlight w:val="green"/>
        </w:rPr>
        <w:t xml:space="preserve"> </w:t>
      </w:r>
      <w:r w:rsidRPr="00B85D62">
        <w:rPr>
          <w:rFonts w:eastAsia="Calibri" w:cs="Arial"/>
          <w:i/>
          <w:iCs/>
          <w:color w:val="000000" w:themeColor="text1"/>
          <w:highlight w:val="green"/>
        </w:rPr>
        <w:t xml:space="preserve">the main thing for me actually was having my consultant for both of us </w:t>
      </w:r>
      <w:r w:rsidR="00B85D62" w:rsidRPr="00B85D62">
        <w:rPr>
          <w:rFonts w:eastAsia="Calibri" w:cs="Arial"/>
          <w:i/>
          <w:iCs/>
          <w:color w:val="00B0F0"/>
        </w:rPr>
        <w:t>. . .</w:t>
      </w:r>
      <w:r w:rsidRPr="00B85D62">
        <w:rPr>
          <w:rFonts w:eastAsia="Calibri" w:cs="Arial"/>
          <w:i/>
          <w:iCs/>
          <w:color w:val="000000" w:themeColor="text1"/>
          <w:highlight w:val="green"/>
        </w:rPr>
        <w:t xml:space="preserve"> he knows my history and you build up a rapport </w:t>
      </w:r>
      <w:r w:rsidR="00B85D62" w:rsidRPr="00B85D62">
        <w:rPr>
          <w:rFonts w:eastAsia="Calibri" w:cs="Arial"/>
          <w:i/>
          <w:iCs/>
          <w:color w:val="00B0F0"/>
        </w:rPr>
        <w:t>. . .</w:t>
      </w:r>
      <w:r w:rsidRPr="00B85D62">
        <w:rPr>
          <w:rFonts w:eastAsia="Calibri" w:cs="Arial"/>
          <w:i/>
          <w:iCs/>
          <w:color w:val="000000" w:themeColor="text1"/>
          <w:highlight w:val="green"/>
        </w:rPr>
        <w:t>. I am just so glad he is involved in [son's] treatment as well." (Index, F, 46, Region B)</w:t>
      </w:r>
    </w:p>
    <w:p w14:paraId="72AD38F2" w14:textId="3722E240" w:rsidR="71082DA5" w:rsidRPr="00B85D62" w:rsidRDefault="71082DA5" w:rsidP="006C7E71">
      <w:pPr>
        <w:pStyle w:val="Heading3"/>
        <w:rPr>
          <w:rFonts w:eastAsia="Yu Gothic Light"/>
          <w:bCs/>
        </w:rPr>
      </w:pPr>
      <w:bookmarkStart w:id="268" w:name="_Toc107157514"/>
      <w:r w:rsidRPr="00B85D62">
        <w:t>Member checking</w:t>
      </w:r>
      <w:bookmarkEnd w:id="268"/>
    </w:p>
    <w:p w14:paraId="43492B55" w14:textId="7EF6C027" w:rsidR="00B85D62" w:rsidRPr="00B85D62" w:rsidRDefault="3EAE7023" w:rsidP="0066232B">
      <w:pPr>
        <w:jc w:val="both"/>
        <w:rPr>
          <w:rFonts w:eastAsia="Calibri" w:cs="Arial"/>
        </w:rPr>
      </w:pPr>
      <w:r w:rsidRPr="00B85D62">
        <w:rPr>
          <w:rFonts w:eastAsia="Calibri" w:cs="Arial"/>
          <w:color w:val="000000" w:themeColor="text1"/>
        </w:rPr>
        <w:t>Member checking responses were received from 14 participants from among the purposeful sample interviewed, including comments on summaries of findings. These were confirmed as true to participants</w:t>
      </w:r>
      <w:r w:rsidR="00B85D62" w:rsidRPr="00B85D62">
        <w:rPr>
          <w:rFonts w:eastAsia="Calibri" w:cs="Arial"/>
          <w:color w:val="000000" w:themeColor="text1"/>
        </w:rPr>
        <w:t>’</w:t>
      </w:r>
      <w:r w:rsidRPr="00B85D62">
        <w:rPr>
          <w:rFonts w:eastAsia="Calibri" w:cs="Arial"/>
          <w:color w:val="000000" w:themeColor="text1"/>
        </w:rPr>
        <w:t xml:space="preserve"> experiences. No reflections contesting or additional to findings presented were made. Examples of their comments are</w:t>
      </w:r>
      <w:r w:rsidRPr="00B85D62">
        <w:rPr>
          <w:rFonts w:eastAsia="Calibri" w:cs="Arial"/>
        </w:rPr>
        <w:t xml:space="preserve"> included in </w:t>
      </w:r>
      <w:r w:rsidR="00CC1396" w:rsidRPr="00B85D62">
        <w:rPr>
          <w:rFonts w:cs="Arial"/>
        </w:rPr>
        <w:t>Appendix 3</w:t>
      </w:r>
      <w:r w:rsidRPr="00B85D62">
        <w:rPr>
          <w:rFonts w:eastAsia="Calibri" w:cs="Arial"/>
        </w:rPr>
        <w:t>.</w:t>
      </w:r>
    </w:p>
    <w:p w14:paraId="4994DD81" w14:textId="77777777" w:rsidR="00B85D62" w:rsidRPr="00B85D62" w:rsidRDefault="000731D6" w:rsidP="006C7E71">
      <w:pPr>
        <w:pStyle w:val="Heading2"/>
      </w:pPr>
      <w:bookmarkStart w:id="269" w:name="_Toc107157515"/>
      <w:r w:rsidRPr="00B85D62">
        <w:t>Summary of Results and Study limitations</w:t>
      </w:r>
      <w:bookmarkEnd w:id="269"/>
    </w:p>
    <w:p w14:paraId="4ADB9D2C" w14:textId="2381E758" w:rsidR="00B85D62" w:rsidRPr="00B85D62" w:rsidRDefault="71082DA5" w:rsidP="0066232B">
      <w:pPr>
        <w:jc w:val="both"/>
        <w:rPr>
          <w:rFonts w:eastAsia="Calibri" w:cs="Arial"/>
          <w:color w:val="000000" w:themeColor="text1"/>
        </w:rPr>
      </w:pPr>
      <w:r w:rsidRPr="00B85D62">
        <w:rPr>
          <w:rFonts w:eastAsia="Calibri" w:cs="Arial"/>
          <w:color w:val="000000" w:themeColor="text1"/>
        </w:rPr>
        <w:t xml:space="preserve">This qualitative study has provided insights </w:t>
      </w:r>
      <w:r w:rsidR="009C469A" w:rsidRPr="00B85D62">
        <w:rPr>
          <w:rFonts w:eastAsia="Calibri" w:cs="Arial"/>
          <w:color w:val="000000" w:themeColor="text1"/>
        </w:rPr>
        <w:t>into</w:t>
      </w:r>
      <w:r w:rsidRPr="00B85D62">
        <w:rPr>
          <w:rFonts w:eastAsia="Calibri" w:cs="Arial"/>
          <w:color w:val="000000" w:themeColor="text1"/>
        </w:rPr>
        <w:t xml:space="preserve"> the acceptability of different cascade testing approaches in </w:t>
      </w:r>
      <w:r w:rsidRPr="00B85D62">
        <w:rPr>
          <w:rFonts w:eastAsia="Calibri" w:cs="Arial"/>
          <w:color w:val="000000" w:themeColor="text1"/>
          <w:highlight w:val="magenta"/>
        </w:rPr>
        <w:t>practice</w:t>
      </w:r>
      <w:r w:rsidRPr="00B85D62">
        <w:rPr>
          <w:rFonts w:eastAsia="Calibri" w:cs="Arial"/>
          <w:color w:val="000000" w:themeColor="text1"/>
        </w:rPr>
        <w:t>, and what happens in service pathways that may help or hinder engagement with testing.</w:t>
      </w:r>
    </w:p>
    <w:p w14:paraId="6378DE5F" w14:textId="77777777" w:rsidR="00B85D62" w:rsidRPr="00B85D62" w:rsidRDefault="71082DA5" w:rsidP="0066232B">
      <w:pPr>
        <w:pStyle w:val="CommentText"/>
        <w:spacing w:line="360" w:lineRule="auto"/>
        <w:jc w:val="both"/>
        <w:rPr>
          <w:rFonts w:eastAsia="Calibri" w:cs="Arial"/>
          <w:color w:val="000000" w:themeColor="text1"/>
          <w:sz w:val="22"/>
          <w:szCs w:val="22"/>
        </w:rPr>
      </w:pPr>
      <w:r w:rsidRPr="00B85D62">
        <w:rPr>
          <w:rFonts w:eastAsia="Calibri" w:cs="Arial"/>
          <w:color w:val="000000" w:themeColor="text1"/>
          <w:sz w:val="22"/>
          <w:szCs w:val="22"/>
        </w:rPr>
        <w:t>For index patients and relatives, family relationships shaped experience of, and preference for indirect or direct cascade approaches or their combination. Experience of quality of communication about FH, the accessibility and organisation of pathways, and continuity of care further determined acceptability of approach. For index patients, making indirect contact worked less well, creating pressure about engaging relatives unless their relationship was conducive, or concern about communicating appropriate FH information. Direct contact of relatives by a specialist service was preferred as offering an independent, more credible and authoritative approach.</w:t>
      </w:r>
    </w:p>
    <w:p w14:paraId="703D81B5" w14:textId="2E2E21A0" w:rsidR="71082DA5" w:rsidRPr="00B85D62" w:rsidRDefault="71082DA5" w:rsidP="0066232B">
      <w:pPr>
        <w:jc w:val="both"/>
        <w:rPr>
          <w:rFonts w:eastAsia="Calibri" w:cs="Arial"/>
          <w:color w:val="000000" w:themeColor="text1"/>
        </w:rPr>
      </w:pPr>
      <w:r w:rsidRPr="00B85D62">
        <w:rPr>
          <w:rFonts w:eastAsia="Calibri" w:cs="Arial"/>
          <w:color w:val="000000" w:themeColor="text1"/>
        </w:rPr>
        <w:t>Professionals</w:t>
      </w:r>
      <w:r w:rsidR="00B85D62" w:rsidRPr="00B85D62">
        <w:rPr>
          <w:rFonts w:eastAsia="Calibri" w:cs="Arial"/>
          <w:color w:val="000000" w:themeColor="text1"/>
        </w:rPr>
        <w:t>’</w:t>
      </w:r>
      <w:r w:rsidRPr="00B85D62">
        <w:rPr>
          <w:rFonts w:eastAsia="Calibri" w:cs="Arial"/>
          <w:color w:val="000000" w:themeColor="text1"/>
        </w:rPr>
        <w:t xml:space="preserve"> experience echoed the perspectives of index patients and relatives, reporting more success using a direct approach. Using a solely indirect approach by index patients could work well for some, but was commonly problematic </w:t>
      </w:r>
      <w:r w:rsidRPr="00B85D62">
        <w:rPr>
          <w:rFonts w:eastAsia="Calibri" w:cs="Arial"/>
          <w:color w:val="000000" w:themeColor="text1"/>
          <w:highlight w:val="magenta"/>
        </w:rPr>
        <w:t>due to</w:t>
      </w:r>
      <w:r w:rsidRPr="00B85D62">
        <w:rPr>
          <w:rFonts w:eastAsia="Calibri" w:cs="Arial"/>
          <w:color w:val="000000" w:themeColor="text1"/>
        </w:rPr>
        <w:t xml:space="preserve"> unreliability of invitations being passed on; uncertainty about what may be communicated; and ethical issues in following up relatives</w:t>
      </w:r>
      <w:r w:rsidR="00B85D62" w:rsidRPr="00B85D62">
        <w:rPr>
          <w:rFonts w:eastAsia="Calibri" w:cs="Arial"/>
          <w:color w:val="000000" w:themeColor="text1"/>
        </w:rPr>
        <w:t>’</w:t>
      </w:r>
      <w:r w:rsidRPr="00B85D62">
        <w:rPr>
          <w:rFonts w:eastAsia="Calibri" w:cs="Arial"/>
          <w:color w:val="000000" w:themeColor="text1"/>
        </w:rPr>
        <w:t xml:space="preserve"> non-response. Deploying a direct service approach improved confidence these issues were avoided.</w:t>
      </w:r>
    </w:p>
    <w:p w14:paraId="71B99216" w14:textId="77627B6D" w:rsidR="00B85D62" w:rsidRPr="00B85D62" w:rsidRDefault="71082DA5" w:rsidP="0066232B">
      <w:pPr>
        <w:jc w:val="both"/>
        <w:rPr>
          <w:rFonts w:eastAsia="Calibri" w:cs="Arial"/>
          <w:color w:val="000000" w:themeColor="text1"/>
        </w:rPr>
      </w:pPr>
      <w:r w:rsidRPr="00B85D62">
        <w:rPr>
          <w:rFonts w:eastAsia="Calibri" w:cs="Arial"/>
          <w:color w:val="000000" w:themeColor="text1"/>
        </w:rPr>
        <w:t>Combin</w:t>
      </w:r>
      <w:r w:rsidR="00BB6410" w:rsidRPr="00B85D62">
        <w:rPr>
          <w:rFonts w:eastAsia="Calibri" w:cs="Arial"/>
          <w:color w:val="000000" w:themeColor="text1"/>
        </w:rPr>
        <w:t>ed</w:t>
      </w:r>
      <w:r w:rsidRPr="00B85D62">
        <w:rPr>
          <w:rFonts w:eastAsia="Calibri" w:cs="Arial"/>
          <w:color w:val="000000" w:themeColor="text1"/>
        </w:rPr>
        <w:t xml:space="preserve"> approaches by using a flexible </w:t>
      </w:r>
      <w:r w:rsidR="00B85D62" w:rsidRPr="00B85D62">
        <w:rPr>
          <w:rFonts w:eastAsia="Calibri" w:cs="Arial"/>
          <w:color w:val="000000" w:themeColor="text1"/>
        </w:rPr>
        <w:t>‘</w:t>
      </w:r>
      <w:r w:rsidRPr="00B85D62">
        <w:rPr>
          <w:rFonts w:eastAsia="Calibri" w:cs="Arial"/>
          <w:color w:val="000000" w:themeColor="text1"/>
        </w:rPr>
        <w:t>hybrid</w:t>
      </w:r>
      <w:r w:rsidR="00B85D62" w:rsidRPr="00B85D62">
        <w:rPr>
          <w:rFonts w:eastAsia="Calibri" w:cs="Arial"/>
          <w:color w:val="000000" w:themeColor="text1"/>
        </w:rPr>
        <w:t>’</w:t>
      </w:r>
      <w:r w:rsidRPr="00B85D62">
        <w:rPr>
          <w:rFonts w:eastAsia="Calibri" w:cs="Arial"/>
          <w:color w:val="000000" w:themeColor="text1"/>
        </w:rPr>
        <w:t xml:space="preserve"> model was regarded as effective by both patients and professionals. This involved FH professionals developing an understanding of what was appropriate for individual families in discussion with index patients to inform whether to use indirect or direct approaches, or their combination, for each relevant family member. </w:t>
      </w:r>
      <w:r w:rsidRPr="00B85D62">
        <w:rPr>
          <w:rFonts w:eastAsia="Calibri" w:cs="Arial"/>
          <w:color w:val="000000" w:themeColor="text1"/>
          <w:highlight w:val="magenta"/>
        </w:rPr>
        <w:t>An F</w:t>
      </w:r>
      <w:r w:rsidRPr="00B85D62">
        <w:rPr>
          <w:rFonts w:eastAsia="Calibri" w:cs="Arial"/>
          <w:color w:val="000000" w:themeColor="text1"/>
        </w:rPr>
        <w:t>H specialist nurse-led model providing adequate time for enhanced communication and continuity of care for families from commencement and throughout the cascade testing pathway was preferred and strongly supported.</w:t>
      </w:r>
    </w:p>
    <w:p w14:paraId="4E6BF268" w14:textId="04316E0E" w:rsidR="00B85D62" w:rsidRPr="00B85D62" w:rsidRDefault="71082DA5" w:rsidP="0066232B">
      <w:pPr>
        <w:jc w:val="both"/>
        <w:rPr>
          <w:rFonts w:eastAsia="Calibri" w:cs="Arial"/>
          <w:color w:val="000000" w:themeColor="text1"/>
        </w:rPr>
      </w:pPr>
      <w:r w:rsidRPr="00B85D62">
        <w:rPr>
          <w:rFonts w:eastAsia="Calibri" w:cs="Arial"/>
          <w:color w:val="000000" w:themeColor="text1"/>
        </w:rPr>
        <w:t>To further improve acceptability of cascade testing, professionals emphasised communication with families focus on FH as effectively treatable to prevent major cardiac disease, rather than as a forbidding genetic condition. From both professionals</w:t>
      </w:r>
      <w:r w:rsidR="00B85D62" w:rsidRPr="00B85D62">
        <w:rPr>
          <w:rFonts w:eastAsia="Calibri" w:cs="Arial"/>
          <w:color w:val="000000" w:themeColor="text1"/>
        </w:rPr>
        <w:t>’</w:t>
      </w:r>
      <w:r w:rsidRPr="00B85D62">
        <w:rPr>
          <w:rFonts w:eastAsia="Calibri" w:cs="Arial"/>
          <w:color w:val="000000" w:themeColor="text1"/>
        </w:rPr>
        <w:t xml:space="preserve"> and patient/relative perspectives, barriers to uptake of cascade testing could be reduced by removing conventional requirement for GP referral, enabling self-referral to FH services where possible; and limiting appointments and different health professionals in testing pathways. Having continuity of care with a single FH professional such as consultant or FH nurse, for on-going family support greatly helped. This was particularly valued by those parents with younger children who had been tested.</w:t>
      </w:r>
    </w:p>
    <w:p w14:paraId="156C466A" w14:textId="6F028317" w:rsidR="00B85D62" w:rsidRPr="00B85D62" w:rsidRDefault="71082DA5" w:rsidP="72726EF6">
      <w:pPr>
        <w:jc w:val="both"/>
        <w:rPr>
          <w:rFonts w:eastAsia="Calibri" w:cs="Arial"/>
          <w:color w:val="000000" w:themeColor="text1"/>
        </w:rPr>
      </w:pPr>
      <w:r w:rsidRPr="00B85D62">
        <w:rPr>
          <w:rFonts w:eastAsia="Calibri" w:cs="Arial"/>
          <w:color w:val="000000" w:themeColor="text1"/>
        </w:rPr>
        <w:t>We acknowledge some limitations, which are challenges for future research to address in this field. Index patient and relative participants were white and English-speaking, and this lack of ethnic diversity reflects that seen in FH services and thus who we were able to access and engage for interview and sampling.</w:t>
      </w:r>
    </w:p>
    <w:p w14:paraId="2E0D701A" w14:textId="7DF7F2A9" w:rsidR="00B85D62" w:rsidRPr="00B85D62" w:rsidRDefault="71082DA5" w:rsidP="3F51A572">
      <w:pPr>
        <w:jc w:val="both"/>
        <w:rPr>
          <w:rFonts w:eastAsia="Calibri" w:cs="Arial"/>
          <w:color w:val="000000" w:themeColor="text1"/>
        </w:rPr>
      </w:pPr>
      <w:r w:rsidRPr="00B85D62">
        <w:rPr>
          <w:rFonts w:eastAsia="Calibri" w:cs="Arial"/>
          <w:color w:val="000000" w:themeColor="text1"/>
        </w:rPr>
        <w:t>While some relevant experience was captured through the accounts of those participating, we did not secure direct testimony from relatives who declined FH cascade testing or from</w:t>
      </w:r>
      <w:r w:rsidR="002D5AAD" w:rsidRPr="00B85D62">
        <w:rPr>
          <w:rFonts w:eastAsia="Calibri" w:cs="Arial"/>
          <w:color w:val="000000" w:themeColor="text1"/>
        </w:rPr>
        <w:t xml:space="preserve"> </w:t>
      </w:r>
      <w:r w:rsidRPr="00B85D62">
        <w:rPr>
          <w:rFonts w:eastAsia="Calibri" w:cs="Arial"/>
          <w:color w:val="000000" w:themeColor="text1"/>
        </w:rPr>
        <w:t>second-degree relatives. We were unable to identify participants in these groups willing to be interviewed. We note relatively more women than men were interviewed, perhaps reflecting women</w:t>
      </w:r>
      <w:r w:rsidR="00B85D62" w:rsidRPr="00B85D62">
        <w:rPr>
          <w:rFonts w:eastAsia="Calibri" w:cs="Arial"/>
          <w:color w:val="000000" w:themeColor="text1"/>
        </w:rPr>
        <w:t>’</w:t>
      </w:r>
      <w:r w:rsidRPr="00B85D62">
        <w:rPr>
          <w:rFonts w:eastAsia="Calibri" w:cs="Arial"/>
          <w:color w:val="000000" w:themeColor="text1"/>
        </w:rPr>
        <w:t>s commonly greater willingness to participate in research or as parents. Finally, although genetic counsellors were not directly involved in two FH service settings, those in the third were in the midst of genetic services reconfiguration and did not respond to participate.</w:t>
      </w:r>
    </w:p>
    <w:p w14:paraId="7D6F90AD" w14:textId="2B4BAD3F" w:rsidR="00B85D62" w:rsidRPr="00B85D62" w:rsidRDefault="71082DA5" w:rsidP="0066232B">
      <w:pPr>
        <w:jc w:val="both"/>
        <w:rPr>
          <w:rFonts w:eastAsia="Calibri" w:cs="Arial"/>
          <w:color w:val="000000" w:themeColor="text1"/>
        </w:rPr>
      </w:pPr>
      <w:r w:rsidRPr="00B85D62">
        <w:rPr>
          <w:rFonts w:eastAsia="Calibri" w:cs="Arial"/>
          <w:color w:val="000000" w:themeColor="text1"/>
        </w:rPr>
        <w:t>These qualitative findings must be interpreted with regard to the selected samples as described, which may aid assessment of the relevance of these findings beyond this study</w:t>
      </w:r>
      <w:r w:rsidR="00B85D62" w:rsidRPr="00B85D62">
        <w:rPr>
          <w:rFonts w:eastAsia="Calibri" w:cs="Arial"/>
          <w:color w:val="000000" w:themeColor="text1"/>
        </w:rPr>
        <w:t>’</w:t>
      </w:r>
      <w:r w:rsidRPr="00B85D62">
        <w:rPr>
          <w:rFonts w:eastAsia="Calibri" w:cs="Arial"/>
          <w:color w:val="000000" w:themeColor="text1"/>
        </w:rPr>
        <w:t>s context.</w:t>
      </w:r>
    </w:p>
    <w:p w14:paraId="71A4C44B" w14:textId="1E3F4CBC" w:rsidR="00B85D62" w:rsidRPr="00B85D62" w:rsidRDefault="7E83A60D" w:rsidP="0066232B">
      <w:pPr>
        <w:pStyle w:val="Heading1"/>
        <w:spacing w:line="360" w:lineRule="auto"/>
        <w:rPr>
          <w:rFonts w:ascii="Arial" w:hAnsi="Arial" w:cs="Arial"/>
          <w:sz w:val="22"/>
          <w:szCs w:val="22"/>
        </w:rPr>
      </w:pPr>
      <w:bookmarkStart w:id="270" w:name="_Toc474849021"/>
      <w:bookmarkStart w:id="271" w:name="_Toc61283567"/>
      <w:bookmarkStart w:id="272" w:name="_Toc76461077"/>
      <w:bookmarkStart w:id="273" w:name="_Toc107157517"/>
      <w:r w:rsidRPr="00B85D62">
        <w:rPr>
          <w:rFonts w:ascii="Arial" w:hAnsi="Arial" w:cs="Arial"/>
          <w:sz w:val="22"/>
          <w:szCs w:val="22"/>
        </w:rPr>
        <w:t>Conclusion</w:t>
      </w:r>
      <w:bookmarkEnd w:id="270"/>
      <w:bookmarkEnd w:id="271"/>
      <w:bookmarkEnd w:id="272"/>
      <w:bookmarkEnd w:id="273"/>
    </w:p>
    <w:p w14:paraId="5A155AC1" w14:textId="54B65341" w:rsidR="000A201F" w:rsidRPr="00B85D62" w:rsidRDefault="000A201F" w:rsidP="00F947F9">
      <w:pPr>
        <w:rPr>
          <w:rFonts w:eastAsia="Arial" w:cs="Arial"/>
        </w:rPr>
      </w:pPr>
      <w:r w:rsidRPr="00B85D62">
        <w:rPr>
          <w:rFonts w:eastAsia="Arial" w:cs="Arial"/>
        </w:rPr>
        <w:t>To achieve the aim of identifying the most cost-effective protocol for cascade testing for familial hypercholesterolaemia (FH), we answered 3 interrelated objectives</w:t>
      </w:r>
    </w:p>
    <w:p w14:paraId="26C9FD6D" w14:textId="77777777" w:rsidR="00B85D62" w:rsidRPr="00B85D62" w:rsidRDefault="000A201F" w:rsidP="00F947F9">
      <w:pPr>
        <w:rPr>
          <w:rFonts w:eastAsia="Arial" w:cs="Arial"/>
        </w:rPr>
      </w:pPr>
      <w:r w:rsidRPr="00B85D62">
        <w:rPr>
          <w:rFonts w:eastAsia="Arial" w:cs="Arial"/>
        </w:rPr>
        <w:t>1.</w:t>
      </w:r>
      <w:r w:rsidR="006C7E71" w:rsidRPr="00B85D62">
        <w:rPr>
          <w:rFonts w:eastAsia="Arial" w:cs="Arial"/>
        </w:rPr>
        <w:t xml:space="preserve"> </w:t>
      </w:r>
      <w:r w:rsidRPr="00B85D62">
        <w:rPr>
          <w:rFonts w:eastAsia="Arial" w:cs="Arial"/>
        </w:rPr>
        <w:t>To determine the yield of cases, treatment patterns, and short</w:t>
      </w:r>
      <w:r w:rsidR="00F947F9" w:rsidRPr="00B85D62">
        <w:rPr>
          <w:rFonts w:eastAsia="Arial" w:cs="Arial"/>
        </w:rPr>
        <w:t xml:space="preserve"> </w:t>
      </w:r>
      <w:r w:rsidRPr="00B85D62">
        <w:rPr>
          <w:rFonts w:eastAsia="Arial" w:cs="Arial"/>
        </w:rPr>
        <w:t>and long-term outcomes for FH patients.</w:t>
      </w:r>
    </w:p>
    <w:p w14:paraId="1DF6162F" w14:textId="77777777" w:rsidR="00B85D62" w:rsidRPr="00B85D62" w:rsidRDefault="000A201F" w:rsidP="00F947F9">
      <w:pPr>
        <w:rPr>
          <w:rFonts w:eastAsia="Arial" w:cs="Arial"/>
        </w:rPr>
      </w:pPr>
      <w:r w:rsidRPr="00B85D62">
        <w:rPr>
          <w:rFonts w:eastAsia="Arial" w:cs="Arial"/>
        </w:rPr>
        <w:t>2.</w:t>
      </w:r>
      <w:r w:rsidR="006C7E71" w:rsidRPr="00B85D62">
        <w:rPr>
          <w:rFonts w:eastAsia="Arial" w:cs="Arial"/>
        </w:rPr>
        <w:t xml:space="preserve"> </w:t>
      </w:r>
      <w:r w:rsidRPr="00B85D62">
        <w:rPr>
          <w:rFonts w:eastAsia="Arial" w:cs="Arial"/>
        </w:rPr>
        <w:t xml:space="preserve">To evaluate the cost-effectiveness of alternative </w:t>
      </w:r>
      <w:r w:rsidRPr="00B85D62">
        <w:rPr>
          <w:rFonts w:eastAsia="Arial" w:cs="Arial"/>
          <w:shd w:val="clear" w:color="auto" w:fill="E6E6E6"/>
        </w:rPr>
        <w:t>protocols</w:t>
      </w:r>
      <w:r w:rsidRPr="00B85D62">
        <w:rPr>
          <w:rFonts w:eastAsia="Arial" w:cs="Arial"/>
        </w:rPr>
        <w:t xml:space="preserve"> for FH cascade testing using </w:t>
      </w:r>
      <w:r w:rsidRPr="00B85D62">
        <w:rPr>
          <w:rFonts w:eastAsia="Arial" w:cs="Arial"/>
          <w:highlight w:val="magenta"/>
        </w:rPr>
        <w:t>data</w:t>
      </w:r>
      <w:r w:rsidRPr="00B85D62">
        <w:rPr>
          <w:rFonts w:eastAsia="Arial" w:cs="Arial"/>
        </w:rPr>
        <w:t xml:space="preserve"> from services in two UK regions, the literature, and linkage of national clinical databases.</w:t>
      </w:r>
    </w:p>
    <w:p w14:paraId="484CB17A" w14:textId="77777777" w:rsidR="00B85D62" w:rsidRPr="00B85D62" w:rsidRDefault="000A201F" w:rsidP="00F947F9">
      <w:pPr>
        <w:rPr>
          <w:rFonts w:eastAsia="Arial" w:cs="Arial"/>
        </w:rPr>
      </w:pPr>
      <w:r w:rsidRPr="00B85D62">
        <w:rPr>
          <w:rFonts w:eastAsia="Arial" w:cs="Arial"/>
        </w:rPr>
        <w:t>3.</w:t>
      </w:r>
      <w:r w:rsidR="006C7E71" w:rsidRPr="00B85D62">
        <w:rPr>
          <w:rFonts w:eastAsia="Arial" w:cs="Arial"/>
        </w:rPr>
        <w:t xml:space="preserve"> </w:t>
      </w:r>
      <w:r w:rsidRPr="00B85D62">
        <w:rPr>
          <w:rFonts w:eastAsia="Arial" w:cs="Arial"/>
        </w:rPr>
        <w:t>To qualitatively assess the acceptability of cascade testing protocols to individuals and families with potential and confirmed FH, and to health care providers.</w:t>
      </w:r>
    </w:p>
    <w:p w14:paraId="07FE964D" w14:textId="6BB01B42" w:rsidR="00B85D62" w:rsidRPr="00B85D62" w:rsidRDefault="000A201F" w:rsidP="00F947F9">
      <w:pPr>
        <w:rPr>
          <w:rFonts w:eastAsia="Arial" w:cs="Arial"/>
        </w:rPr>
      </w:pPr>
      <w:r w:rsidRPr="00B85D62">
        <w:rPr>
          <w:rFonts w:eastAsia="Arial" w:cs="Arial"/>
        </w:rPr>
        <w:t xml:space="preserve">When a person is identified with FH (index case), testing other relatives in the family is cost-effective but the best protocol or pathway to complete this </w:t>
      </w:r>
      <w:r w:rsidR="00B85D62" w:rsidRPr="00B85D62">
        <w:rPr>
          <w:rFonts w:eastAsia="Arial" w:cs="Arial"/>
        </w:rPr>
        <w:t>“</w:t>
      </w:r>
      <w:r w:rsidR="00F947F9" w:rsidRPr="00B85D62">
        <w:rPr>
          <w:rFonts w:eastAsia="Arial" w:cs="Arial"/>
        </w:rPr>
        <w:t>cascade testing</w:t>
      </w:r>
      <w:r w:rsidR="00B85D62" w:rsidRPr="00B85D62">
        <w:rPr>
          <w:rFonts w:eastAsia="Arial" w:cs="Arial"/>
        </w:rPr>
        <w:t>”</w:t>
      </w:r>
      <w:r w:rsidR="00F947F9" w:rsidRPr="00B85D62">
        <w:rPr>
          <w:rFonts w:eastAsia="Arial" w:cs="Arial"/>
        </w:rPr>
        <w:t xml:space="preserve"> </w:t>
      </w:r>
      <w:r w:rsidRPr="00B85D62">
        <w:rPr>
          <w:rFonts w:eastAsia="Arial" w:cs="Arial"/>
        </w:rPr>
        <w:t xml:space="preserve">is unclear. The index case, under current guidelines, will be confirmed by genetic testing. Following this there will be 3 approaches to contact the relatives of the index case: </w:t>
      </w:r>
      <w:r w:rsidR="00B85D62" w:rsidRPr="00B85D62">
        <w:rPr>
          <w:rFonts w:eastAsia="Arial" w:cs="Arial"/>
        </w:rPr>
        <w:t>“</w:t>
      </w:r>
      <w:r w:rsidRPr="00B85D62">
        <w:rPr>
          <w:rFonts w:eastAsia="Arial" w:cs="Arial"/>
        </w:rPr>
        <w:t>indirect</w:t>
      </w:r>
      <w:r w:rsidR="00B85D62" w:rsidRPr="00B85D62">
        <w:rPr>
          <w:rFonts w:eastAsia="Arial" w:cs="Arial"/>
        </w:rPr>
        <w:t>”</w:t>
      </w:r>
      <w:r w:rsidRPr="00B85D62">
        <w:rPr>
          <w:rFonts w:eastAsia="Arial" w:cs="Arial"/>
        </w:rPr>
        <w:t xml:space="preserve"> approach when the patients with FH contact their relatives; the </w:t>
      </w:r>
      <w:r w:rsidR="00B85D62" w:rsidRPr="00B85D62">
        <w:rPr>
          <w:rFonts w:eastAsia="Arial" w:cs="Arial"/>
        </w:rPr>
        <w:t>“</w:t>
      </w:r>
      <w:r w:rsidRPr="00B85D62">
        <w:rPr>
          <w:rFonts w:eastAsia="Arial" w:cs="Arial"/>
        </w:rPr>
        <w:t>direct</w:t>
      </w:r>
      <w:r w:rsidR="00B85D62" w:rsidRPr="00B85D62">
        <w:rPr>
          <w:rFonts w:eastAsia="Arial" w:cs="Arial"/>
        </w:rPr>
        <w:t>”</w:t>
      </w:r>
      <w:r w:rsidRPr="00B85D62">
        <w:rPr>
          <w:rFonts w:eastAsia="Arial" w:cs="Arial"/>
        </w:rPr>
        <w:t xml:space="preserve"> approach where the </w:t>
      </w:r>
      <w:r w:rsidR="00F947F9" w:rsidRPr="00B85D62">
        <w:rPr>
          <w:rFonts w:eastAsia="Arial" w:cs="Arial"/>
        </w:rPr>
        <w:t>FH specialist</w:t>
      </w:r>
      <w:r w:rsidRPr="00B85D62">
        <w:rPr>
          <w:rFonts w:eastAsia="Arial" w:cs="Arial"/>
        </w:rPr>
        <w:t xml:space="preserve"> contacts the relatives directly, or a combination of the two approaches. This may impact on how many relatives are contacted and tested (</w:t>
      </w:r>
      <w:r w:rsidR="00B85D62" w:rsidRPr="00B85D62">
        <w:rPr>
          <w:rFonts w:eastAsia="Arial" w:cs="Arial"/>
        </w:rPr>
        <w:t>“</w:t>
      </w:r>
      <w:r w:rsidRPr="00B85D62">
        <w:rPr>
          <w:rFonts w:eastAsia="Arial" w:cs="Arial"/>
        </w:rPr>
        <w:t>yield of cases</w:t>
      </w:r>
      <w:r w:rsidR="00B85D62" w:rsidRPr="00B85D62">
        <w:rPr>
          <w:rFonts w:eastAsia="Arial" w:cs="Arial"/>
        </w:rPr>
        <w:t>”</w:t>
      </w:r>
      <w:r w:rsidRPr="00B85D62">
        <w:rPr>
          <w:rFonts w:eastAsia="Arial" w:cs="Arial"/>
        </w:rPr>
        <w:t xml:space="preserve">). Also the yield of cases could be affected if all relatives are contacted simultaneously or first degree relatives then second degree relatives. </w:t>
      </w:r>
      <w:r w:rsidR="00A25570" w:rsidRPr="00B85D62">
        <w:rPr>
          <w:rFonts w:eastAsia="Arial" w:cs="Arial"/>
        </w:rPr>
        <w:t xml:space="preserve">To understand the impact of diagnosis on individual long-term quality </w:t>
      </w:r>
      <w:r w:rsidR="00161D79" w:rsidRPr="00B85D62">
        <w:rPr>
          <w:rFonts w:eastAsia="Arial" w:cs="Arial"/>
        </w:rPr>
        <w:t>of life, life expectancy and healthcare costs, the CVD outcomes of FH patients also need to be incorporated.</w:t>
      </w:r>
    </w:p>
    <w:p w14:paraId="5736E79E" w14:textId="41417A53" w:rsidR="00982DFE" w:rsidRPr="00B85D62" w:rsidRDefault="00982DFE" w:rsidP="006C7E71">
      <w:pPr>
        <w:pStyle w:val="Heading2"/>
      </w:pPr>
      <w:bookmarkStart w:id="274" w:name="_Toc107157518"/>
      <w:r w:rsidRPr="00B85D62">
        <w:t>Key Findings</w:t>
      </w:r>
      <w:bookmarkEnd w:id="274"/>
    </w:p>
    <w:p w14:paraId="428C54A9" w14:textId="77777777" w:rsidR="009B328D" w:rsidRPr="00B85D62" w:rsidRDefault="009B328D" w:rsidP="00F947F9">
      <w:pPr>
        <w:rPr>
          <w:rFonts w:cs="Arial"/>
          <w:b/>
        </w:rPr>
      </w:pPr>
      <w:r w:rsidRPr="00B85D62">
        <w:rPr>
          <w:rFonts w:cs="Arial"/>
          <w:b/>
        </w:rPr>
        <w:t>Yield of cases</w:t>
      </w:r>
    </w:p>
    <w:p w14:paraId="670FCA50" w14:textId="2D1479C7" w:rsidR="00B85D62" w:rsidRPr="00B85D62" w:rsidRDefault="00553661" w:rsidP="00F947F9">
      <w:pPr>
        <w:rPr>
          <w:rFonts w:cs="Arial"/>
        </w:rPr>
      </w:pPr>
      <w:r w:rsidRPr="00B85D62">
        <w:rPr>
          <w:rFonts w:cs="Arial"/>
        </w:rPr>
        <w:t>Our s</w:t>
      </w:r>
      <w:r w:rsidR="009B328D" w:rsidRPr="00B85D62">
        <w:rPr>
          <w:rFonts w:cs="Arial"/>
        </w:rPr>
        <w:t xml:space="preserve">ystematic review of different cascade protocols included 24 non-comparative studies. Based on 4 studies, combined approach to contacting relatives led to a slightly higher yield of relatives tested (40%, 95% CI 37% to 42%) than direct (33%, 95% CI 28% to 39%) or indirect approach alone (34%, 95% CI 30% to 37%). However, only 26% of the index cases in the combined approach had a confirmed diagnosis. </w:t>
      </w:r>
      <w:r w:rsidRPr="00B85D62">
        <w:rPr>
          <w:rFonts w:cs="Arial"/>
        </w:rPr>
        <w:t>The s</w:t>
      </w:r>
      <w:r w:rsidR="009B328D" w:rsidRPr="00B85D62">
        <w:rPr>
          <w:rFonts w:cs="Arial"/>
        </w:rPr>
        <w:t>ystematic review to assess diagnostic accuracy of clinical and biochemical criteria to diagnose relatives included 9 studies, found none reporting relatives</w:t>
      </w:r>
      <w:r w:rsidR="00B85D62" w:rsidRPr="00B85D62">
        <w:rPr>
          <w:rFonts w:cs="Arial"/>
        </w:rPr>
        <w:t>’</w:t>
      </w:r>
      <w:r w:rsidR="009B328D" w:rsidRPr="00B85D62">
        <w:rPr>
          <w:rFonts w:cs="Arial"/>
        </w:rPr>
        <w:t xml:space="preserve"> characteristics that could inform yield of cases and hence cost-effectiveness analysis.</w:t>
      </w:r>
    </w:p>
    <w:p w14:paraId="6CF98228" w14:textId="0C05FEA9" w:rsidR="00B85D62" w:rsidRPr="00B85D62" w:rsidRDefault="009B328D" w:rsidP="00F947F9">
      <w:pPr>
        <w:rPr>
          <w:rFonts w:cs="Arial"/>
        </w:rPr>
      </w:pPr>
      <w:r w:rsidRPr="00B85D62">
        <w:rPr>
          <w:rFonts w:cs="Arial"/>
        </w:rPr>
        <w:t>Analyses of PASS database identified 21</w:t>
      </w:r>
      <w:r w:rsidR="00B85D62" w:rsidRPr="00B85D62">
        <w:rPr>
          <w:rFonts w:cs="Arial"/>
          <w:color w:val="00B0F0"/>
        </w:rPr>
        <w:t>–</w:t>
      </w:r>
      <w:r w:rsidR="00B85D62" w:rsidRPr="00B85D62">
        <w:rPr>
          <w:rFonts w:cs="Arial"/>
          <w:color w:val="00B0F0"/>
        </w:rPr>
        <w:t>2</w:t>
      </w:r>
      <w:r w:rsidRPr="00B85D62">
        <w:rPr>
          <w:rFonts w:cs="Arial"/>
        </w:rPr>
        <w:t>9% of index cases have genetically-confirmed FH, and women, first-degree relatives and those contacted directly by health professionals were more likely to complete cascade testing (P</w:t>
      </w:r>
      <w:r w:rsidR="00B85D62" w:rsidRPr="00B85D62">
        <w:rPr>
          <w:rFonts w:cs="Arial"/>
          <w:color w:val="00B0F0"/>
        </w:rPr>
        <w:t>&lt;</w:t>
      </w:r>
      <w:r w:rsidR="00B85D62" w:rsidRPr="00B85D62">
        <w:rPr>
          <w:rFonts w:cs="Arial"/>
          <w:color w:val="00B0F0"/>
        </w:rPr>
        <w:t> </w:t>
      </w:r>
      <w:r w:rsidR="00B85D62" w:rsidRPr="00B85D62">
        <w:rPr>
          <w:rFonts w:cs="Arial"/>
          <w:color w:val="00B0F0"/>
        </w:rPr>
        <w:t>0</w:t>
      </w:r>
      <w:r w:rsidRPr="00B85D62">
        <w:rPr>
          <w:rFonts w:cs="Arial"/>
        </w:rPr>
        <w:t xml:space="preserve">.01). Also the Welsh PASS database analysis showed that that direct contact by the service rather than contact indirectly via family members is associated with a significantly higher probability that an individual will complete the cascade process. </w:t>
      </w:r>
      <w:r w:rsidR="00B85D62" w:rsidRPr="00B85D62">
        <w:rPr>
          <w:rFonts w:cs="Arial"/>
          <w:color w:val="00B0F0"/>
        </w:rPr>
        <w:t>While</w:t>
      </w:r>
      <w:r w:rsidRPr="00B85D62">
        <w:rPr>
          <w:rFonts w:cs="Arial"/>
        </w:rPr>
        <w:t xml:space="preserve"> probability of completing the cascade is significantly lower in men and in more distant relatives (second- or higher-degree). The database also identified the yield of cases could be impacted by locality with 25%</w:t>
      </w:r>
      <w:r w:rsidR="00B85D62" w:rsidRPr="00B85D62">
        <w:rPr>
          <w:rFonts w:cs="Arial"/>
          <w:color w:val="00B0F0"/>
        </w:rPr>
        <w:t>–</w:t>
      </w:r>
      <w:r w:rsidR="00B85D62" w:rsidRPr="00B85D62">
        <w:rPr>
          <w:rFonts w:cs="Arial"/>
          <w:color w:val="00B0F0"/>
        </w:rPr>
        <w:t>2</w:t>
      </w:r>
      <w:r w:rsidRPr="00B85D62">
        <w:rPr>
          <w:rFonts w:cs="Arial"/>
        </w:rPr>
        <w:t>9% of individuals who could potentially be contacted for cascade testing live outside of the geographical area covered by the cascade service.</w:t>
      </w:r>
    </w:p>
    <w:p w14:paraId="6DA88BA3" w14:textId="63D13C0C" w:rsidR="000A201F" w:rsidRPr="00B85D62" w:rsidRDefault="000A201F" w:rsidP="00F947F9">
      <w:pPr>
        <w:rPr>
          <w:rFonts w:cs="Arial"/>
          <w:b/>
        </w:rPr>
      </w:pPr>
      <w:r w:rsidRPr="00B85D62">
        <w:rPr>
          <w:rFonts w:cs="Arial"/>
          <w:b/>
        </w:rPr>
        <w:t xml:space="preserve">Treatment patterns, Short and </w:t>
      </w:r>
      <w:r w:rsidR="00B85A9C" w:rsidRPr="00B85D62">
        <w:rPr>
          <w:rFonts w:cs="Arial"/>
          <w:b/>
        </w:rPr>
        <w:t>Long-</w:t>
      </w:r>
      <w:r w:rsidRPr="00B85D62">
        <w:rPr>
          <w:rFonts w:cs="Arial"/>
          <w:b/>
        </w:rPr>
        <w:t>term outcomes</w:t>
      </w:r>
    </w:p>
    <w:p w14:paraId="02A1F8B5" w14:textId="5C21B6D8" w:rsidR="00B85D62" w:rsidRPr="00B85D62" w:rsidRDefault="0052366E" w:rsidP="00F947F9">
      <w:pPr>
        <w:rPr>
          <w:rFonts w:cs="Arial"/>
        </w:rPr>
      </w:pPr>
      <w:r w:rsidRPr="00B85D62">
        <w:rPr>
          <w:rFonts w:cs="Arial"/>
        </w:rPr>
        <w:t>The search of relevant systematic reviews of the effectiveness of cholesterol-lowering therapies on LDL</w:t>
      </w:r>
      <w:r w:rsidR="00553661" w:rsidRPr="00B85D62">
        <w:rPr>
          <w:rFonts w:cs="Arial"/>
        </w:rPr>
        <w:t>-Cholesterol</w:t>
      </w:r>
      <w:r w:rsidRPr="00B85D62">
        <w:rPr>
          <w:rFonts w:cs="Arial"/>
        </w:rPr>
        <w:t xml:space="preserve"> levels and cardiovascular disease in adults identified 14 relevant systematic reviews, none of these met the methodological quality on the AMSTAR critical appraisal tool to be included in the review of reviews. However, CPRD-HES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indicated 26% of patients with coded diagnosis of FH in their primary care records remain untreated after 2 years, and less than 30% achieve the NICE FH guidelines recommended reductions in LDL-C (</w:t>
      </w:r>
      <w:r w:rsidR="00B85D62" w:rsidRPr="00B85D62">
        <w:rPr>
          <w:rFonts w:cs="Arial"/>
          <w:color w:val="00B0F0"/>
        </w:rPr>
        <w:t>≥</w:t>
      </w:r>
      <w:r w:rsidR="00B85D62" w:rsidRPr="00B85D62">
        <w:rPr>
          <w:rFonts w:cs="Arial"/>
          <w:color w:val="00B0F0"/>
        </w:rPr>
        <w:t> </w:t>
      </w:r>
      <w:r w:rsidR="00B85D62" w:rsidRPr="00B85D62">
        <w:rPr>
          <w:rFonts w:cs="Arial"/>
          <w:color w:val="00B0F0"/>
        </w:rPr>
        <w:t>5</w:t>
      </w:r>
      <w:r w:rsidRPr="00B85D62">
        <w:rPr>
          <w:rFonts w:cs="Arial"/>
        </w:rPr>
        <w:t>0% reduction).</w:t>
      </w:r>
    </w:p>
    <w:p w14:paraId="0EE6AAD4" w14:textId="79550BEA" w:rsidR="00B85D62" w:rsidRPr="00B85D62" w:rsidRDefault="0052366E" w:rsidP="00F947F9">
      <w:pPr>
        <w:rPr>
          <w:rFonts w:cs="Arial"/>
        </w:rPr>
      </w:pPr>
      <w:r w:rsidRPr="00B85D62">
        <w:rPr>
          <w:rFonts w:cs="Arial"/>
        </w:rPr>
        <w:t>U</w:t>
      </w:r>
      <w:r w:rsidR="00B85A9C" w:rsidRPr="00B85D62">
        <w:rPr>
          <w:rFonts w:cs="Arial"/>
        </w:rPr>
        <w:t>sing the primary care CPRD and s</w:t>
      </w:r>
      <w:r w:rsidRPr="00B85D62">
        <w:rPr>
          <w:rFonts w:cs="Arial"/>
        </w:rPr>
        <w:t xml:space="preserve">pecialist FH </w:t>
      </w:r>
      <w:r w:rsidR="00B85A9C" w:rsidRPr="00B85D62">
        <w:rPr>
          <w:rFonts w:cs="Arial"/>
        </w:rPr>
        <w:t xml:space="preserve">register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s we were also able to explore the lifetime consequences in terms of morbidity and mortality </w:t>
      </w:r>
      <w:r w:rsidR="00B85D62" w:rsidRPr="00B85D62">
        <w:rPr>
          <w:rFonts w:cs="Arial"/>
          <w:color w:val="00B0F0"/>
        </w:rPr>
        <w:t>among</w:t>
      </w:r>
      <w:r w:rsidRPr="00B85D62">
        <w:rPr>
          <w:rFonts w:cs="Arial"/>
        </w:rPr>
        <w:t xml:space="preserve"> diagnosed and treated individuals with FH. CPRD demonstrated substantially increased cardiovascular risk in individuals with FH codes in primary care </w:t>
      </w:r>
      <w:r w:rsidR="00553661" w:rsidRPr="00B85D62">
        <w:rPr>
          <w:rFonts w:cs="Arial"/>
        </w:rPr>
        <w:t xml:space="preserve">records </w:t>
      </w:r>
      <w:r w:rsidRPr="00B85D62">
        <w:rPr>
          <w:rFonts w:cs="Arial"/>
          <w:highlight w:val="magenta"/>
        </w:rPr>
        <w:t>compared to</w:t>
      </w:r>
      <w:r w:rsidRPr="00B85D62">
        <w:rPr>
          <w:rFonts w:cs="Arial"/>
        </w:rPr>
        <w:t xml:space="preserve"> controls (HR 9.14, 95% CI 8.55</w:t>
      </w:r>
      <w:r w:rsidR="00B85D62" w:rsidRPr="00B85D62">
        <w:rPr>
          <w:rFonts w:cs="Arial"/>
          <w:color w:val="00B0F0"/>
        </w:rPr>
        <w:t>–</w:t>
      </w:r>
      <w:r w:rsidR="00B85D62" w:rsidRPr="00B85D62">
        <w:rPr>
          <w:rFonts w:cs="Arial"/>
          <w:color w:val="00B0F0"/>
        </w:rPr>
        <w:t>9</w:t>
      </w:r>
      <w:r w:rsidRPr="00B85D62">
        <w:rPr>
          <w:rFonts w:cs="Arial"/>
        </w:rPr>
        <w:t xml:space="preserve">.76) and over </w:t>
      </w:r>
      <w:r w:rsidR="00B85A9C" w:rsidRPr="00B85D62">
        <w:rPr>
          <w:rFonts w:cs="Arial"/>
        </w:rPr>
        <w:t>2</w:t>
      </w:r>
      <w:r w:rsidRPr="00B85D62">
        <w:rPr>
          <w:rFonts w:cs="Arial"/>
        </w:rPr>
        <w:t>0 years follow-up more likely to develop cardiovascular disease if they had previous disease or higher baseline cholesterol</w:t>
      </w:r>
      <w:r w:rsidRPr="00B85D62">
        <w:rPr>
          <w:rFonts w:cs="Arial"/>
          <w:highlight w:val="magenta"/>
        </w:rPr>
        <w:t>. Further</w:t>
      </w:r>
      <w:r w:rsidRPr="00B85D62">
        <w:rPr>
          <w:rFonts w:cs="Arial"/>
        </w:rPr>
        <w:t xml:space="preserve">, </w:t>
      </w:r>
      <w:r w:rsidR="00040DE8" w:rsidRPr="00B85D62">
        <w:rPr>
          <w:rFonts w:cs="Arial"/>
        </w:rPr>
        <w:t>we</w:t>
      </w:r>
      <w:r w:rsidRPr="00B85D62">
        <w:rPr>
          <w:rFonts w:cs="Arial"/>
        </w:rPr>
        <w:t xml:space="preserve"> estimates that at 10 years of follow-up, the average risk of first major non-fatal CV event or CV related death is 11%</w:t>
      </w:r>
      <w:r w:rsidR="00B85D62" w:rsidRPr="00B85D62">
        <w:rPr>
          <w:rFonts w:cs="Arial"/>
          <w:color w:val="00B0F0"/>
        </w:rPr>
        <w:t>.</w:t>
      </w:r>
      <w:r w:rsidRPr="00B85D62">
        <w:rPr>
          <w:rFonts w:cs="Arial"/>
        </w:rPr>
        <w:t xml:space="preserve"> History of CVD was identified as a key prognostic variable, with age, gender and pre-treatment LDL-C</w:t>
      </w:r>
      <w:r w:rsidR="00553661" w:rsidRPr="00B85D62">
        <w:rPr>
          <w:rFonts w:cs="Arial"/>
        </w:rPr>
        <w:t>holesterol</w:t>
      </w:r>
      <w:r w:rsidRPr="00B85D62">
        <w:rPr>
          <w:rFonts w:cs="Arial"/>
        </w:rPr>
        <w:t xml:space="preserve"> also playing an important role. Specialist FH register confirmed excessive cardiovascular morbidity in those with FH (Standardised Morbidity Ratios 7.17; 95% CI 6.79</w:t>
      </w:r>
      <w:r w:rsidR="00B85D62" w:rsidRPr="00B85D62">
        <w:rPr>
          <w:rFonts w:cs="Arial"/>
          <w:color w:val="00B0F0"/>
        </w:rPr>
        <w:t>–</w:t>
      </w:r>
      <w:r w:rsidR="00B85D62" w:rsidRPr="00B85D62">
        <w:rPr>
          <w:rFonts w:cs="Arial"/>
          <w:color w:val="00B0F0"/>
        </w:rPr>
        <w:t>7</w:t>
      </w:r>
      <w:r w:rsidRPr="00B85D62">
        <w:rPr>
          <w:rFonts w:cs="Arial"/>
        </w:rPr>
        <w:t xml:space="preserve">.56), with particularly high </w:t>
      </w:r>
      <w:r w:rsidR="00553661" w:rsidRPr="00B85D62">
        <w:rPr>
          <w:rFonts w:cs="Arial"/>
        </w:rPr>
        <w:t xml:space="preserve">morbidity </w:t>
      </w:r>
      <w:r w:rsidR="00B85A9C" w:rsidRPr="00B85D62">
        <w:rPr>
          <w:rFonts w:cs="Arial"/>
        </w:rPr>
        <w:t>in</w:t>
      </w:r>
      <w:r w:rsidRPr="00B85D62">
        <w:rPr>
          <w:rFonts w:cs="Arial"/>
        </w:rPr>
        <w:t xml:space="preserve"> women and younger patients with FH.</w:t>
      </w:r>
    </w:p>
    <w:p w14:paraId="67CECFCA" w14:textId="77777777" w:rsidR="00B85D62" w:rsidRPr="00B85D62" w:rsidRDefault="0052366E" w:rsidP="00F947F9">
      <w:pPr>
        <w:rPr>
          <w:rFonts w:cs="Arial"/>
        </w:rPr>
      </w:pPr>
      <w:r w:rsidRPr="00B85D62">
        <w:rPr>
          <w:rFonts w:cs="Arial"/>
        </w:rPr>
        <w:t>However identifying evidence of long-term CVD outcomes in children diagnosed with FH was limited. Preliminary scoping review identified 2 recent systematic reviews</w:t>
      </w:r>
      <w:r w:rsidR="00553661" w:rsidRPr="00B85D62">
        <w:rPr>
          <w:rFonts w:cs="Arial"/>
        </w:rPr>
        <w:t>.</w:t>
      </w:r>
      <w:r w:rsidR="002954F5" w:rsidRPr="00B85D62">
        <w:rPr>
          <w:rFonts w:cs="Arial"/>
          <w:noProof/>
          <w:vertAlign w:val="superscript"/>
        </w:rPr>
        <w:t>19, 20</w:t>
      </w:r>
      <w:r w:rsidR="00553661" w:rsidRPr="00B85D62">
        <w:rPr>
          <w:rFonts w:cs="Arial"/>
        </w:rPr>
        <w:t xml:space="preserve"> </w:t>
      </w:r>
      <w:r w:rsidRPr="00B85D62">
        <w:rPr>
          <w:rFonts w:cs="Arial"/>
        </w:rPr>
        <w:t xml:space="preserve">In particular, Lozano had indicated no studies looking at (long-term) relationship between lipid-lowering therapy in children on cardiovascular events in adulthood or on the association between intermediate outcomes in childhood (e.g. lipid concentrations, atherosclerosis) and cardiovascular event. We concluded, </w:t>
      </w:r>
      <w:r w:rsidRPr="00B85D62">
        <w:rPr>
          <w:rFonts w:cs="Arial"/>
          <w:highlight w:val="magenta"/>
        </w:rPr>
        <w:t>due to</w:t>
      </w:r>
      <w:r w:rsidRPr="00B85D62">
        <w:rPr>
          <w:rFonts w:cs="Arial"/>
        </w:rPr>
        <w:t xml:space="preserve"> the nature of these studies, such </w:t>
      </w:r>
      <w:r w:rsidRPr="00B85D62">
        <w:rPr>
          <w:rFonts w:cs="Arial"/>
          <w:highlight w:val="magenta"/>
        </w:rPr>
        <w:t>data</w:t>
      </w:r>
      <w:r w:rsidRPr="00B85D62">
        <w:rPr>
          <w:rFonts w:cs="Arial"/>
        </w:rPr>
        <w:t xml:space="preserve"> would not be available.</w:t>
      </w:r>
    </w:p>
    <w:p w14:paraId="52424188" w14:textId="4234347F" w:rsidR="000A201F" w:rsidRPr="00B85D62" w:rsidRDefault="000A201F" w:rsidP="00F947F9">
      <w:pPr>
        <w:rPr>
          <w:rFonts w:cs="Arial"/>
          <w:b/>
        </w:rPr>
      </w:pPr>
      <w:r w:rsidRPr="00B85D62">
        <w:rPr>
          <w:rFonts w:cs="Arial"/>
          <w:b/>
        </w:rPr>
        <w:t>Cost-effectiveness of alternative protocols</w:t>
      </w:r>
    </w:p>
    <w:p w14:paraId="04E5BFD8" w14:textId="77777777" w:rsidR="00B85D62" w:rsidRPr="00B85D62" w:rsidRDefault="000258FA" w:rsidP="000258FA">
      <w:r w:rsidRPr="00B85D62">
        <w:t>The cost-effectiveness analysis involved the development of two new cost-effectiveness models. One model predicted the long-term health outcomes of individuals with FH. The results informed the second model, which compared alternative cascade testing protocols.</w:t>
      </w:r>
    </w:p>
    <w:p w14:paraId="0920F94D" w14:textId="3F0832DB" w:rsidR="00B85D62" w:rsidRPr="00B85D62" w:rsidRDefault="000258FA" w:rsidP="000258FA">
      <w:r w:rsidRPr="00B85D62">
        <w:t xml:space="preserve">Considering long-term health outcomes and costs, diagnosis of people with FH generally represents a positive net health gain to the NHS (i.e., it is cost-effective) in most people with pre-treatment LDL cholesterols (PT-LDL-C) at or above 2.5 mmol/L or who have prior CVD history. The net health gain from diagnosis and treatment ranged between </w:t>
      </w:r>
      <w:r w:rsidR="00B85D62" w:rsidRPr="00B85D62">
        <w:rPr>
          <w:color w:val="00B0F0"/>
        </w:rPr>
        <w:t>–</w:t>
      </w:r>
      <w:r w:rsidR="00B85D62" w:rsidRPr="00B85D62">
        <w:rPr>
          <w:color w:val="00B0F0"/>
        </w:rPr>
        <w:t>0</w:t>
      </w:r>
      <w:r w:rsidRPr="00B85D62">
        <w:t>.27 to 2.51 QALYs at the £15,000/QALY threshold. In general, the net health gain of diagnosis is greater in males, people with higher pre-treatment LDL-C and people with prior CVD history at diagnosis.</w:t>
      </w:r>
      <w:r w:rsidR="00B85D62" w:rsidRPr="00B85D62">
        <w:t xml:space="preserve"> </w:t>
      </w:r>
      <w:r w:rsidRPr="00B85D62">
        <w:t xml:space="preserve">The assumptions with the largest impact were those about the risk of </w:t>
      </w:r>
      <w:r w:rsidR="00B85D62" w:rsidRPr="00B85D62">
        <w:rPr>
          <w:color w:val="00B0F0"/>
        </w:rPr>
        <w:t>1st</w:t>
      </w:r>
      <w:r w:rsidRPr="00B85D62">
        <w:t xml:space="preserve"> major CVD event, particular the effect of LDL-C burden on cardiovascular risk and the increase in cardiovascular risk over time.</w:t>
      </w:r>
    </w:p>
    <w:p w14:paraId="2259BB24" w14:textId="33D8CA67" w:rsidR="00B85D62" w:rsidRPr="00B85D62" w:rsidRDefault="000258FA" w:rsidP="000258FA">
      <w:r w:rsidRPr="00B85D62">
        <w:t>The cascade testing protocol with the highest net health gain</w:t>
      </w:r>
      <w:r w:rsidR="00B85D62" w:rsidRPr="00B85D62">
        <w:rPr>
          <w:color w:val="00B0F0"/>
        </w:rPr>
        <w:t xml:space="preserve"> – </w:t>
      </w:r>
      <w:r w:rsidRPr="00B85D62">
        <w:t>the base-case cost-effective protocol</w:t>
      </w:r>
      <w:r w:rsidR="00B85D62" w:rsidRPr="00B85D62">
        <w:rPr>
          <w:color w:val="00B0F0"/>
        </w:rPr>
        <w:t xml:space="preserve"> – </w:t>
      </w:r>
      <w:r w:rsidRPr="00B85D62">
        <w:t xml:space="preserve">involved diagnosing relatives according to their age, whether on lipid lowering treatment, pre-treatment LDL cholesterol and where this information provided insufficient diagnostic certainty, conducting genetic testing (as presented in </w:t>
      </w:r>
      <w:r w:rsidR="00B85D62" w:rsidRPr="00B85D62">
        <w:rPr>
          <w:i/>
          <w:color w:val="FF0000"/>
        </w:rPr>
        <w:t>T</w:t>
      </w:r>
      <w:r w:rsidR="00B85D62" w:rsidRPr="00B85D62">
        <w:rPr>
          <w:i/>
          <w:color w:val="FF0000"/>
        </w:rPr>
        <w:t>able</w:t>
      </w:r>
      <w:r w:rsidR="00B85D62" w:rsidRPr="00B85D62">
        <w:rPr>
          <w:i/>
          <w:color w:val="FF0000"/>
        </w:rPr>
        <w:t xml:space="preserve"> </w:t>
      </w:r>
      <w:r w:rsidR="00B85D62" w:rsidRPr="00B85D62">
        <w:rPr>
          <w:i/>
          <w:color w:val="FF0000"/>
        </w:rPr>
        <w:t>20</w:t>
      </w:r>
      <w:r w:rsidRPr="00B85D62">
        <w:t xml:space="preserve">). </w:t>
      </w:r>
      <w:r w:rsidRPr="00B85D62">
        <w:rPr>
          <w:highlight w:val="magenta"/>
        </w:rPr>
        <w:t>Compared to</w:t>
      </w:r>
      <w:r w:rsidRPr="00B85D62">
        <w:t xml:space="preserve"> not conducting cascade testing, </w:t>
      </w:r>
      <w:r w:rsidRPr="00B85D62">
        <w:rPr>
          <w:b/>
          <w:i/>
        </w:rPr>
        <w:t>per index family assessed for cascade</w:t>
      </w:r>
      <w:r w:rsidRPr="00B85D62">
        <w:t xml:space="preserve">, the cost-effective protocol diagnoses 52% (N=0.31) of relatives with the disease, at a cascade cost of £536; and with an incremental </w:t>
      </w:r>
      <w:r w:rsidR="00B85D62" w:rsidRPr="00B85D62">
        <w:rPr>
          <w:color w:val="00B0F0"/>
        </w:rPr>
        <w:t>cost-effectiveness</w:t>
      </w:r>
      <w:r w:rsidR="00B85D62" w:rsidRPr="00B85D62">
        <w:rPr>
          <w:color w:val="00B0F0"/>
        </w:rPr>
        <w:t xml:space="preserve"> ratio</w:t>
      </w:r>
      <w:r w:rsidRPr="00B85D62">
        <w:t xml:space="preserve"> of £13,996/QALY. The cost-effective protocol using the same testing strategy for all relatives regardless of age – the harmonised cost-effective protocol</w:t>
      </w:r>
      <w:r w:rsidR="00B85D62" w:rsidRPr="00B85D62">
        <w:rPr>
          <w:color w:val="00B0F0"/>
        </w:rPr>
        <w:t xml:space="preserve"> – </w:t>
      </w:r>
      <w:r w:rsidRPr="00B85D62">
        <w:t>achieves similar outcomes and may be preferable if additional nurse time (unaccounted for here) is required to implement a testing approach that differs according to relatives</w:t>
      </w:r>
      <w:r w:rsidR="00B85D62" w:rsidRPr="00B85D62">
        <w:t>’</w:t>
      </w:r>
      <w:r w:rsidRPr="00B85D62">
        <w:t xml:space="preserve"> age.</w:t>
      </w:r>
    </w:p>
    <w:p w14:paraId="65DA3524" w14:textId="7CFD740B" w:rsidR="000A201F" w:rsidRPr="00B85D62" w:rsidRDefault="000A201F" w:rsidP="00F947F9">
      <w:pPr>
        <w:rPr>
          <w:rFonts w:cs="Arial"/>
          <w:b/>
        </w:rPr>
      </w:pPr>
      <w:r w:rsidRPr="00B85D62">
        <w:rPr>
          <w:rFonts w:cs="Arial"/>
          <w:b/>
        </w:rPr>
        <w:t>Acceptability of cascade testing approaches</w:t>
      </w:r>
    </w:p>
    <w:p w14:paraId="7F3593EB" w14:textId="6EEF1130" w:rsidR="000A201F" w:rsidRPr="00B85D62" w:rsidRDefault="000A201F" w:rsidP="00F947F9">
      <w:pPr>
        <w:rPr>
          <w:rFonts w:cs="Arial"/>
        </w:rPr>
      </w:pPr>
      <w:r w:rsidRPr="00B85D62">
        <w:rPr>
          <w:rFonts w:cs="Arial"/>
        </w:rPr>
        <w:t xml:space="preserve">For index patients and relatives, family relationships shaped experience of, and preference for indirect or direct cascade approaches or their combination. Experience </w:t>
      </w:r>
      <w:r w:rsidR="000258FA" w:rsidRPr="00B85D62">
        <w:rPr>
          <w:rFonts w:cs="Arial"/>
        </w:rPr>
        <w:t>related to</w:t>
      </w:r>
      <w:r w:rsidRPr="00B85D62">
        <w:rPr>
          <w:rFonts w:cs="Arial"/>
        </w:rPr>
        <w:t xml:space="preserve"> quality of communication about FH, the accessibility and organisation of pathways, and continuity of care further determined acceptability of approach. For index patients, making indirect contact worked less well, creating pressure about engaging relatives unless their relationship was conducive, or concern about communicating appropriate FH information. Direct contact of relatives by a specialist service was preferred as offering an independent, more credible and authoritative approach.</w:t>
      </w:r>
    </w:p>
    <w:p w14:paraId="5E6591A2" w14:textId="07EFCC1E" w:rsidR="00B85D62" w:rsidRPr="00B85D62" w:rsidRDefault="000A201F" w:rsidP="00F947F9">
      <w:pPr>
        <w:rPr>
          <w:rFonts w:cs="Arial"/>
        </w:rPr>
      </w:pPr>
      <w:r w:rsidRPr="00B85D62">
        <w:rPr>
          <w:rFonts w:cs="Arial"/>
        </w:rPr>
        <w:t>Professionals</w:t>
      </w:r>
      <w:r w:rsidR="00B85D62" w:rsidRPr="00B85D62">
        <w:rPr>
          <w:rFonts w:cs="Arial"/>
        </w:rPr>
        <w:t>’</w:t>
      </w:r>
      <w:r w:rsidRPr="00B85D62">
        <w:rPr>
          <w:rFonts w:cs="Arial"/>
        </w:rPr>
        <w:t xml:space="preserve"> experience echoed the perspectives of index patients and relatives, reporting more success using a direct approach. Using a solely indirect approach by index patients could work well for some, but was commonly problematic </w:t>
      </w:r>
      <w:r w:rsidRPr="00B85D62">
        <w:rPr>
          <w:rFonts w:cs="Arial"/>
          <w:highlight w:val="magenta"/>
        </w:rPr>
        <w:t>due to</w:t>
      </w:r>
      <w:r w:rsidRPr="00B85D62">
        <w:rPr>
          <w:rFonts w:cs="Arial"/>
        </w:rPr>
        <w:t xml:space="preserve"> unreliability of invitations being passed on; uncertainty about what may be communicated; and ethical issues in following up relatives</w:t>
      </w:r>
      <w:r w:rsidR="00B85D62" w:rsidRPr="00B85D62">
        <w:rPr>
          <w:rFonts w:cs="Arial"/>
        </w:rPr>
        <w:t>’</w:t>
      </w:r>
      <w:r w:rsidRPr="00B85D62">
        <w:rPr>
          <w:rFonts w:cs="Arial"/>
        </w:rPr>
        <w:t xml:space="preserve"> non-response. Deploying a direct service approach improved confidence these issues were avoided.</w:t>
      </w:r>
    </w:p>
    <w:p w14:paraId="462C6E92" w14:textId="79474C69" w:rsidR="00B85D62" w:rsidRPr="00B85D62" w:rsidRDefault="000A201F" w:rsidP="00F947F9">
      <w:pPr>
        <w:rPr>
          <w:rFonts w:cs="Arial"/>
        </w:rPr>
      </w:pPr>
      <w:r w:rsidRPr="00B85D62">
        <w:rPr>
          <w:rFonts w:cs="Arial"/>
        </w:rPr>
        <w:t>From both professionals</w:t>
      </w:r>
      <w:r w:rsidR="00B85D62" w:rsidRPr="00B85D62">
        <w:rPr>
          <w:rFonts w:cs="Arial"/>
        </w:rPr>
        <w:t>’</w:t>
      </w:r>
      <w:r w:rsidRPr="00B85D62">
        <w:rPr>
          <w:rFonts w:cs="Arial"/>
        </w:rPr>
        <w:t xml:space="preserve"> and patient/relative perspectives, barriers to uptake of cascade testing could be reduced by removing conventional requirement for GP referral, enabling self-referral to FH services where possible; and limiting appointments and different health professionals in testing pathways. Having continuity of care with a single FH professional</w:t>
      </w:r>
      <w:r w:rsidR="00367549" w:rsidRPr="00B85D62">
        <w:rPr>
          <w:rFonts w:cs="Arial"/>
        </w:rPr>
        <w:t>,</w:t>
      </w:r>
      <w:r w:rsidRPr="00B85D62">
        <w:rPr>
          <w:rFonts w:cs="Arial"/>
        </w:rPr>
        <w:t xml:space="preserve"> such as consultant or FH nurse, for on-going family support greatly helped.</w:t>
      </w:r>
    </w:p>
    <w:p w14:paraId="27188C02" w14:textId="7990E19E" w:rsidR="00982DFE" w:rsidRPr="00B85D62" w:rsidRDefault="00982DFE" w:rsidP="006C7E71">
      <w:pPr>
        <w:pStyle w:val="Heading2"/>
      </w:pPr>
      <w:bookmarkStart w:id="275" w:name="_Toc107157519"/>
      <w:r w:rsidRPr="00B85D62">
        <w:t>Relationship to other literature</w:t>
      </w:r>
      <w:bookmarkEnd w:id="275"/>
    </w:p>
    <w:p w14:paraId="3E1F2063" w14:textId="77777777" w:rsidR="009D354B" w:rsidRPr="00B85D62" w:rsidRDefault="009D354B" w:rsidP="00F947F9">
      <w:pPr>
        <w:rPr>
          <w:rFonts w:cs="Arial"/>
          <w:b/>
        </w:rPr>
      </w:pPr>
      <w:r w:rsidRPr="00B85D62">
        <w:rPr>
          <w:rFonts w:cs="Arial"/>
          <w:b/>
        </w:rPr>
        <w:t>Yield of cases &amp; Acceptability of different cascade testing approaches</w:t>
      </w:r>
    </w:p>
    <w:p w14:paraId="4AB7124D" w14:textId="0B9DA7D1" w:rsidR="00B85D62" w:rsidRPr="00B85D62" w:rsidRDefault="009D354B" w:rsidP="00F947F9">
      <w:pPr>
        <w:jc w:val="both"/>
        <w:rPr>
          <w:rFonts w:eastAsia="Calibri" w:cs="Arial"/>
        </w:rPr>
      </w:pPr>
      <w:r w:rsidRPr="00B85D62">
        <w:rPr>
          <w:rFonts w:eastAsia="Calibri" w:cs="Arial"/>
        </w:rPr>
        <w:t xml:space="preserve">The acceptability of different contact strategies may partly explain their effectiveness. Qualitative interviews with FH patients have demonstrated mixed views about the approach to cascade testing, a Scottish study favoured indirect cascade testing </w:t>
      </w:r>
      <w:r w:rsidR="00C35B5E" w:rsidRPr="00B85D62">
        <w:rPr>
          <w:rFonts w:eastAsia="Calibri" w:cs="Arial"/>
          <w:noProof/>
          <w:shd w:val="clear" w:color="auto" w:fill="E6E6E6"/>
          <w:vertAlign w:val="superscript"/>
        </w:rPr>
        <w:t>175</w:t>
      </w:r>
      <w:r w:rsidRPr="00B85D62">
        <w:rPr>
          <w:rFonts w:eastAsia="Calibri" w:cs="Arial"/>
        </w:rPr>
        <w:t xml:space="preserve">, </w:t>
      </w:r>
      <w:r w:rsidR="00B85D62" w:rsidRPr="00B85D62">
        <w:rPr>
          <w:rFonts w:eastAsia="Calibri" w:cs="Arial"/>
          <w:color w:val="00B0F0"/>
        </w:rPr>
        <w:t>while</w:t>
      </w:r>
      <w:r w:rsidRPr="00B85D62">
        <w:rPr>
          <w:rFonts w:eastAsia="Calibri" w:cs="Arial"/>
        </w:rPr>
        <w:t xml:space="preserve"> in a more recent Australian study index patients supported health professionals directly contacting relatives, perceiving health professionals to have greater credibility and authority</w:t>
      </w:r>
      <w:r w:rsidR="004372AB" w:rsidRPr="00B85D62">
        <w:rPr>
          <w:rFonts w:eastAsia="Calibri" w:cs="Arial"/>
          <w:noProof/>
          <w:shd w:val="clear" w:color="auto" w:fill="E6E6E6"/>
          <w:vertAlign w:val="superscript"/>
        </w:rPr>
        <w:t>95</w:t>
      </w:r>
      <w:r w:rsidRPr="00B85D62">
        <w:rPr>
          <w:rFonts w:eastAsia="Calibri" w:cs="Arial"/>
          <w:highlight w:val="magenta"/>
        </w:rPr>
        <w:t>. Further</w:t>
      </w:r>
      <w:r w:rsidRPr="00B85D62">
        <w:rPr>
          <w:rFonts w:eastAsia="Calibri" w:cs="Arial"/>
        </w:rPr>
        <w:t xml:space="preserve">, it has been suggested indirect contact by index patients may </w:t>
      </w:r>
      <w:r w:rsidRPr="00B85D62">
        <w:rPr>
          <w:rFonts w:eastAsia="Calibri" w:cs="Arial"/>
          <w:highlight w:val="magenta"/>
        </w:rPr>
        <w:t>lead</w:t>
      </w:r>
      <w:r w:rsidRPr="00B85D62">
        <w:rPr>
          <w:rFonts w:eastAsia="Calibri" w:cs="Arial"/>
        </w:rPr>
        <w:t xml:space="preserve"> to inadequate counselling and sense of social pressure to be tested in solidarity with other family members </w:t>
      </w:r>
      <w:r w:rsidR="004372AB" w:rsidRPr="00B85D62">
        <w:rPr>
          <w:rFonts w:eastAsia="Calibri" w:cs="Arial"/>
          <w:noProof/>
          <w:shd w:val="clear" w:color="auto" w:fill="E6E6E6"/>
          <w:vertAlign w:val="superscript"/>
        </w:rPr>
        <w:t>98</w:t>
      </w:r>
      <w:r w:rsidRPr="00B85D62">
        <w:rPr>
          <w:rFonts w:eastAsia="Calibri" w:cs="Arial"/>
        </w:rPr>
        <w:t>. With the autosomal dominant mode of inheritance, 50% of the first-degree relatives of index cases will be affected. This finding was confirmed in our systematic review, with similar proportions seen for each cascade strategy.</w:t>
      </w:r>
    </w:p>
    <w:p w14:paraId="18755E6E" w14:textId="66D1973B" w:rsidR="00B85D62" w:rsidRPr="00B85D62" w:rsidRDefault="009D354B" w:rsidP="00F947F9">
      <w:pPr>
        <w:jc w:val="both"/>
        <w:rPr>
          <w:rFonts w:cs="Arial"/>
        </w:rPr>
      </w:pPr>
      <w:r w:rsidRPr="00B85D62">
        <w:rPr>
          <w:rFonts w:cs="Arial"/>
        </w:rPr>
        <w:t xml:space="preserve">Considering other factors that affect yield, age has been identified as a predictor of cascade success in previous work </w:t>
      </w:r>
      <w:r w:rsidRPr="00B85D62">
        <w:rPr>
          <w:rFonts w:cs="Arial"/>
          <w:noProof/>
          <w:vertAlign w:val="superscript"/>
        </w:rPr>
        <w:t>42</w:t>
      </w:r>
      <w:r w:rsidRPr="00B85D62">
        <w:rPr>
          <w:rFonts w:cs="Arial"/>
        </w:rPr>
        <w:t xml:space="preserve">, however our analysis of PASS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failed to include age as a predictor </w:t>
      </w:r>
      <w:r w:rsidRPr="00B85D62">
        <w:rPr>
          <w:rFonts w:cs="Arial"/>
          <w:highlight w:val="magenta"/>
        </w:rPr>
        <w:t>due to</w:t>
      </w:r>
      <w:r w:rsidRPr="00B85D62">
        <w:rPr>
          <w:rFonts w:cs="Arial"/>
        </w:rPr>
        <w:t xml:space="preserve"> missingness</w:t>
      </w:r>
      <w:r w:rsidRPr="00B85D62">
        <w:rPr>
          <w:rFonts w:cs="Arial"/>
          <w:highlight w:val="magenta"/>
        </w:rPr>
        <w:t>. Further</w:t>
      </w:r>
      <w:r w:rsidRPr="00B85D62">
        <w:rPr>
          <w:rFonts w:cs="Arial"/>
        </w:rPr>
        <w:t xml:space="preserve">, in the Welsh </w:t>
      </w:r>
      <w:r w:rsidR="003F354F" w:rsidRPr="00B85D62">
        <w:rPr>
          <w:rFonts w:cs="Arial"/>
        </w:rPr>
        <w:t xml:space="preserve">FH </w:t>
      </w:r>
      <w:r w:rsidRPr="00B85D62">
        <w:rPr>
          <w:rFonts w:cs="Arial"/>
        </w:rPr>
        <w:t xml:space="preserve">cascade service, as the choice of contact method was made on a case-by-case basis, the indirect method may have been used more frequently in cases where direct contact was challenging </w:t>
      </w:r>
      <w:r w:rsidRPr="00B85D62">
        <w:rPr>
          <w:rFonts w:cs="Arial"/>
          <w:highlight w:val="magenta"/>
        </w:rPr>
        <w:t>due to</w:t>
      </w:r>
      <w:r w:rsidRPr="00B85D62">
        <w:rPr>
          <w:rFonts w:cs="Arial"/>
        </w:rPr>
        <w:t xml:space="preserve"> a lack of information and engagement with the family. This would exert a </w:t>
      </w:r>
      <w:r w:rsidR="00B85D62" w:rsidRPr="00B85D62">
        <w:rPr>
          <w:rFonts w:cs="Arial"/>
          <w:color w:val="00B0F0"/>
        </w:rPr>
        <w:t>downwards</w:t>
      </w:r>
      <w:r w:rsidRPr="00B85D62">
        <w:rPr>
          <w:rFonts w:cs="Arial"/>
        </w:rPr>
        <w:t xml:space="preserve"> bias in our estimates of completion for indirectly contacted relatives. However, it is also likely that some indirect contacts which did not </w:t>
      </w:r>
      <w:r w:rsidRPr="00B85D62">
        <w:rPr>
          <w:rFonts w:cs="Arial"/>
          <w:highlight w:val="magenta"/>
        </w:rPr>
        <w:t>lead</w:t>
      </w:r>
      <w:r w:rsidRPr="00B85D62">
        <w:rPr>
          <w:rFonts w:cs="Arial"/>
        </w:rPr>
        <w:t xml:space="preserve"> to further interaction with the service went unrecorded. This would exert an </w:t>
      </w:r>
      <w:r w:rsidR="00B85D62" w:rsidRPr="00B85D62">
        <w:rPr>
          <w:rFonts w:cs="Arial"/>
          <w:color w:val="00B0F0"/>
        </w:rPr>
        <w:t>upwards</w:t>
      </w:r>
      <w:r w:rsidRPr="00B85D62">
        <w:rPr>
          <w:rFonts w:cs="Arial"/>
        </w:rPr>
        <w:t xml:space="preserve"> bias in our estimates of completion for indirectly contacted relatives.</w:t>
      </w:r>
    </w:p>
    <w:p w14:paraId="53B53FBB" w14:textId="77777777" w:rsidR="00B85D62" w:rsidRPr="00B85D62" w:rsidRDefault="009D354B" w:rsidP="00F947F9">
      <w:pPr>
        <w:jc w:val="both"/>
        <w:rPr>
          <w:rFonts w:eastAsia="Calibri" w:cs="Arial"/>
        </w:rPr>
      </w:pPr>
      <w:r w:rsidRPr="00B85D62">
        <w:rPr>
          <w:rFonts w:eastAsia="Calibri" w:cs="Arial"/>
        </w:rPr>
        <w:t xml:space="preserve">The uncertainty related to mode of contact also arose in the qualitative interview study. The study confirmed practising health professionals also experience direct contact as a more reliable, certain and successful method to use. This trend in favour of the greater effectiveness of direct approaches is consistent with a previous quantitative audit of FH nurse cascade testing </w:t>
      </w:r>
      <w:r w:rsidRPr="00B85D62">
        <w:rPr>
          <w:rFonts w:eastAsia="Calibri" w:cs="Arial"/>
          <w:noProof/>
          <w:vertAlign w:val="superscript"/>
        </w:rPr>
        <w:t>42</w:t>
      </w:r>
      <w:r w:rsidRPr="00B85D62">
        <w:rPr>
          <w:rFonts w:eastAsia="Calibri" w:cs="Arial"/>
        </w:rPr>
        <w:t xml:space="preserve">, and a recent systematic review </w:t>
      </w:r>
      <w:r w:rsidRPr="00B85D62">
        <w:rPr>
          <w:rFonts w:eastAsia="Calibri" w:cs="Arial"/>
          <w:noProof/>
          <w:vertAlign w:val="superscript"/>
        </w:rPr>
        <w:t>27</w:t>
      </w:r>
      <w:r w:rsidRPr="00B85D62">
        <w:rPr>
          <w:rFonts w:eastAsia="Calibri" w:cs="Arial"/>
        </w:rPr>
        <w:t xml:space="preserve">. In this study where family connections were strong, some index patients preferred to discuss testing with their relatives indirectly prior to a direct approach from a healthcare professional to prepare them. As other work has found, communication about genetic screening may happen informally within the family </w:t>
      </w:r>
      <w:r w:rsidR="00C35B5E" w:rsidRPr="00B85D62">
        <w:rPr>
          <w:rFonts w:eastAsia="Calibri" w:cs="Arial"/>
          <w:noProof/>
          <w:shd w:val="clear" w:color="auto" w:fill="E6E6E6"/>
          <w:vertAlign w:val="superscript"/>
        </w:rPr>
        <w:t>179</w:t>
      </w:r>
      <w:r w:rsidRPr="00B85D62">
        <w:rPr>
          <w:rFonts w:eastAsia="Calibri" w:cs="Arial"/>
        </w:rPr>
        <w:t xml:space="preserve">, and index patients may have more confidence communicating about FH testing to their families if they are well supported with information and education by a health professional </w:t>
      </w:r>
      <w:r w:rsidR="00C35B5E" w:rsidRPr="00B85D62">
        <w:rPr>
          <w:rFonts w:eastAsia="Calibri" w:cs="Arial"/>
          <w:noProof/>
          <w:shd w:val="clear" w:color="auto" w:fill="E6E6E6"/>
          <w:vertAlign w:val="superscript"/>
        </w:rPr>
        <w:t>176</w:t>
      </w:r>
      <w:r w:rsidRPr="00B85D62">
        <w:rPr>
          <w:rFonts w:eastAsia="Calibri" w:cs="Arial"/>
        </w:rPr>
        <w:t xml:space="preserve">. Nevertheless, using a solely indirect approach we and others </w:t>
      </w:r>
      <w:r w:rsidR="004372AB" w:rsidRPr="00B85D62">
        <w:rPr>
          <w:rFonts w:eastAsia="Calibri" w:cs="Arial"/>
          <w:noProof/>
          <w:shd w:val="clear" w:color="auto" w:fill="E6E6E6"/>
          <w:vertAlign w:val="superscript"/>
        </w:rPr>
        <w:t>95</w:t>
      </w:r>
      <w:r w:rsidR="00367549" w:rsidRPr="00B85D62">
        <w:rPr>
          <w:rFonts w:eastAsia="Calibri" w:cs="Arial"/>
          <w:shd w:val="clear" w:color="auto" w:fill="E6E6E6"/>
        </w:rPr>
        <w:t xml:space="preserve"> </w:t>
      </w:r>
      <w:r w:rsidRPr="00B85D62">
        <w:rPr>
          <w:rFonts w:eastAsia="Calibri" w:cs="Arial"/>
        </w:rPr>
        <w:t>have found some index patients frustrated trying to persuade relatives to engage with testing, fearful of relationship breakdown, and thus welcoming of direct specialist approaches to support them.</w:t>
      </w:r>
    </w:p>
    <w:p w14:paraId="2545B022" w14:textId="6C45FAD9" w:rsidR="009D354B" w:rsidRPr="00B85D62" w:rsidRDefault="009D354B" w:rsidP="00F947F9">
      <w:pPr>
        <w:jc w:val="both"/>
        <w:rPr>
          <w:rFonts w:eastAsia="Calibri" w:cs="Arial"/>
          <w:b/>
        </w:rPr>
      </w:pPr>
      <w:r w:rsidRPr="00B85D62">
        <w:rPr>
          <w:rFonts w:eastAsia="Calibri" w:cs="Arial"/>
          <w:b/>
        </w:rPr>
        <w:t>Treatment patterns, short &amp; long term outcomes</w:t>
      </w:r>
    </w:p>
    <w:p w14:paraId="15A3E3F2" w14:textId="102430F9" w:rsidR="00B85D62" w:rsidRPr="00B85D62" w:rsidRDefault="009D354B" w:rsidP="00F947F9">
      <w:pPr>
        <w:rPr>
          <w:rFonts w:eastAsia="Arial" w:cs="Arial"/>
        </w:rPr>
      </w:pPr>
      <w:r w:rsidRPr="00B85D62">
        <w:rPr>
          <w:rFonts w:eastAsia="Arial" w:cs="Arial"/>
        </w:rPr>
        <w:t xml:space="preserve">Our results for the LDL-C response to treatment analysis are in line with the FH 2010 audit </w:t>
      </w:r>
      <w:r w:rsidRPr="00B85D62">
        <w:rPr>
          <w:rFonts w:eastAsia="Arial" w:cs="Arial"/>
          <w:noProof/>
          <w:vertAlign w:val="superscript"/>
        </w:rPr>
        <w:t>8</w:t>
      </w:r>
      <w:r w:rsidRPr="00B85D62">
        <w:rPr>
          <w:rFonts w:eastAsia="Arial" w:cs="Arial"/>
        </w:rPr>
        <w:t xml:space="preserve"> where a mean reduction in LDL-C (in mmol/l) of 37%, median 33%, was found. Nevertheless, our estimate of approximately 30% of individuals achieving the </w:t>
      </w:r>
      <w:r w:rsidR="00B85D62" w:rsidRPr="00B85D62">
        <w:rPr>
          <w:rFonts w:eastAsia="Arial" w:cs="Arial"/>
          <w:color w:val="00B0F0"/>
        </w:rPr>
        <w:t>≥</w:t>
      </w:r>
      <w:r w:rsidR="00B85D62" w:rsidRPr="00B85D62">
        <w:rPr>
          <w:rFonts w:eastAsia="Arial" w:cs="Arial"/>
          <w:color w:val="00B0F0"/>
        </w:rPr>
        <w:t> </w:t>
      </w:r>
      <w:r w:rsidR="00B85D62" w:rsidRPr="00B85D62">
        <w:rPr>
          <w:rFonts w:eastAsia="Arial" w:cs="Arial"/>
          <w:color w:val="00B0F0"/>
        </w:rPr>
        <w:t>5</w:t>
      </w:r>
      <w:r w:rsidRPr="00B85D62">
        <w:rPr>
          <w:rFonts w:eastAsia="Arial" w:cs="Arial"/>
        </w:rPr>
        <w:t>0% LDL-C reduction target, falls short from what the same national audit concluded (44%), but it is above figures recently reported elsewhere (19.6%</w:t>
      </w:r>
      <w:r w:rsidR="00C35B5E" w:rsidRPr="00B85D62">
        <w:rPr>
          <w:rFonts w:eastAsia="Arial" w:cs="Arial"/>
          <w:noProof/>
          <w:shd w:val="clear" w:color="auto" w:fill="E6E6E6"/>
          <w:vertAlign w:val="superscript"/>
        </w:rPr>
        <w:t>180</w:t>
      </w:r>
      <w:r w:rsidRPr="00B85D62">
        <w:rPr>
          <w:rFonts w:eastAsia="Arial" w:cs="Arial"/>
        </w:rPr>
        <w:t>).</w:t>
      </w:r>
    </w:p>
    <w:p w14:paraId="1DA51808" w14:textId="37F25465" w:rsidR="00B85D62" w:rsidRPr="00B85D62" w:rsidRDefault="009D354B" w:rsidP="00F947F9">
      <w:pPr>
        <w:rPr>
          <w:rFonts w:eastAsia="Arial" w:cs="Arial"/>
        </w:rPr>
      </w:pPr>
      <w:r w:rsidRPr="00B85D62">
        <w:rPr>
          <w:rFonts w:eastAsia="Arial" w:cs="Arial"/>
        </w:rPr>
        <w:t>As highlighted in Bianconi</w:t>
      </w:r>
      <w:r w:rsidRPr="00B85D62">
        <w:rPr>
          <w:rFonts w:eastAsia="Arial" w:cs="Arial"/>
          <w:i/>
          <w:color w:val="00B0F0"/>
        </w:rPr>
        <w:t xml:space="preserve"> et al</w:t>
      </w:r>
      <w:r w:rsidR="00C35B5E" w:rsidRPr="00B85D62">
        <w:rPr>
          <w:rFonts w:eastAsia="Arial" w:cs="Arial"/>
          <w:noProof/>
          <w:shd w:val="clear" w:color="auto" w:fill="E6E6E6"/>
          <w:vertAlign w:val="superscript"/>
        </w:rPr>
        <w:t>181</w:t>
      </w:r>
      <w:r w:rsidRPr="00B85D62">
        <w:rPr>
          <w:rFonts w:eastAsia="Arial" w:cs="Arial"/>
        </w:rPr>
        <w:t>, different traditional predictors of cardiovascular risk have been investigated in the literature</w:t>
      </w:r>
      <w:r w:rsidR="00C35B5E" w:rsidRPr="00B85D62">
        <w:rPr>
          <w:rFonts w:eastAsia="Arial" w:cs="Arial"/>
          <w:noProof/>
          <w:shd w:val="clear" w:color="auto" w:fill="E6E6E6"/>
          <w:vertAlign w:val="superscript"/>
        </w:rPr>
        <w:t>182, 183</w:t>
      </w:r>
      <w:r w:rsidRPr="00B85D62">
        <w:rPr>
          <w:rFonts w:eastAsia="Arial" w:cs="Arial"/>
        </w:rPr>
        <w:t xml:space="preserve">. LDL-C has been unequivocally associated with a premature atherosclerosis onset and an increased risk of CVD </w:t>
      </w:r>
      <w:r w:rsidR="00C35B5E" w:rsidRPr="00B85D62">
        <w:rPr>
          <w:rFonts w:eastAsia="Arial" w:cs="Arial"/>
          <w:noProof/>
          <w:shd w:val="clear" w:color="auto" w:fill="E6E6E6"/>
          <w:vertAlign w:val="superscript"/>
        </w:rPr>
        <w:t>184</w:t>
      </w:r>
      <w:r w:rsidR="00B85D62" w:rsidRPr="00B85D62">
        <w:rPr>
          <w:rFonts w:eastAsia="Arial" w:cs="Arial"/>
          <w:noProof/>
          <w:color w:val="00B0F0"/>
          <w:shd w:val="clear" w:color="auto" w:fill="E6E6E6"/>
          <w:vertAlign w:val="superscript"/>
        </w:rPr>
        <w:t>–</w:t>
      </w:r>
      <w:r w:rsidR="00B85D62" w:rsidRPr="00B85D62">
        <w:rPr>
          <w:rFonts w:eastAsia="Arial" w:cs="Arial"/>
          <w:noProof/>
          <w:color w:val="00B0F0"/>
          <w:shd w:val="clear" w:color="auto" w:fill="E6E6E6"/>
          <w:vertAlign w:val="superscript"/>
        </w:rPr>
        <w:t>1</w:t>
      </w:r>
      <w:r w:rsidR="00C35B5E" w:rsidRPr="00B85D62">
        <w:rPr>
          <w:rFonts w:eastAsia="Arial" w:cs="Arial"/>
          <w:noProof/>
          <w:shd w:val="clear" w:color="auto" w:fill="E6E6E6"/>
          <w:vertAlign w:val="superscript"/>
        </w:rPr>
        <w:t>86</w:t>
      </w:r>
      <w:r w:rsidRPr="00B85D62">
        <w:rPr>
          <w:rFonts w:eastAsia="Arial" w:cs="Arial"/>
        </w:rPr>
        <w:t xml:space="preserve"> and our findings confirmed that. Age is considered one of the strongest independent predictors of </w:t>
      </w:r>
      <w:r w:rsidR="003F354F" w:rsidRPr="00B85D62">
        <w:rPr>
          <w:rFonts w:eastAsia="Arial" w:cs="Arial"/>
        </w:rPr>
        <w:t>CVD</w:t>
      </w:r>
      <w:r w:rsidRPr="00B85D62">
        <w:rPr>
          <w:rFonts w:eastAsia="Arial" w:cs="Arial"/>
        </w:rPr>
        <w:t xml:space="preserve">, while a debate is still ongoing about whether gender is an independent predictor of CVD in this population. Our CVD risk modelling indicates that an age dependency of risk exists in this population, potentially accelerated </w:t>
      </w:r>
      <w:r w:rsidRPr="00B85D62">
        <w:rPr>
          <w:rFonts w:eastAsia="Arial" w:cs="Arial"/>
          <w:highlight w:val="magenta"/>
        </w:rPr>
        <w:t>compared to</w:t>
      </w:r>
      <w:r w:rsidRPr="00B85D62">
        <w:rPr>
          <w:rFonts w:eastAsia="Arial" w:cs="Arial"/>
        </w:rPr>
        <w:t xml:space="preserve"> the general population. The same was observed previously in the Simon Broome Register</w:t>
      </w:r>
      <w:r w:rsidR="00C35B5E" w:rsidRPr="00B85D62">
        <w:rPr>
          <w:rFonts w:eastAsia="Arial" w:cs="Arial"/>
          <w:noProof/>
          <w:shd w:val="clear" w:color="auto" w:fill="E6E6E6"/>
          <w:vertAlign w:val="superscript"/>
        </w:rPr>
        <w:t>187</w:t>
      </w:r>
      <w:r w:rsidRPr="00B85D62">
        <w:rPr>
          <w:rFonts w:eastAsia="Arial" w:cs="Arial"/>
        </w:rPr>
        <w:t xml:space="preserve"> and in Perak</w:t>
      </w:r>
      <w:r w:rsidRPr="00B85D62">
        <w:rPr>
          <w:rFonts w:eastAsia="Arial" w:cs="Arial"/>
          <w:i/>
          <w:color w:val="00B0F0"/>
        </w:rPr>
        <w:t xml:space="preserve"> et al</w:t>
      </w:r>
      <w:r w:rsidRPr="00B85D62">
        <w:rPr>
          <w:rFonts w:eastAsia="Arial" w:cs="Arial"/>
        </w:rPr>
        <w:t xml:space="preserve"> </w:t>
      </w:r>
      <w:r w:rsidR="00C35B5E" w:rsidRPr="00B85D62">
        <w:rPr>
          <w:rFonts w:eastAsia="Arial" w:cs="Arial"/>
          <w:noProof/>
          <w:shd w:val="clear" w:color="auto" w:fill="E6E6E6"/>
          <w:vertAlign w:val="superscript"/>
        </w:rPr>
        <w:t>105</w:t>
      </w:r>
      <w:r w:rsidRPr="00B85D62">
        <w:rPr>
          <w:rFonts w:eastAsia="Arial" w:cs="Arial"/>
        </w:rPr>
        <w:t xml:space="preserve">. A recent systematic review </w:t>
      </w:r>
      <w:r w:rsidR="00C35B5E" w:rsidRPr="00B85D62">
        <w:rPr>
          <w:rFonts w:eastAsia="Arial" w:cs="Arial"/>
          <w:noProof/>
          <w:shd w:val="clear" w:color="auto" w:fill="E6E6E6"/>
          <w:vertAlign w:val="superscript"/>
        </w:rPr>
        <w:t>188</w:t>
      </w:r>
      <w:r w:rsidRPr="00B85D62">
        <w:rPr>
          <w:rFonts w:eastAsia="Arial" w:cs="Arial"/>
        </w:rPr>
        <w:t xml:space="preserve"> presented similar findings to ours with most studies identifying that men had a ~2.5-fold higher CVD risk compared with women, although the magnitude of the difference varied by study.</w:t>
      </w:r>
    </w:p>
    <w:p w14:paraId="1350087F" w14:textId="2CDA8533" w:rsidR="00B85D62" w:rsidRPr="00B85D62" w:rsidRDefault="009D354B" w:rsidP="00F947F9">
      <w:pPr>
        <w:rPr>
          <w:rFonts w:eastAsia="Arial" w:cs="Arial"/>
        </w:rPr>
      </w:pPr>
      <w:r w:rsidRPr="00B85D62">
        <w:rPr>
          <w:rFonts w:eastAsia="Arial" w:cs="Arial"/>
        </w:rPr>
        <w:t>As reported in Bianconi</w:t>
      </w:r>
      <w:r w:rsidRPr="00B85D62">
        <w:rPr>
          <w:rFonts w:eastAsia="Arial" w:cs="Arial"/>
          <w:i/>
          <w:color w:val="00B0F0"/>
        </w:rPr>
        <w:t xml:space="preserve"> et al</w:t>
      </w:r>
      <w:r w:rsidRPr="00B85D62">
        <w:rPr>
          <w:rFonts w:eastAsia="Arial" w:cs="Arial"/>
        </w:rPr>
        <w:t xml:space="preserve"> </w:t>
      </w:r>
      <w:r w:rsidR="00C35B5E" w:rsidRPr="00B85D62">
        <w:rPr>
          <w:rFonts w:eastAsia="Arial" w:cs="Arial"/>
          <w:noProof/>
          <w:shd w:val="clear" w:color="auto" w:fill="E6E6E6"/>
          <w:vertAlign w:val="superscript"/>
        </w:rPr>
        <w:t>181</w:t>
      </w:r>
      <w:r w:rsidRPr="00B85D62">
        <w:rPr>
          <w:rFonts w:eastAsia="Arial" w:cs="Arial"/>
        </w:rPr>
        <w:t xml:space="preserve">, having a history of previous CVD events in FH patients may confer a higher CVD risk. Among treated FH patients, lower risk estimates have emerged in the literature for primary prevention groups </w:t>
      </w:r>
      <w:r w:rsidRPr="00B85D62">
        <w:rPr>
          <w:rFonts w:eastAsia="Arial" w:cs="Arial"/>
          <w:highlight w:val="magenta"/>
        </w:rPr>
        <w:t>compared to</w:t>
      </w:r>
      <w:r w:rsidRPr="00B85D62">
        <w:rPr>
          <w:rFonts w:eastAsia="Arial" w:cs="Arial"/>
        </w:rPr>
        <w:t xml:space="preserve"> secondary prevention groups, with, for instance, the </w:t>
      </w:r>
      <w:r w:rsidR="00B85D62" w:rsidRPr="00B85D62">
        <w:rPr>
          <w:rFonts w:eastAsia="Arial" w:cs="Arial"/>
          <w:color w:val="00B0F0"/>
        </w:rPr>
        <w:t>standardised</w:t>
      </w:r>
      <w:r w:rsidRPr="00B85D62">
        <w:rPr>
          <w:rFonts w:eastAsia="Arial" w:cs="Arial"/>
        </w:rPr>
        <w:t xml:space="preserve"> mortality ratio for CHD ranging from 1.03, among people with FH without previous CVD events (primary prevention), to 5.15 in FH patients with previous CVD events (secondary prevention) </w:t>
      </w:r>
      <w:r w:rsidR="00C35B5E" w:rsidRPr="00B85D62">
        <w:rPr>
          <w:rFonts w:eastAsia="Arial" w:cs="Arial"/>
          <w:noProof/>
          <w:shd w:val="clear" w:color="auto" w:fill="E6E6E6"/>
          <w:vertAlign w:val="superscript"/>
        </w:rPr>
        <w:t>189</w:t>
      </w:r>
      <w:r w:rsidRPr="00B85D62">
        <w:rPr>
          <w:rFonts w:eastAsia="Arial" w:cs="Arial"/>
        </w:rPr>
        <w:t>. Our findings reinforce history of CVD as being one of the key predictors of cardiovascular risk.</w:t>
      </w:r>
    </w:p>
    <w:p w14:paraId="4DA787E2" w14:textId="6197B037" w:rsidR="009D354B" w:rsidRPr="00B85D62" w:rsidRDefault="009D354B" w:rsidP="00F947F9">
      <w:pPr>
        <w:rPr>
          <w:rFonts w:cs="Arial"/>
          <w:b/>
        </w:rPr>
      </w:pPr>
      <w:r w:rsidRPr="00B85D62">
        <w:rPr>
          <w:rFonts w:cs="Arial"/>
          <w:b/>
        </w:rPr>
        <w:t>Cost-effectiveness of alternative protocols</w:t>
      </w:r>
    </w:p>
    <w:p w14:paraId="3BF22265" w14:textId="6FBBFC90" w:rsidR="00E83375" w:rsidRPr="00B85D62" w:rsidRDefault="009D354B" w:rsidP="00F947F9">
      <w:pPr>
        <w:rPr>
          <w:highlight w:val="green"/>
        </w:rPr>
      </w:pPr>
      <w:r w:rsidRPr="00B85D62">
        <w:rPr>
          <w:rStyle w:val="normaltextrun"/>
          <w:rFonts w:cs="Arial"/>
          <w:shd w:val="clear" w:color="auto" w:fill="FFFFFF"/>
        </w:rPr>
        <w:t xml:space="preserve">Previous cost-effectiveness analyses of screening have estimated the lifetime costs and health outcomes of diagnosis and treatment </w:t>
      </w:r>
      <w:r w:rsidRPr="00B85D62">
        <w:rPr>
          <w:rStyle w:val="normaltextrun"/>
          <w:rFonts w:cs="Arial"/>
          <w:shd w:val="clear" w:color="auto" w:fill="E1E3E6"/>
          <w:vertAlign w:val="superscript"/>
        </w:rPr>
        <w:t>11</w:t>
      </w:r>
      <w:r w:rsidR="00B85D62" w:rsidRPr="00B85D62">
        <w:rPr>
          <w:rStyle w:val="normaltextrun"/>
          <w:rFonts w:cs="Arial"/>
          <w:color w:val="00B0F0"/>
          <w:shd w:val="clear" w:color="auto" w:fill="E1E3E6"/>
          <w:vertAlign w:val="superscript"/>
        </w:rPr>
        <w:t>–</w:t>
      </w:r>
      <w:r w:rsidR="00B85D62" w:rsidRPr="00B85D62">
        <w:rPr>
          <w:rStyle w:val="normaltextrun"/>
          <w:rFonts w:cs="Arial"/>
          <w:color w:val="00B0F0"/>
          <w:shd w:val="clear" w:color="auto" w:fill="E1E3E6"/>
          <w:vertAlign w:val="superscript"/>
        </w:rPr>
        <w:t>1</w:t>
      </w:r>
      <w:r w:rsidRPr="00B85D62">
        <w:rPr>
          <w:rStyle w:val="normaltextrun"/>
          <w:rFonts w:cs="Arial"/>
          <w:shd w:val="clear" w:color="auto" w:fill="E1E3E6"/>
          <w:vertAlign w:val="superscript"/>
        </w:rPr>
        <w:t>3, 26, 117, 149</w:t>
      </w:r>
      <w:r w:rsidR="00B85D62" w:rsidRPr="00B85D62">
        <w:rPr>
          <w:rStyle w:val="normaltextrun"/>
          <w:rFonts w:cs="Arial"/>
          <w:color w:val="00B0F0"/>
          <w:shd w:val="clear" w:color="auto" w:fill="E1E3E6"/>
          <w:vertAlign w:val="superscript"/>
        </w:rPr>
        <w:t>–</w:t>
      </w:r>
      <w:r w:rsidR="00B85D62" w:rsidRPr="00B85D62">
        <w:rPr>
          <w:rStyle w:val="normaltextrun"/>
          <w:rFonts w:cs="Arial"/>
          <w:color w:val="00B0F0"/>
          <w:shd w:val="clear" w:color="auto" w:fill="E1E3E6"/>
          <w:vertAlign w:val="superscript"/>
        </w:rPr>
        <w:t>1</w:t>
      </w:r>
      <w:r w:rsidRPr="00B85D62">
        <w:rPr>
          <w:rStyle w:val="normaltextrun"/>
          <w:rFonts w:cs="Arial"/>
          <w:shd w:val="clear" w:color="auto" w:fill="E1E3E6"/>
          <w:vertAlign w:val="superscript"/>
        </w:rPr>
        <w:t>53</w:t>
      </w:r>
      <w:r w:rsidRPr="00B85D62">
        <w:rPr>
          <w:rStyle w:val="normaltextrun"/>
          <w:rFonts w:cs="Arial"/>
          <w:shd w:val="clear" w:color="auto" w:fill="FFFFFF"/>
        </w:rPr>
        <w:t xml:space="preserve">. As all concluded that cascade is cost-effective </w:t>
      </w:r>
      <w:r w:rsidRPr="00B85D62">
        <w:rPr>
          <w:rStyle w:val="normaltextrun"/>
          <w:rFonts w:cs="Arial"/>
          <w:highlight w:val="magenta"/>
          <w:shd w:val="clear" w:color="auto" w:fill="FFFFFF"/>
        </w:rPr>
        <w:t>compared to</w:t>
      </w:r>
      <w:r w:rsidRPr="00B85D62">
        <w:rPr>
          <w:rStyle w:val="normaltextrun"/>
          <w:rFonts w:cs="Arial"/>
          <w:shd w:val="clear" w:color="auto" w:fill="FFFFFF"/>
        </w:rPr>
        <w:t xml:space="preserve"> no cascade, we can </w:t>
      </w:r>
      <w:r w:rsidRPr="00B85D62">
        <w:rPr>
          <w:rStyle w:val="normaltextrun"/>
          <w:rFonts w:cs="Arial"/>
          <w:highlight w:val="magenta"/>
          <w:shd w:val="clear" w:color="auto" w:fill="FFFFFF"/>
        </w:rPr>
        <w:t>infer</w:t>
      </w:r>
      <w:r w:rsidRPr="00B85D62">
        <w:rPr>
          <w:rStyle w:val="normaltextrun"/>
          <w:rFonts w:cs="Arial"/>
          <w:shd w:val="clear" w:color="auto" w:fill="FFFFFF"/>
        </w:rPr>
        <w:t xml:space="preserve"> that diagnosis and treatment was found to be cost-effective, which is in line with our results. More specific comparisons are difficult because the previous studies did not consider the same subgroups or compare the same range of cascade protocols as our study.</w:t>
      </w:r>
      <w:r w:rsidR="007B65E8" w:rsidRPr="00B85D62">
        <w:rPr>
          <w:rStyle w:val="normaltextrun"/>
          <w:rFonts w:cs="Arial"/>
          <w:shd w:val="clear" w:color="auto" w:fill="FFFFFF"/>
        </w:rPr>
        <w:t xml:space="preserve"> </w:t>
      </w:r>
      <w:r w:rsidR="00BC26DE" w:rsidRPr="00B85D62">
        <w:t>For example, in terms of the selection of index cases to the genetic test, similar to Crosland</w:t>
      </w:r>
      <w:r w:rsidR="00BC26DE" w:rsidRPr="00B85D62">
        <w:rPr>
          <w:i/>
          <w:color w:val="00B0F0"/>
        </w:rPr>
        <w:t xml:space="preserve"> et al</w:t>
      </w:r>
      <w:r w:rsidR="00BC26DE" w:rsidRPr="00B85D62">
        <w:t>, we found that less restrictive clinical score cut-offs were a net health gain to the NHS</w:t>
      </w:r>
      <w:r w:rsidR="00C35B5E" w:rsidRPr="00B85D62">
        <w:rPr>
          <w:noProof/>
          <w:vertAlign w:val="superscript"/>
        </w:rPr>
        <w:t>140</w:t>
      </w:r>
      <w:r w:rsidR="00A032C1" w:rsidRPr="00B85D62">
        <w:t>.</w:t>
      </w:r>
      <w:r w:rsidR="00BC26DE" w:rsidRPr="00B85D62">
        <w:t xml:space="preserve"> Crosland</w:t>
      </w:r>
      <w:r w:rsidR="00BC26DE" w:rsidRPr="00B85D62">
        <w:rPr>
          <w:i/>
          <w:color w:val="00B0F0"/>
        </w:rPr>
        <w:t xml:space="preserve"> et al</w:t>
      </w:r>
      <w:r w:rsidR="00BC26DE" w:rsidRPr="00B85D62">
        <w:t xml:space="preserve"> estimated that the cost of cascade testing relatives with the genetic test was £191 per relative (2016 prices)</w:t>
      </w:r>
      <w:r w:rsidR="00C35B5E" w:rsidRPr="00B85D62">
        <w:rPr>
          <w:noProof/>
          <w:vertAlign w:val="superscript"/>
        </w:rPr>
        <w:t>140</w:t>
      </w:r>
      <w:r w:rsidR="00B85D62" w:rsidRPr="00B85D62">
        <w:rPr>
          <w:color w:val="00B0F0"/>
        </w:rPr>
        <w:t>,</w:t>
      </w:r>
      <w:r w:rsidR="00BC26DE" w:rsidRPr="00B85D62">
        <w:t xml:space="preserve"> while our model estimated £179-£192 per relative tested depending on the type of cascade (sequential or simultaneous) and the method of contact (direct or indirect) at 2019 prices. In Nherera</w:t>
      </w:r>
      <w:r w:rsidR="00BC26DE" w:rsidRPr="00B85D62">
        <w:rPr>
          <w:i/>
          <w:color w:val="00B0F0"/>
        </w:rPr>
        <w:t xml:space="preserve"> et al</w:t>
      </w:r>
      <w:r w:rsidR="00BC26DE" w:rsidRPr="00B85D62">
        <w:t xml:space="preserve">, a testing strategy using only LDL-Cholesterol to diagnose relatives had a sensitivity of 0.64 and specificity of 0.84 (age-averaged estimate; </w:t>
      </w:r>
      <w:r w:rsidR="007B65E8" w:rsidRPr="00B85D62">
        <w:t xml:space="preserve">LDL-Cholesterol </w:t>
      </w:r>
      <w:r w:rsidR="00BC26DE" w:rsidRPr="00B85D62">
        <w:t xml:space="preserve">cut-off not reported), based on an analysis of </w:t>
      </w:r>
      <w:r w:rsidR="00BC26DE" w:rsidRPr="00B85D62">
        <w:rPr>
          <w:highlight w:val="magenta"/>
        </w:rPr>
        <w:t>data</w:t>
      </w:r>
      <w:r w:rsidR="00BC26DE" w:rsidRPr="00B85D62">
        <w:t xml:space="preserve"> from the Dutch cascade programme</w:t>
      </w:r>
      <w:r w:rsidR="00B6413D" w:rsidRPr="00B85D62">
        <w:rPr>
          <w:noProof/>
          <w:vertAlign w:val="superscript"/>
        </w:rPr>
        <w:t>26</w:t>
      </w:r>
      <w:r w:rsidR="00BC26DE" w:rsidRPr="00B85D62">
        <w:t xml:space="preserve">. This is approximately in line with the results from our cost-effectiveness model, if using </w:t>
      </w:r>
      <w:r w:rsidR="00BC26DE" w:rsidRPr="00B85D62">
        <w:rPr>
          <w:highlight w:val="magenta"/>
        </w:rPr>
        <w:t xml:space="preserve">an </w:t>
      </w:r>
      <w:r w:rsidR="007B65E8" w:rsidRPr="00B85D62">
        <w:rPr>
          <w:highlight w:val="magenta"/>
        </w:rPr>
        <w:t>L</w:t>
      </w:r>
      <w:r w:rsidR="007B65E8" w:rsidRPr="00B85D62">
        <w:t xml:space="preserve">DL-Cholesterol </w:t>
      </w:r>
      <w:r w:rsidR="00BC26DE" w:rsidRPr="00B85D62">
        <w:t>cut-off of 4 mmol/L, with a sensitivity of 0.71 and a specificity of 0.80 if the same cut-off is used for all relatives.</w:t>
      </w:r>
    </w:p>
    <w:p w14:paraId="7D6C87FA" w14:textId="77777777" w:rsidR="00982DFE" w:rsidRPr="00B85D62" w:rsidRDefault="00982DFE" w:rsidP="00F947F9">
      <w:pPr>
        <w:rPr>
          <w:highlight w:val="green"/>
        </w:rPr>
      </w:pPr>
    </w:p>
    <w:p w14:paraId="3E9F6D31" w14:textId="015CECCC" w:rsidR="00982DFE" w:rsidRPr="00B85D62" w:rsidRDefault="00982DFE" w:rsidP="006C7E71">
      <w:pPr>
        <w:pStyle w:val="Heading2"/>
      </w:pPr>
      <w:bookmarkStart w:id="276" w:name="_Toc107157520"/>
      <w:r w:rsidRPr="00B85D62">
        <w:t>Strength and Limitations</w:t>
      </w:r>
      <w:bookmarkEnd w:id="276"/>
    </w:p>
    <w:p w14:paraId="659873C5" w14:textId="484CC2DF" w:rsidR="00B85D62" w:rsidRPr="00B85D62" w:rsidRDefault="00E83375" w:rsidP="00F947F9">
      <w:pPr>
        <w:rPr>
          <w:rStyle w:val="eop"/>
          <w:shd w:val="clear" w:color="auto" w:fill="FFFFFF"/>
        </w:rPr>
      </w:pPr>
      <w:r w:rsidRPr="00B85D62">
        <w:rPr>
          <w:rStyle w:val="normaltextrun"/>
          <w:shd w:val="clear" w:color="auto" w:fill="FFFFFF"/>
        </w:rPr>
        <w:t>Overall, as demonstrated by the systematic reviews, the available evidence to parameterise the economic models was limited. Therefore, the cost-effectiveness models mostly relied on the evidence from the administrative</w:t>
      </w:r>
      <w:r w:rsidR="007B65E8" w:rsidRPr="00B85D62">
        <w:rPr>
          <w:rStyle w:val="normaltextrun"/>
          <w:shd w:val="clear" w:color="auto" w:fill="FFFFFF"/>
        </w:rPr>
        <w:t>/routine service</w:t>
      </w:r>
      <w:r w:rsidRPr="00B85D62">
        <w:rPr>
          <w:rStyle w:val="normaltextrun"/>
          <w:shd w:val="clear" w:color="auto" w:fill="FFFFFF"/>
        </w:rPr>
        <w:t xml:space="preserve"> databases included in this study, combined with stakeholder input, and some external </w:t>
      </w:r>
      <w:r w:rsidRPr="00B85D62">
        <w:rPr>
          <w:rStyle w:val="normaltextrun"/>
          <w:highlight w:val="magenta"/>
          <w:shd w:val="clear" w:color="auto" w:fill="FFFFFF"/>
        </w:rPr>
        <w:t>data</w:t>
      </w:r>
      <w:r w:rsidRPr="00B85D62">
        <w:rPr>
          <w:rStyle w:val="normaltextrun"/>
          <w:shd w:val="clear" w:color="auto" w:fill="FFFFFF"/>
        </w:rPr>
        <w:t xml:space="preserve"> (e.g., Dutch FH service) and literature (e.g., relationship between exposure to raised LDL-C over time and CVD risk</w:t>
      </w:r>
      <w:r w:rsidR="00B6413D" w:rsidRPr="00B85D62">
        <w:rPr>
          <w:rStyle w:val="normaltextrun"/>
          <w:noProof/>
          <w:shd w:val="clear" w:color="auto" w:fill="FFFFFF"/>
          <w:vertAlign w:val="superscript"/>
        </w:rPr>
        <w:t>17</w:t>
      </w:r>
      <w:r w:rsidR="00555567" w:rsidRPr="00B85D62">
        <w:rPr>
          <w:rStyle w:val="normaltextrun"/>
          <w:shd w:val="clear" w:color="auto" w:fill="FFFFFF"/>
        </w:rPr>
        <w:t>)</w:t>
      </w:r>
      <w:r w:rsidRPr="00B85D62">
        <w:rPr>
          <w:rStyle w:val="normaltextrun"/>
          <w:shd w:val="clear" w:color="auto" w:fill="FFFFFF"/>
        </w:rPr>
        <w:t>.</w:t>
      </w:r>
      <w:r w:rsidR="00B85D62" w:rsidRPr="00B85D62">
        <w:rPr>
          <w:rStyle w:val="normaltextrun"/>
          <w:shd w:val="clear" w:color="auto" w:fill="FFFFFF"/>
        </w:rPr>
        <w:t xml:space="preserve"> </w:t>
      </w:r>
      <w:r w:rsidRPr="00B85D62">
        <w:rPr>
          <w:rStyle w:val="normaltextrun"/>
          <w:shd w:val="clear" w:color="auto" w:fill="FFFFFF"/>
        </w:rPr>
        <w:t>Further some parameters in</w:t>
      </w:r>
      <w:r w:rsidR="00B85D62" w:rsidRPr="00B85D62">
        <w:rPr>
          <w:rStyle w:val="normaltextrun"/>
          <w:shd w:val="clear" w:color="auto" w:fill="FFFFFF"/>
        </w:rPr>
        <w:t xml:space="preserve"> </w:t>
      </w:r>
      <w:r w:rsidRPr="00B85D62">
        <w:rPr>
          <w:rStyle w:val="normaltextrun"/>
          <w:shd w:val="clear" w:color="auto" w:fill="FFFFFF"/>
        </w:rPr>
        <w:t xml:space="preserve">the databases were poorly reported or missing (e.g., the </w:t>
      </w:r>
      <w:r w:rsidRPr="00B85D62">
        <w:rPr>
          <w:rStyle w:val="normaltextrun"/>
          <w:highlight w:val="magenta"/>
          <w:shd w:val="clear" w:color="auto" w:fill="FFFFFF"/>
        </w:rPr>
        <w:t>data</w:t>
      </w:r>
      <w:r w:rsidRPr="00B85D62">
        <w:rPr>
          <w:rStyle w:val="normaltextrun"/>
          <w:shd w:val="clear" w:color="auto" w:fill="FFFFFF"/>
        </w:rPr>
        <w:t xml:space="preserve"> from the Scottish FH Service could not be used; in the PASS Welsh and Wessex databases, there was limited </w:t>
      </w:r>
      <w:r w:rsidRPr="00B85D62">
        <w:rPr>
          <w:rStyle w:val="normaltextrun"/>
          <w:highlight w:val="magenta"/>
          <w:shd w:val="clear" w:color="auto" w:fill="FFFFFF"/>
        </w:rPr>
        <w:t>data</w:t>
      </w:r>
      <w:r w:rsidRPr="00B85D62">
        <w:rPr>
          <w:rStyle w:val="normaltextrun"/>
          <w:shd w:val="clear" w:color="auto" w:fill="FFFFFF"/>
        </w:rPr>
        <w:t xml:space="preserve"> about relatives</w:t>
      </w:r>
      <w:r w:rsidR="00B85D62" w:rsidRPr="00B85D62">
        <w:rPr>
          <w:rStyle w:val="normaltextrun"/>
          <w:shd w:val="clear" w:color="auto" w:fill="FFFFFF"/>
        </w:rPr>
        <w:t>’</w:t>
      </w:r>
      <w:r w:rsidRPr="00B85D62">
        <w:rPr>
          <w:rStyle w:val="normaltextrun"/>
          <w:shd w:val="clear" w:color="auto" w:fill="FFFFFF"/>
        </w:rPr>
        <w:t xml:space="preserve"> LDL-cholesterol). However by using multiple </w:t>
      </w:r>
      <w:r w:rsidRPr="00B85D62">
        <w:rPr>
          <w:rStyle w:val="normaltextrun"/>
          <w:highlight w:val="magenta"/>
          <w:shd w:val="clear" w:color="auto" w:fill="FFFFFF"/>
        </w:rPr>
        <w:t>data</w:t>
      </w:r>
      <w:r w:rsidRPr="00B85D62">
        <w:rPr>
          <w:rStyle w:val="normaltextrun"/>
          <w:shd w:val="clear" w:color="auto" w:fill="FFFFFF"/>
        </w:rPr>
        <w:t xml:space="preserve"> sources and regular stakeholder input, combined with threshold analysis and relevant sensitivity analyses, has improved the robustness of the models. There is little representation of different ethnic groups in the qualitative study and </w:t>
      </w:r>
      <w:r w:rsidR="00B85D62" w:rsidRPr="00B85D62">
        <w:rPr>
          <w:rStyle w:val="normaltextrun"/>
          <w:color w:val="00B0F0"/>
          <w:highlight w:val="magenta"/>
          <w:shd w:val="clear" w:color="auto" w:fill="FFFFFF"/>
        </w:rPr>
        <w:t>data</w:t>
      </w:r>
      <w:r w:rsidR="00B85D62" w:rsidRPr="00B85D62">
        <w:rPr>
          <w:rStyle w:val="normaltextrun"/>
          <w:color w:val="00B0F0"/>
          <w:shd w:val="clear" w:color="auto" w:fill="FFFFFF"/>
        </w:rPr>
        <w:t xml:space="preserve"> set</w:t>
      </w:r>
      <w:r w:rsidRPr="00B85D62">
        <w:rPr>
          <w:rStyle w:val="normaltextrun"/>
          <w:shd w:val="clear" w:color="auto" w:fill="FFFFFF"/>
        </w:rPr>
        <w:t xml:space="preserve">s we examined in this report, and we are unaware of any published </w:t>
      </w:r>
      <w:r w:rsidRPr="00B85D62">
        <w:rPr>
          <w:rStyle w:val="normaltextrun"/>
          <w:highlight w:val="magenta"/>
          <w:shd w:val="clear" w:color="auto" w:fill="FFFFFF"/>
        </w:rPr>
        <w:t>data</w:t>
      </w:r>
      <w:r w:rsidRPr="00B85D62">
        <w:rPr>
          <w:rStyle w:val="normaltextrun"/>
          <w:shd w:val="clear" w:color="auto" w:fill="FFFFFF"/>
        </w:rPr>
        <w:t xml:space="preserve"> to address this. This means we are unable to comment on the extent to which the findings can be extrapolated to FH patients of different ethnic origins and their families.</w:t>
      </w:r>
    </w:p>
    <w:p w14:paraId="66B7CFD9" w14:textId="52E3CFE6" w:rsidR="00B85D62" w:rsidRPr="00B85D62" w:rsidRDefault="000A201F" w:rsidP="00F947F9">
      <w:pPr>
        <w:rPr>
          <w:rFonts w:cs="Arial"/>
        </w:rPr>
      </w:pPr>
      <w:r w:rsidRPr="00B85D62">
        <w:rPr>
          <w:rFonts w:cs="Arial"/>
        </w:rPr>
        <w:t>The CPRD, S</w:t>
      </w:r>
      <w:r w:rsidR="007B65E8" w:rsidRPr="00B85D62">
        <w:rPr>
          <w:rFonts w:cs="Arial"/>
        </w:rPr>
        <w:t>imon</w:t>
      </w:r>
      <w:r w:rsidRPr="00B85D62">
        <w:rPr>
          <w:rFonts w:cs="Arial"/>
        </w:rPr>
        <w:t>-B</w:t>
      </w:r>
      <w:r w:rsidR="007B65E8" w:rsidRPr="00B85D62">
        <w:rPr>
          <w:rFonts w:cs="Arial"/>
        </w:rPr>
        <w:t>roome</w:t>
      </w:r>
      <w:r w:rsidRPr="00B85D62">
        <w:rPr>
          <w:rFonts w:cs="Arial"/>
        </w:rPr>
        <w:t xml:space="preserve"> and PASS </w:t>
      </w:r>
      <w:r w:rsidR="00B85D62" w:rsidRPr="00B85D62">
        <w:rPr>
          <w:rFonts w:cs="Arial"/>
          <w:color w:val="00B0F0"/>
          <w:highlight w:val="magenta"/>
        </w:rPr>
        <w:t>data</w:t>
      </w:r>
      <w:r w:rsidR="00B85D62" w:rsidRPr="00B85D62">
        <w:rPr>
          <w:rFonts w:cs="Arial"/>
          <w:color w:val="00B0F0"/>
        </w:rPr>
        <w:t xml:space="preserve"> set</w:t>
      </w:r>
      <w:r w:rsidR="007B65E8" w:rsidRPr="00B85D62">
        <w:rPr>
          <w:rFonts w:cs="Arial"/>
        </w:rPr>
        <w:t xml:space="preserve">s </w:t>
      </w:r>
      <w:r w:rsidRPr="00B85D62">
        <w:rPr>
          <w:rFonts w:cs="Arial"/>
        </w:rPr>
        <w:t>provided relatively large sample sizes but were observational in nature, with concerns about missingness and generalisability for some variables</w:t>
      </w:r>
      <w:r w:rsidR="00BD2354" w:rsidRPr="00B85D62">
        <w:rPr>
          <w:rFonts w:cs="Arial"/>
        </w:rPr>
        <w:t xml:space="preserve">. </w:t>
      </w:r>
      <w:r w:rsidR="00FB6A58" w:rsidRPr="00B85D62">
        <w:rPr>
          <w:rFonts w:cs="Arial"/>
        </w:rPr>
        <w:t>Confounding is an inherent problem with observational studies</w:t>
      </w:r>
      <w:r w:rsidR="00E83375" w:rsidRPr="00B85D62">
        <w:rPr>
          <w:rFonts w:cs="Arial"/>
        </w:rPr>
        <w:t>. This could</w:t>
      </w:r>
      <w:r w:rsidR="00FB6A58" w:rsidRPr="00B85D62">
        <w:rPr>
          <w:rFonts w:cs="Arial"/>
        </w:rPr>
        <w:t xml:space="preserve"> be ameliorated </w:t>
      </w:r>
      <w:r w:rsidR="007B65E8" w:rsidRPr="00B85D62">
        <w:rPr>
          <w:rFonts w:cs="Arial"/>
        </w:rPr>
        <w:t>if a</w:t>
      </w:r>
      <w:r w:rsidR="00FB6A58" w:rsidRPr="00B85D62">
        <w:rPr>
          <w:rFonts w:cs="Arial"/>
        </w:rPr>
        <w:t xml:space="preserve"> randomised controlled design </w:t>
      </w:r>
      <w:r w:rsidR="007B65E8" w:rsidRPr="00B85D62">
        <w:rPr>
          <w:rFonts w:cs="Arial"/>
        </w:rPr>
        <w:t xml:space="preserve">was available </w:t>
      </w:r>
      <w:r w:rsidR="00FB6A58" w:rsidRPr="00B85D62">
        <w:rPr>
          <w:rFonts w:cs="Arial"/>
        </w:rPr>
        <w:t xml:space="preserve">to assess the impact of different cascade </w:t>
      </w:r>
      <w:r w:rsidR="00E83375" w:rsidRPr="00B85D62">
        <w:rPr>
          <w:rFonts w:cs="Arial"/>
        </w:rPr>
        <w:t xml:space="preserve">testing </w:t>
      </w:r>
      <w:r w:rsidR="00FB6A58" w:rsidRPr="00B85D62">
        <w:rPr>
          <w:rFonts w:cs="Arial"/>
        </w:rPr>
        <w:t>protocols</w:t>
      </w:r>
      <w:r w:rsidR="007B65E8" w:rsidRPr="00B85D62">
        <w:rPr>
          <w:rFonts w:cs="Arial"/>
        </w:rPr>
        <w:t>. Considering strengths and limitations against each objective:</w:t>
      </w:r>
    </w:p>
    <w:p w14:paraId="72C08DFC" w14:textId="249E4488" w:rsidR="000A201F" w:rsidRPr="00B85D62" w:rsidRDefault="000A201F" w:rsidP="00F947F9">
      <w:pPr>
        <w:rPr>
          <w:rFonts w:cs="Arial"/>
          <w:b/>
        </w:rPr>
      </w:pPr>
      <w:r w:rsidRPr="00B85D62">
        <w:rPr>
          <w:rFonts w:cs="Arial"/>
          <w:b/>
        </w:rPr>
        <w:t>Yield of cases (</w:t>
      </w:r>
      <w:r w:rsidR="007B65E8" w:rsidRPr="00B85D62">
        <w:rPr>
          <w:rFonts w:cs="Arial"/>
          <w:b/>
        </w:rPr>
        <w:t>Sections</w:t>
      </w:r>
      <w:r w:rsidRPr="00B85D62">
        <w:rPr>
          <w:rFonts w:cs="Arial"/>
          <w:b/>
        </w:rPr>
        <w:t xml:space="preserve"> </w:t>
      </w:r>
      <w:r w:rsidR="00745208" w:rsidRPr="00B85D62">
        <w:rPr>
          <w:rFonts w:cs="Arial"/>
          <w:b/>
        </w:rPr>
        <w:t>5.1, 5.4, 8.3</w:t>
      </w:r>
      <w:r w:rsidRPr="00B85D62">
        <w:rPr>
          <w:rFonts w:cs="Arial"/>
          <w:b/>
        </w:rPr>
        <w:t>)</w:t>
      </w:r>
    </w:p>
    <w:p w14:paraId="4915EA9D" w14:textId="77777777" w:rsidR="00B85D62" w:rsidRPr="00B85D62" w:rsidRDefault="009D354B" w:rsidP="00F947F9">
      <w:pPr>
        <w:jc w:val="both"/>
        <w:rPr>
          <w:rFonts w:eastAsia="Calibri" w:cs="Arial"/>
          <w:color w:val="00B0F0"/>
        </w:rPr>
      </w:pPr>
      <w:r w:rsidRPr="00B85D62">
        <w:rPr>
          <w:rFonts w:cs="Arial"/>
        </w:rPr>
        <w:t xml:space="preserve">In the </w:t>
      </w:r>
      <w:r w:rsidRPr="00B85D62">
        <w:rPr>
          <w:rFonts w:eastAsia="Calibri" w:cs="Arial"/>
        </w:rPr>
        <w:t>systematic review of effectiveness of cascade testing and previous review,</w:t>
      </w:r>
      <w:r w:rsidRPr="00B85D62">
        <w:rPr>
          <w:rFonts w:eastAsia="Calibri" w:cs="Arial"/>
          <w:noProof/>
          <w:vertAlign w:val="superscript"/>
        </w:rPr>
        <w:t>27</w:t>
      </w:r>
      <w:r w:rsidRPr="00B85D62">
        <w:rPr>
          <w:rFonts w:eastAsia="Calibri" w:cs="Arial"/>
        </w:rPr>
        <w:t xml:space="preserve"> there was very limited </w:t>
      </w:r>
      <w:r w:rsidRPr="00B85D62">
        <w:rPr>
          <w:rFonts w:eastAsia="Calibri" w:cs="Arial"/>
          <w:highlight w:val="magenta"/>
        </w:rPr>
        <w:t>data</w:t>
      </w:r>
      <w:r w:rsidRPr="00B85D62">
        <w:rPr>
          <w:rFonts w:eastAsia="Calibri" w:cs="Arial"/>
        </w:rPr>
        <w:t xml:space="preserve"> available to inform the preferred approach to contacting relatives. The available studies were not comparative in nature and attempting to make inferences across studies is hampered by heterogeneity. The most robust evidence for comparing the effectiveness of the strategies for cascade testing would have been from studies which made within study comparisons; however, no studies using such designs were identified; therefore, we had to rely on comparing strategies across studies. Therefore, we have assumed that the differences in yield between the cascade strategies can be wholly ascribed to the contact method used; however, it is likely that differences in the setting, approaches, method used to diagnose FH (genetic testing or clinical criteria), and time may all have influenced the yield. Also, only four of the 24 included studies provided information to estimate the proportion of relatives tested out of those contacted for cascade testing. Of the other 20 studies, 18 did not report the number of relatives contacted. With approximately half of the included studies reporting the extent of cascading to other relatives, we were unable to explore whether there were differences in yields by cascade strategy related to extent of cascading to other relatives. In the study assessing combined approach, only 26% of index cases had a definite diagnosis of FH, with the remaining having a probable diagnosis</w:t>
      </w:r>
      <w:r w:rsidR="00B6413D" w:rsidRPr="00B85D62">
        <w:rPr>
          <w:rFonts w:eastAsia="Calibri" w:cs="Arial"/>
          <w:noProof/>
          <w:vertAlign w:val="superscript"/>
        </w:rPr>
        <w:t>42</w:t>
      </w:r>
      <w:r w:rsidR="00B85D62" w:rsidRPr="00B85D62">
        <w:rPr>
          <w:rFonts w:eastAsia="Calibri" w:cs="Arial"/>
        </w:rPr>
        <w:t xml:space="preserve"> </w:t>
      </w:r>
      <w:r w:rsidRPr="00B85D62">
        <w:rPr>
          <w:rFonts w:eastAsia="Calibri" w:cs="Arial"/>
        </w:rPr>
        <w:t xml:space="preserve">therefore this was likely to result in a reduction in the efficiency of the cascade programme </w:t>
      </w:r>
      <w:r w:rsidRPr="00B85D62">
        <w:rPr>
          <w:rFonts w:eastAsia="Calibri" w:cs="Arial"/>
          <w:highlight w:val="magenta"/>
        </w:rPr>
        <w:t>compared to</w:t>
      </w:r>
      <w:r w:rsidRPr="00B85D62">
        <w:rPr>
          <w:rFonts w:eastAsia="Calibri" w:cs="Arial"/>
        </w:rPr>
        <w:t xml:space="preserve"> restricting cascading to relatives in whom index cases had a definite diagnosis of FH, thus the true yield using the combination approach could be substantially greater.</w:t>
      </w:r>
    </w:p>
    <w:p w14:paraId="13E07A86" w14:textId="68D65E60" w:rsidR="00B85D62" w:rsidRPr="00B85D62" w:rsidRDefault="00B85D62" w:rsidP="00F947F9">
      <w:pPr>
        <w:jc w:val="both"/>
        <w:rPr>
          <w:rFonts w:eastAsia="Calibri" w:cs="Arial"/>
        </w:rPr>
      </w:pPr>
      <w:r w:rsidRPr="00B85D62">
        <w:rPr>
          <w:rFonts w:eastAsia="Calibri" w:cs="Arial"/>
          <w:color w:val="00B0F0"/>
        </w:rPr>
        <w:t>Owing to</w:t>
      </w:r>
      <w:r w:rsidR="009D354B" w:rsidRPr="00B85D62">
        <w:rPr>
          <w:rFonts w:eastAsia="Calibri" w:cs="Arial"/>
        </w:rPr>
        <w:t xml:space="preserve"> the limited evidence, particularly lack of within study comparison of modalities of contact, the </w:t>
      </w:r>
      <w:r w:rsidRPr="00B85D62">
        <w:rPr>
          <w:rFonts w:eastAsia="Calibri" w:cs="Arial"/>
          <w:color w:val="00B0F0"/>
          <w:highlight w:val="magenta"/>
        </w:rPr>
        <w:t>data</w:t>
      </w:r>
      <w:r w:rsidRPr="00B85D62">
        <w:rPr>
          <w:rFonts w:eastAsia="Calibri" w:cs="Arial"/>
          <w:color w:val="00B0F0"/>
        </w:rPr>
        <w:t xml:space="preserve"> were</w:t>
      </w:r>
      <w:r w:rsidR="009D354B" w:rsidRPr="00B85D62">
        <w:rPr>
          <w:rFonts w:eastAsia="Calibri" w:cs="Arial"/>
        </w:rPr>
        <w:t xml:space="preserve"> not in a format that could be used to parameterise the economic model. However, the Welsh PASS </w:t>
      </w:r>
      <w:r w:rsidR="009D354B" w:rsidRPr="00B85D62">
        <w:rPr>
          <w:rFonts w:eastAsia="Calibri" w:cs="Arial"/>
          <w:highlight w:val="magenta"/>
        </w:rPr>
        <w:t>data</w:t>
      </w:r>
      <w:r w:rsidR="009D354B" w:rsidRPr="00B85D62">
        <w:rPr>
          <w:rFonts w:eastAsia="Calibri" w:cs="Arial"/>
        </w:rPr>
        <w:t xml:space="preserve"> provides the first available within-service comparison of direct and indirect contact. This was enhanced by direct derivation of the </w:t>
      </w:r>
      <w:r w:rsidR="009D354B" w:rsidRPr="00B85D62">
        <w:rPr>
          <w:rFonts w:eastAsia="Calibri" w:cs="Arial"/>
          <w:highlight w:val="magenta"/>
        </w:rPr>
        <w:t>data</w:t>
      </w:r>
      <w:r w:rsidR="009D354B" w:rsidRPr="00B85D62">
        <w:rPr>
          <w:rFonts w:eastAsia="Calibri" w:cs="Arial"/>
        </w:rPr>
        <w:t xml:space="preserve"> from two services, and the availability of specialist FH nurse input to support the development of additional variables (e.g., by recoding free text fields within PASS) and provide a detailed understanding of the </w:t>
      </w:r>
      <w:r w:rsidR="009D354B" w:rsidRPr="00B85D62">
        <w:rPr>
          <w:rFonts w:eastAsia="Calibri" w:cs="Arial"/>
          <w:highlight w:val="magenta"/>
        </w:rPr>
        <w:t>data. Further</w:t>
      </w:r>
      <w:r w:rsidR="009D354B" w:rsidRPr="00B85D62">
        <w:rPr>
          <w:rFonts w:eastAsia="Calibri" w:cs="Arial"/>
        </w:rPr>
        <w:t xml:space="preserve">, the Wales and Wessex PASS </w:t>
      </w:r>
      <w:r w:rsidRPr="00B85D62">
        <w:rPr>
          <w:rFonts w:eastAsia="Calibri" w:cs="Arial"/>
          <w:color w:val="00B0F0"/>
          <w:highlight w:val="magenta"/>
        </w:rPr>
        <w:t>data</w:t>
      </w:r>
      <w:r w:rsidRPr="00B85D62">
        <w:rPr>
          <w:rFonts w:eastAsia="Calibri" w:cs="Arial"/>
          <w:color w:val="00B0F0"/>
        </w:rPr>
        <w:t xml:space="preserve"> were</w:t>
      </w:r>
      <w:r w:rsidR="009D354B" w:rsidRPr="00B85D62">
        <w:rPr>
          <w:rFonts w:eastAsia="Calibri" w:cs="Arial"/>
        </w:rPr>
        <w:t xml:space="preserve"> derived from two of the largest FH cascade services in the UK and includes detailed patient-level records on 3,839 indexes and 14,951 linked relatives.</w:t>
      </w:r>
      <w:r w:rsidR="007B65E8" w:rsidRPr="00B85D62">
        <w:t xml:space="preserve"> </w:t>
      </w:r>
      <w:r w:rsidR="007B65E8" w:rsidRPr="00B85D62">
        <w:rPr>
          <w:rFonts w:eastAsia="Calibri" w:cs="Arial"/>
        </w:rPr>
        <w:t xml:space="preserve">The limitation of using the PASS Welsh </w:t>
      </w:r>
      <w:r w:rsidR="007B65E8" w:rsidRPr="00B85D62">
        <w:rPr>
          <w:rFonts w:eastAsia="Calibri" w:cs="Arial"/>
          <w:highlight w:val="magenta"/>
        </w:rPr>
        <w:t>data</w:t>
      </w:r>
      <w:r w:rsidR="007B65E8" w:rsidRPr="00B85D62">
        <w:rPr>
          <w:rFonts w:eastAsia="Calibri" w:cs="Arial"/>
        </w:rPr>
        <w:t xml:space="preserve"> to compare contact methods is that there may have been confounding factors that we were unable to adjust for, given the limited </w:t>
      </w:r>
      <w:r w:rsidR="007B65E8" w:rsidRPr="00B85D62">
        <w:rPr>
          <w:rFonts w:eastAsia="Calibri" w:cs="Arial"/>
          <w:highlight w:val="magenta"/>
        </w:rPr>
        <w:t>data</w:t>
      </w:r>
      <w:r w:rsidR="007B65E8" w:rsidRPr="00B85D62">
        <w:rPr>
          <w:rFonts w:eastAsia="Calibri" w:cs="Arial"/>
        </w:rPr>
        <w:t xml:space="preserve"> (e.g., age, which has been identified as a predictor of cascade success in previous work</w:t>
      </w:r>
      <w:r w:rsidR="00B6413D" w:rsidRPr="00B85D62">
        <w:rPr>
          <w:rFonts w:eastAsia="Calibri" w:cs="Arial"/>
          <w:noProof/>
          <w:vertAlign w:val="superscript"/>
        </w:rPr>
        <w:t>42</w:t>
      </w:r>
      <w:r w:rsidR="00555567" w:rsidRPr="00B85D62">
        <w:rPr>
          <w:rFonts w:eastAsia="Calibri" w:cs="Arial"/>
        </w:rPr>
        <w:t>)</w:t>
      </w:r>
      <w:r w:rsidR="009D354B" w:rsidRPr="00B85D62">
        <w:rPr>
          <w:rFonts w:eastAsia="Calibri" w:cs="Arial"/>
        </w:rPr>
        <w:t>.</w:t>
      </w:r>
      <w:r w:rsidR="00555567" w:rsidRPr="00B85D62">
        <w:rPr>
          <w:rFonts w:eastAsia="Calibri" w:cs="Arial"/>
        </w:rPr>
        <w:t xml:space="preserve"> </w:t>
      </w:r>
      <w:r w:rsidR="007B65E8" w:rsidRPr="00B85D62">
        <w:rPr>
          <w:rFonts w:eastAsia="Calibri" w:cs="Arial"/>
        </w:rPr>
        <w:t>We note</w:t>
      </w:r>
      <w:r w:rsidR="009D354B" w:rsidRPr="00B85D62">
        <w:rPr>
          <w:rFonts w:eastAsia="Calibri" w:cs="Arial"/>
        </w:rPr>
        <w:t xml:space="preserve"> these databases did identify a significant group of relatives who are within-area but not contacted by the service. Detailed information on why these individuals were not contacted were not available from PASS and remains an important priority for future research and </w:t>
      </w:r>
      <w:r w:rsidR="009D354B" w:rsidRPr="00B85D62">
        <w:rPr>
          <w:rFonts w:eastAsia="Calibri" w:cs="Arial"/>
          <w:highlight w:val="magenta"/>
        </w:rPr>
        <w:t>data</w:t>
      </w:r>
      <w:r w:rsidR="009D354B" w:rsidRPr="00B85D62">
        <w:rPr>
          <w:rFonts w:eastAsia="Calibri" w:cs="Arial"/>
        </w:rPr>
        <w:t xml:space="preserve"> collection.</w:t>
      </w:r>
      <w:r w:rsidRPr="00B85D62">
        <w:rPr>
          <w:rFonts w:eastAsia="Calibri" w:cs="Arial"/>
        </w:rPr>
        <w:t xml:space="preserve"> </w:t>
      </w:r>
      <w:r w:rsidR="009D354B" w:rsidRPr="00B85D62">
        <w:rPr>
          <w:rFonts w:eastAsia="Calibri" w:cs="Arial"/>
        </w:rPr>
        <w:t xml:space="preserve">All analyses were conducted on a complete case basis, this may have resulted in biases if the complete cases are not representative of the patients diagnosed by the services. This bias is likely to be particularly acute for the analysis of the characteristics of those who completed the cascade. For this group, CVD history and </w:t>
      </w:r>
      <w:r w:rsidR="007B65E8" w:rsidRPr="00B85D62">
        <w:rPr>
          <w:rFonts w:eastAsia="Calibri" w:cs="Arial"/>
        </w:rPr>
        <w:t>lipid lowering treatment</w:t>
      </w:r>
      <w:r w:rsidR="009D354B" w:rsidRPr="00B85D62">
        <w:rPr>
          <w:rFonts w:eastAsia="Calibri" w:cs="Arial"/>
        </w:rPr>
        <w:t xml:space="preserve"> history were missing for a substantive proportion of patients. This is an important consideration as these results may have significant influence on the results of the cost-effectiveness analysis.</w:t>
      </w:r>
    </w:p>
    <w:p w14:paraId="32F114AE" w14:textId="370E67D9" w:rsidR="00B85D62" w:rsidRPr="00B85D62" w:rsidRDefault="009D354B" w:rsidP="00F947F9">
      <w:pPr>
        <w:rPr>
          <w:rFonts w:cs="Arial"/>
        </w:rPr>
      </w:pPr>
      <w:r w:rsidRPr="00B85D62">
        <w:rPr>
          <w:rFonts w:cs="Arial"/>
        </w:rPr>
        <w:t xml:space="preserve">Yield of new relatives with FH will be affected by number of index cases identified. The </w:t>
      </w:r>
      <w:r w:rsidRPr="00B85D62">
        <w:rPr>
          <w:rFonts w:cs="Arial"/>
          <w:highlight w:val="magenta"/>
        </w:rPr>
        <w:t>latter</w:t>
      </w:r>
      <w:r w:rsidRPr="00B85D62">
        <w:rPr>
          <w:rFonts w:cs="Arial"/>
        </w:rPr>
        <w:t xml:space="preserve"> would require evaluation of robust methods of identifying FH cases. It was recognised by HTA commissioners and the team this was outside the remit of this commissioned project. However we were able to provide some indication of the impact of index case identification using the Welsh PASS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In line with previous studies</w:t>
      </w:r>
      <w:r w:rsidR="00C35B5E" w:rsidRPr="00B85D62">
        <w:rPr>
          <w:rFonts w:cs="Arial"/>
          <w:noProof/>
          <w:vertAlign w:val="superscript"/>
        </w:rPr>
        <w:t>10, 141, 190, 191</w:t>
      </w:r>
      <w:r w:rsidRPr="00B85D62">
        <w:rPr>
          <w:rFonts w:cs="Arial"/>
        </w:rPr>
        <w:t xml:space="preserve">, we found a strong relationship between the stringency of thresholds used to select index cases for genetic testing and the likelihood an individual carries </w:t>
      </w:r>
      <w:r w:rsidRPr="00B85D62">
        <w:rPr>
          <w:rFonts w:cs="Arial"/>
          <w:highlight w:val="magenta"/>
        </w:rPr>
        <w:t>an F</w:t>
      </w:r>
      <w:r w:rsidRPr="00B85D62">
        <w:rPr>
          <w:rFonts w:cs="Arial"/>
        </w:rPr>
        <w:t>H mutation. Increasing or decreasing the threshold used to inform which index</w:t>
      </w:r>
      <w:r w:rsidR="000B53E6" w:rsidRPr="00B85D62">
        <w:rPr>
          <w:rFonts w:cs="Arial"/>
        </w:rPr>
        <w:t xml:space="preserve"> cas</w:t>
      </w:r>
      <w:r w:rsidRPr="00B85D62">
        <w:rPr>
          <w:rFonts w:cs="Arial"/>
        </w:rPr>
        <w:t>es are eligible for genetic testing will have implications for the number of individuals correctly identified as FH and the number of individuals requiring genetic testing. In terms of the selection of index cases for genetic test, similar to Crosland</w:t>
      </w:r>
      <w:r w:rsidRPr="00B85D62">
        <w:rPr>
          <w:rFonts w:cs="Arial"/>
          <w:i/>
          <w:color w:val="00B0F0"/>
        </w:rPr>
        <w:t xml:space="preserve"> et al</w:t>
      </w:r>
      <w:r w:rsidRPr="00B85D62">
        <w:rPr>
          <w:rFonts w:cs="Arial"/>
        </w:rPr>
        <w:t>, we found that less restrictive clinical score cut-offs were a net health gain to the NHS</w:t>
      </w:r>
      <w:r w:rsidR="00C35B5E" w:rsidRPr="00B85D62">
        <w:rPr>
          <w:rFonts w:cs="Arial"/>
          <w:noProof/>
          <w:vertAlign w:val="superscript"/>
        </w:rPr>
        <w:t>140</w:t>
      </w:r>
      <w:r w:rsidR="00867F70" w:rsidRPr="00B85D62">
        <w:rPr>
          <w:rFonts w:cs="Arial"/>
        </w:rPr>
        <w:t>.</w:t>
      </w:r>
    </w:p>
    <w:p w14:paraId="447A1A8E" w14:textId="25C93488" w:rsidR="000A201F" w:rsidRPr="00B85D62" w:rsidRDefault="000A201F" w:rsidP="00F947F9">
      <w:pPr>
        <w:rPr>
          <w:rFonts w:cs="Arial"/>
          <w:b/>
        </w:rPr>
      </w:pPr>
      <w:r w:rsidRPr="00B85D62">
        <w:rPr>
          <w:rFonts w:cs="Arial"/>
          <w:b/>
        </w:rPr>
        <w:t>Treatment patterns, Short and Long term outcomes (</w:t>
      </w:r>
      <w:r w:rsidR="00745208" w:rsidRPr="00B85D62">
        <w:rPr>
          <w:rFonts w:cs="Arial"/>
          <w:b/>
        </w:rPr>
        <w:t xml:space="preserve">Chapter 7 &amp; </w:t>
      </w:r>
      <w:r w:rsidR="000B53E6" w:rsidRPr="00B85D62">
        <w:rPr>
          <w:rFonts w:cs="Arial"/>
          <w:b/>
        </w:rPr>
        <w:t>Section</w:t>
      </w:r>
      <w:r w:rsidR="00745208" w:rsidRPr="00B85D62">
        <w:rPr>
          <w:rFonts w:cs="Arial"/>
          <w:b/>
        </w:rPr>
        <w:t xml:space="preserve"> 8.2</w:t>
      </w:r>
      <w:r w:rsidRPr="00B85D62">
        <w:rPr>
          <w:rFonts w:cs="Arial"/>
          <w:b/>
        </w:rPr>
        <w:t>)</w:t>
      </w:r>
    </w:p>
    <w:p w14:paraId="277045C2" w14:textId="0450BCDE" w:rsidR="00B85D62" w:rsidRPr="00B85D62" w:rsidRDefault="004C1907" w:rsidP="00F947F9">
      <w:pPr>
        <w:rPr>
          <w:rFonts w:cs="Arial"/>
        </w:rPr>
      </w:pPr>
      <w:r w:rsidRPr="00B85D62">
        <w:rPr>
          <w:rFonts w:cs="Arial"/>
        </w:rPr>
        <w:t xml:space="preserve">We were able to take advantage of using long-term </w:t>
      </w:r>
      <w:r w:rsidRPr="00B85D62">
        <w:rPr>
          <w:rFonts w:cs="Arial"/>
          <w:highlight w:val="magenta"/>
        </w:rPr>
        <w:t>data</w:t>
      </w:r>
      <w:r w:rsidRPr="00B85D62">
        <w:rPr>
          <w:rFonts w:cs="Arial"/>
        </w:rPr>
        <w:t xml:space="preserve"> from two large, contemporary, population</w:t>
      </w:r>
      <w:r w:rsidR="00555567" w:rsidRPr="00B85D62">
        <w:rPr>
          <w:rFonts w:cs="Arial"/>
        </w:rPr>
        <w:t>s</w:t>
      </w:r>
      <w:r w:rsidRPr="00B85D62">
        <w:rPr>
          <w:rFonts w:cs="Arial"/>
        </w:rPr>
        <w:t xml:space="preserve"> of </w:t>
      </w:r>
      <w:r w:rsidR="000B53E6" w:rsidRPr="00B85D62">
        <w:rPr>
          <w:rFonts w:cs="Arial"/>
        </w:rPr>
        <w:t>FH individuals from the UK (CPRD</w:t>
      </w:r>
      <w:r w:rsidRPr="00B85D62">
        <w:rPr>
          <w:rFonts w:cs="Arial"/>
        </w:rPr>
        <w:t xml:space="preserve"> and S</w:t>
      </w:r>
      <w:r w:rsidR="000B53E6" w:rsidRPr="00B85D62">
        <w:rPr>
          <w:rFonts w:cs="Arial"/>
        </w:rPr>
        <w:t>imon</w:t>
      </w:r>
      <w:r w:rsidRPr="00B85D62">
        <w:rPr>
          <w:rFonts w:cs="Arial"/>
        </w:rPr>
        <w:t>-B</w:t>
      </w:r>
      <w:r w:rsidR="000B53E6" w:rsidRPr="00B85D62">
        <w:rPr>
          <w:rFonts w:cs="Arial"/>
        </w:rPr>
        <w:t>roome</w:t>
      </w:r>
      <w:r w:rsidRPr="00B85D62">
        <w:rPr>
          <w:rFonts w:cs="Arial"/>
        </w:rPr>
        <w:t xml:space="preserv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s). These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s also benefited from linkage to hospital episode </w:t>
      </w:r>
      <w:r w:rsidRPr="00B85D62">
        <w:rPr>
          <w:rFonts w:cs="Arial"/>
          <w:highlight w:val="magenta"/>
        </w:rPr>
        <w:t>data</w:t>
      </w:r>
      <w:r w:rsidRPr="00B85D62">
        <w:rPr>
          <w:rFonts w:cs="Arial"/>
        </w:rPr>
        <w:t>. Our work allows the quantification of risk according to a patient</w:t>
      </w:r>
      <w:r w:rsidR="00B85D62" w:rsidRPr="00B85D62">
        <w:rPr>
          <w:rFonts w:cs="Arial"/>
        </w:rPr>
        <w:t>’</w:t>
      </w:r>
      <w:r w:rsidRPr="00B85D62">
        <w:rPr>
          <w:rFonts w:cs="Arial"/>
        </w:rPr>
        <w:t>s age, gender, CVD history and pre-treatment LDL-C level.</w:t>
      </w:r>
    </w:p>
    <w:p w14:paraId="038A8B1B" w14:textId="490023E5" w:rsidR="00B85D62" w:rsidRPr="00B85D62" w:rsidRDefault="000B53E6" w:rsidP="00F947F9">
      <w:pPr>
        <w:rPr>
          <w:rFonts w:cs="Arial"/>
        </w:rPr>
      </w:pPr>
      <w:r w:rsidRPr="00B85D62">
        <w:rPr>
          <w:rFonts w:cs="Arial"/>
        </w:rPr>
        <w:t xml:space="preserve">In the </w:t>
      </w:r>
      <w:r w:rsidR="004C1907" w:rsidRPr="00B85D62">
        <w:rPr>
          <w:rFonts w:cs="Arial"/>
        </w:rPr>
        <w:t>CPRD</w:t>
      </w:r>
      <w:r w:rsidRPr="00B85D62">
        <w:rPr>
          <w:rFonts w:cs="Arial"/>
        </w:rPr>
        <w:t xml:space="preserv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w</w:t>
      </w:r>
      <w:r w:rsidR="004C1907" w:rsidRPr="00B85D62">
        <w:rPr>
          <w:rFonts w:cs="Arial"/>
        </w:rPr>
        <w:t>e were able to evaluate both absolute</w:t>
      </w:r>
      <w:r w:rsidR="004C1907" w:rsidRPr="00B85D62">
        <w:rPr>
          <w:rFonts w:eastAsia="Arial" w:cs="Arial"/>
        </w:rPr>
        <w:t xml:space="preserve"> long-term cardiovascular risk in a diagnosed and treated cohort of individuals with FH</w:t>
      </w:r>
      <w:r w:rsidR="004C1907" w:rsidRPr="00B85D62">
        <w:rPr>
          <w:rFonts w:cs="Arial"/>
        </w:rPr>
        <w:t xml:space="preserve"> (Section 8.2) and compare cardiovascular risk profile of individuals with FH </w:t>
      </w:r>
      <w:r w:rsidRPr="00B85D62">
        <w:rPr>
          <w:rFonts w:cs="Arial"/>
        </w:rPr>
        <w:t>to</w:t>
      </w:r>
      <w:r w:rsidR="004C1907" w:rsidRPr="00B85D62">
        <w:rPr>
          <w:rFonts w:cs="Arial"/>
        </w:rPr>
        <w:t xml:space="preserve"> the general population (Section 7.</w:t>
      </w:r>
      <w:r w:rsidR="00745208" w:rsidRPr="00B85D62">
        <w:rPr>
          <w:rFonts w:cs="Arial"/>
        </w:rPr>
        <w:t>1</w:t>
      </w:r>
      <w:r w:rsidR="004C1907" w:rsidRPr="00B85D62">
        <w:rPr>
          <w:rFonts w:cs="Arial"/>
        </w:rPr>
        <w:t xml:space="preserve">) Unlike previous analysis of cardiovascular risk with FH, as well as higher rates of CHD and stroke, the primary care </w:t>
      </w:r>
      <w:r w:rsidR="00B85D62" w:rsidRPr="00B85D62">
        <w:rPr>
          <w:rFonts w:cs="Arial"/>
          <w:color w:val="00B0F0"/>
          <w:highlight w:val="magenta"/>
        </w:rPr>
        <w:t>data</w:t>
      </w:r>
      <w:r w:rsidR="00B85D62" w:rsidRPr="00B85D62">
        <w:rPr>
          <w:rFonts w:cs="Arial"/>
          <w:color w:val="00B0F0"/>
        </w:rPr>
        <w:t xml:space="preserve"> set</w:t>
      </w:r>
      <w:r w:rsidR="004C1907" w:rsidRPr="00B85D62">
        <w:rPr>
          <w:rFonts w:cs="Arial"/>
        </w:rPr>
        <w:t xml:space="preserve"> demonstrated comparable increased risk of PVD. The findings also </w:t>
      </w:r>
      <w:r w:rsidRPr="00B85D62">
        <w:rPr>
          <w:rFonts w:cs="Arial"/>
        </w:rPr>
        <w:t>suggested</w:t>
      </w:r>
      <w:r w:rsidR="004C1907" w:rsidRPr="00B85D62">
        <w:rPr>
          <w:rFonts w:cs="Arial"/>
        </w:rPr>
        <w:t xml:space="preserve"> incorporating a broader range of CVD risk outcomes for economic modelling. On a cautionary note, PVD is less well phenotyped in primary care records than CHD and stroke.</w:t>
      </w:r>
    </w:p>
    <w:p w14:paraId="340F6F9F" w14:textId="7D840261" w:rsidR="00B85D62" w:rsidRPr="00B85D62" w:rsidRDefault="004C1907" w:rsidP="00F947F9">
      <w:pPr>
        <w:rPr>
          <w:rFonts w:cs="Arial"/>
        </w:rPr>
      </w:pPr>
      <w:r w:rsidRPr="00B85D62">
        <w:rPr>
          <w:rFonts w:cs="Arial"/>
        </w:rPr>
        <w:t xml:space="preserve">As previously highlighted, the CPRD primary care </w:t>
      </w:r>
      <w:r w:rsidR="00B85D62" w:rsidRPr="00B85D62">
        <w:rPr>
          <w:rFonts w:cs="Arial"/>
          <w:color w:val="00B0F0"/>
          <w:highlight w:val="magenta"/>
        </w:rPr>
        <w:t>data</w:t>
      </w:r>
      <w:r w:rsidR="00B85D62" w:rsidRPr="00B85D62">
        <w:rPr>
          <w:rFonts w:cs="Arial"/>
          <w:color w:val="00B0F0"/>
        </w:rPr>
        <w:t xml:space="preserve"> set</w:t>
      </w:r>
      <w:r w:rsidRPr="00B85D62">
        <w:rPr>
          <w:rFonts w:cs="Arial"/>
        </w:rPr>
        <w:t xml:space="preserve"> might not have correctly coded individuals with FH</w:t>
      </w:r>
      <w:r w:rsidR="000B53E6" w:rsidRPr="00B85D62">
        <w:rPr>
          <w:rFonts w:cs="Arial"/>
        </w:rPr>
        <w:t>, and</w:t>
      </w:r>
      <w:r w:rsidRPr="00B85D62">
        <w:rPr>
          <w:rFonts w:cs="Arial"/>
        </w:rPr>
        <w:t xml:space="preserve"> the cohort might not be representative of the UK FH population as a whole or of patients identified via cascade testing who are expected to have genetically-confirmed FH rather than a diagnosis based on clinical phenotype. Although CPRD has a relatively long follow-up of up to 20 years, event </w:t>
      </w:r>
      <w:r w:rsidR="00B85D62" w:rsidRPr="00B85D62">
        <w:rPr>
          <w:rFonts w:cs="Arial"/>
          <w:color w:val="00B0F0"/>
          <w:highlight w:val="magenta"/>
        </w:rPr>
        <w:t>data</w:t>
      </w:r>
      <w:r w:rsidR="00B85D62" w:rsidRPr="00B85D62">
        <w:rPr>
          <w:rFonts w:cs="Arial"/>
          <w:color w:val="00B0F0"/>
        </w:rPr>
        <w:t xml:space="preserve"> were</w:t>
      </w:r>
      <w:r w:rsidRPr="00B85D62">
        <w:rPr>
          <w:rFonts w:cs="Arial"/>
        </w:rPr>
        <w:t xml:space="preserve"> sparse from around year 10. For validation and extrapolation, it seemed relevant to focus on studies with longer follow-up than this. From a number of studies assessed for this purpose, the Perak</w:t>
      </w:r>
      <w:r w:rsidRPr="00B85D62">
        <w:rPr>
          <w:rFonts w:cs="Arial"/>
          <w:i/>
          <w:color w:val="00B0F0"/>
        </w:rPr>
        <w:t xml:space="preserve"> et al</w:t>
      </w:r>
      <w:r w:rsidRPr="00B85D62">
        <w:rPr>
          <w:rFonts w:cs="Arial"/>
        </w:rPr>
        <w:t xml:space="preserve"> study was chosen as the most relevant, but there remained a number of limitations to using this study</w:t>
      </w:r>
      <w:r w:rsidR="00C35B5E" w:rsidRPr="00B85D62">
        <w:rPr>
          <w:rFonts w:cs="Arial"/>
          <w:noProof/>
          <w:vertAlign w:val="superscript"/>
        </w:rPr>
        <w:t>105</w:t>
      </w:r>
      <w:r w:rsidRPr="00B85D62">
        <w:rPr>
          <w:rFonts w:cs="Arial"/>
        </w:rPr>
        <w:t>. We had to make a number of adjustments to make the estimates comparable to those in CPRD and this study focused on US patients with elevated cholesterol, but without a diagnosis of FH. Furthermore, CPRD is unlikely to characterise the current clinical practices in tertiary specialised care, such as lipid clinics, where FH patients are closely followed and managed</w:t>
      </w:r>
      <w:r w:rsidR="00C35B5E" w:rsidRPr="00B85D62">
        <w:rPr>
          <w:rFonts w:cs="Arial"/>
          <w:noProof/>
          <w:vertAlign w:val="superscript"/>
        </w:rPr>
        <w:t>192</w:t>
      </w:r>
      <w:r w:rsidRPr="00B85D62">
        <w:rPr>
          <w:rFonts w:cs="Arial"/>
        </w:rPr>
        <w:t xml:space="preserve"> (though some patients in CPRD may also be managed in lipid clinics). However the </w:t>
      </w:r>
      <w:r w:rsidRPr="00B85D62">
        <w:rPr>
          <w:rFonts w:cs="Arial"/>
          <w:highlight w:val="magenta"/>
        </w:rPr>
        <w:t>latter</w:t>
      </w:r>
      <w:r w:rsidRPr="00B85D62">
        <w:rPr>
          <w:rFonts w:cs="Arial"/>
        </w:rPr>
        <w:t xml:space="preserve"> </w:t>
      </w:r>
      <w:r w:rsidR="000B53E6" w:rsidRPr="00B85D62">
        <w:rPr>
          <w:rFonts w:cs="Arial"/>
        </w:rPr>
        <w:t>were</w:t>
      </w:r>
      <w:r w:rsidRPr="00B85D62">
        <w:rPr>
          <w:rFonts w:cs="Arial"/>
        </w:rPr>
        <w:t xml:space="preserve"> identified from the S</w:t>
      </w:r>
      <w:r w:rsidR="000B53E6" w:rsidRPr="00B85D62">
        <w:rPr>
          <w:rFonts w:cs="Arial"/>
        </w:rPr>
        <w:t>imon</w:t>
      </w:r>
      <w:r w:rsidRPr="00B85D62">
        <w:rPr>
          <w:rFonts w:cs="Arial"/>
        </w:rPr>
        <w:t>-B</w:t>
      </w:r>
      <w:r w:rsidR="000B53E6" w:rsidRPr="00B85D62">
        <w:rPr>
          <w:rFonts w:cs="Arial"/>
        </w:rPr>
        <w:t>roome</w:t>
      </w:r>
      <w:r w:rsidRPr="00B85D62">
        <w:rPr>
          <w:rFonts w:cs="Arial"/>
        </w:rPr>
        <w:t xml:space="preserve"> </w:t>
      </w:r>
      <w:r w:rsidR="00B85D62" w:rsidRPr="00B85D62">
        <w:rPr>
          <w:rFonts w:cs="Arial"/>
          <w:color w:val="00B0F0"/>
          <w:highlight w:val="magenta"/>
        </w:rPr>
        <w:t>data</w:t>
      </w:r>
      <w:r w:rsidR="00B85D62" w:rsidRPr="00B85D62">
        <w:rPr>
          <w:rFonts w:cs="Arial"/>
          <w:color w:val="00B0F0"/>
        </w:rPr>
        <w:t xml:space="preserve"> set</w:t>
      </w:r>
      <w:r w:rsidR="000B53E6" w:rsidRPr="00B85D62">
        <w:rPr>
          <w:rFonts w:cs="Arial"/>
        </w:rPr>
        <w:t>.</w:t>
      </w:r>
    </w:p>
    <w:p w14:paraId="50E3481F" w14:textId="75074C85" w:rsidR="000A201F" w:rsidRPr="00B85D62" w:rsidRDefault="000A201F" w:rsidP="00F947F9">
      <w:pPr>
        <w:rPr>
          <w:rFonts w:cs="Arial"/>
          <w:b/>
        </w:rPr>
      </w:pPr>
      <w:r w:rsidRPr="00B85D62">
        <w:rPr>
          <w:rFonts w:cs="Arial"/>
          <w:b/>
        </w:rPr>
        <w:t>Cost-effectiveness of alternative protocols (</w:t>
      </w:r>
      <w:r w:rsidR="00745208" w:rsidRPr="00B85D62">
        <w:rPr>
          <w:rFonts w:cs="Arial"/>
          <w:b/>
        </w:rPr>
        <w:t>Chapter 8</w:t>
      </w:r>
      <w:r w:rsidRPr="00B85D62">
        <w:rPr>
          <w:rFonts w:cs="Arial"/>
          <w:b/>
        </w:rPr>
        <w:t>)</w:t>
      </w:r>
    </w:p>
    <w:p w14:paraId="7CC9018C" w14:textId="77777777" w:rsidR="00B85D62" w:rsidRPr="00B85D62" w:rsidRDefault="0094496A" w:rsidP="00F947F9">
      <w:pPr>
        <w:rPr>
          <w:rFonts w:cs="Arial"/>
        </w:rPr>
      </w:pPr>
      <w:r w:rsidRPr="00B85D62">
        <w:rPr>
          <w:rFonts w:cs="Arial"/>
        </w:rPr>
        <w:t>This is the first cost-effectiveness analysis of cascade testing for FH which compared a wide range of protocols, comprising strategies to select index</w:t>
      </w:r>
      <w:r w:rsidR="00555567" w:rsidRPr="00B85D62">
        <w:rPr>
          <w:rFonts w:cs="Arial"/>
        </w:rPr>
        <w:t xml:space="preserve"> cas</w:t>
      </w:r>
      <w:r w:rsidRPr="00B85D62">
        <w:rPr>
          <w:rFonts w:cs="Arial"/>
        </w:rPr>
        <w:t xml:space="preserve">es to the cascade, with and without genetic testing; contact methods (direct or indirect), cascade pattern (sequential or simultaneous) and testing strategies for relatives combining genetic and cholesterol testing, age, and treatment status. We informed the analysis with routine </w:t>
      </w:r>
      <w:r w:rsidRPr="00B85D62">
        <w:rPr>
          <w:rFonts w:cs="Arial"/>
          <w:highlight w:val="magenta"/>
        </w:rPr>
        <w:t>data</w:t>
      </w:r>
      <w:r w:rsidRPr="00B85D62">
        <w:rPr>
          <w:rFonts w:cs="Arial"/>
        </w:rPr>
        <w:t xml:space="preserve"> from FH services in England and Wales about the characteristics of index</w:t>
      </w:r>
      <w:r w:rsidR="000B53E6" w:rsidRPr="00B85D62">
        <w:rPr>
          <w:rFonts w:cs="Arial"/>
        </w:rPr>
        <w:t xml:space="preserve"> cas</w:t>
      </w:r>
      <w:r w:rsidRPr="00B85D62">
        <w:rPr>
          <w:rFonts w:cs="Arial"/>
        </w:rPr>
        <w:t xml:space="preserve">es and relatives, and probability that relatives come forward for testing. Furthermore, we estimated the long-term outcomes of relatives with and without diagnosis with a new cost-effectiveness model, informed by routinely collected </w:t>
      </w:r>
      <w:r w:rsidRPr="00B85D62">
        <w:rPr>
          <w:rFonts w:cs="Arial"/>
          <w:highlight w:val="magenta"/>
        </w:rPr>
        <w:t>data</w:t>
      </w:r>
      <w:r w:rsidRPr="00B85D62">
        <w:rPr>
          <w:rFonts w:cs="Arial"/>
        </w:rPr>
        <w:t xml:space="preserve"> from a cohort of FH patients in the UK. This new cost-effectiveness model predicts lifetime outcomes conditional on age at diagnosis, sex, </w:t>
      </w:r>
      <w:r w:rsidR="000B53E6" w:rsidRPr="00B85D62">
        <w:rPr>
          <w:rFonts w:cs="Arial"/>
        </w:rPr>
        <w:t xml:space="preserve">pre-treatment </w:t>
      </w:r>
      <w:r w:rsidRPr="00B85D62">
        <w:rPr>
          <w:rFonts w:cs="Arial"/>
        </w:rPr>
        <w:t>LDL-Cholesterol and prior CVD event history.</w:t>
      </w:r>
    </w:p>
    <w:p w14:paraId="2151E2E3" w14:textId="6F55DFDE" w:rsidR="00B85D62" w:rsidRPr="00B85D62" w:rsidRDefault="0094496A" w:rsidP="00F947F9">
      <w:pPr>
        <w:rPr>
          <w:rFonts w:cs="Arial"/>
        </w:rPr>
      </w:pPr>
      <w:r w:rsidRPr="00B85D62">
        <w:rPr>
          <w:rFonts w:cs="Arial"/>
        </w:rPr>
        <w:t>The cost-effectiveness model of long-term health outcomes and costs of individuals with FH was informed by risk equations and LDL-</w:t>
      </w:r>
      <w:r w:rsidR="000B53E6" w:rsidRPr="00B85D62">
        <w:rPr>
          <w:rFonts w:cs="Arial"/>
        </w:rPr>
        <w:t>Cholesterol</w:t>
      </w:r>
      <w:r w:rsidRPr="00B85D62">
        <w:rPr>
          <w:rFonts w:cs="Arial"/>
        </w:rPr>
        <w:t xml:space="preserve"> response to treatment estimated from an analysis of the individual level </w:t>
      </w:r>
      <w:r w:rsidRPr="00B85D62">
        <w:rPr>
          <w:rFonts w:cs="Arial"/>
          <w:highlight w:val="magenta"/>
        </w:rPr>
        <w:t>data</w:t>
      </w:r>
      <w:r w:rsidRPr="00B85D62">
        <w:rPr>
          <w:rFonts w:cs="Arial"/>
        </w:rPr>
        <w:t xml:space="preserve"> of the CPRD cohort of individuals with FH. The focus of this analysis was only on first events post-diagnosis, as the context of the long-term economic model is on improving diagnosis. The primary benefit of this is expected to be in individuals who have not yet experienced a cardiovascular event. Once individuals have experienced a cardiovascular event post-FH diagnosis, the role of FH diagnosis is likely to be less important as individuals with CVD history will generally be in receipt of high intensity statins. The individual level analysis </w:t>
      </w:r>
      <w:r w:rsidR="00B85D62" w:rsidRPr="00B85D62">
        <w:rPr>
          <w:rFonts w:cs="Arial"/>
          <w:color w:val="00B0F0"/>
        </w:rPr>
        <w:t>focused</w:t>
      </w:r>
      <w:r w:rsidRPr="00B85D62">
        <w:rPr>
          <w:rFonts w:cs="Arial"/>
        </w:rPr>
        <w:t xml:space="preserve"> on treated individuals as, being the majority of individuals in our cohort, we believed they would be more generalisable to the broader FH population.</w:t>
      </w:r>
    </w:p>
    <w:p w14:paraId="292991AD" w14:textId="77777777" w:rsidR="00B85D62" w:rsidRPr="00B85D62" w:rsidRDefault="0094496A" w:rsidP="00F947F9">
      <w:pPr>
        <w:rPr>
          <w:rFonts w:cs="Arial"/>
          <w:lang w:eastAsia="en-GB"/>
        </w:rPr>
      </w:pPr>
      <w:r w:rsidRPr="00B85D62">
        <w:rPr>
          <w:rFonts w:cs="Arial"/>
          <w:lang w:eastAsia="en-GB"/>
        </w:rPr>
        <w:t xml:space="preserve">The weaknesses of the cost-effectiveness analysis mostly relate to the assumptions required to design and inform the two cost-effectiveness models. These relate to the available </w:t>
      </w:r>
      <w:r w:rsidRPr="00B85D62">
        <w:rPr>
          <w:rFonts w:cs="Arial"/>
          <w:highlight w:val="magenta"/>
          <w:lang w:eastAsia="en-GB"/>
        </w:rPr>
        <w:t>data</w:t>
      </w:r>
      <w:r w:rsidRPr="00B85D62">
        <w:rPr>
          <w:rFonts w:cs="Arial"/>
          <w:lang w:eastAsia="en-GB"/>
        </w:rPr>
        <w:t xml:space="preserve"> on the characteristics and degree of kinship of relatives in the PASS databases, lifetime cardiovascular risk, effect of treatment on LDL-Cholesterol level, and the generalisability of the CPRD cohort to FH patients. Given the limited </w:t>
      </w:r>
      <w:r w:rsidRPr="00B85D62">
        <w:rPr>
          <w:rFonts w:cs="Arial"/>
          <w:highlight w:val="magenta"/>
          <w:lang w:eastAsia="en-GB"/>
        </w:rPr>
        <w:t>data</w:t>
      </w:r>
      <w:r w:rsidRPr="00B85D62">
        <w:rPr>
          <w:rFonts w:cs="Arial"/>
          <w:lang w:eastAsia="en-GB"/>
        </w:rPr>
        <w:t xml:space="preserve"> on lipid levels routinely collected by the Welsh and Wessex services, we requested </w:t>
      </w:r>
      <w:r w:rsidRPr="00B85D62">
        <w:rPr>
          <w:rFonts w:cs="Arial"/>
          <w:highlight w:val="magenta"/>
          <w:lang w:eastAsia="en-GB"/>
        </w:rPr>
        <w:t>data</w:t>
      </w:r>
      <w:r w:rsidRPr="00B85D62">
        <w:rPr>
          <w:rFonts w:cs="Arial"/>
          <w:lang w:eastAsia="en-GB"/>
        </w:rPr>
        <w:t xml:space="preserve"> from the Dutch cascade screening programme (although a comparison with the available Welsh and Wessex FH service</w:t>
      </w:r>
      <w:r w:rsidR="00F77B50" w:rsidRPr="00B85D62">
        <w:rPr>
          <w:rFonts w:cs="Arial"/>
          <w:lang w:eastAsia="en-GB"/>
        </w:rPr>
        <w:t xml:space="preserve"> </w:t>
      </w:r>
      <w:r w:rsidR="00F77B50" w:rsidRPr="00B85D62">
        <w:rPr>
          <w:rFonts w:cs="Arial"/>
          <w:highlight w:val="magenta"/>
          <w:lang w:eastAsia="en-GB"/>
        </w:rPr>
        <w:t>data</w:t>
      </w:r>
      <w:r w:rsidR="00F77B50" w:rsidRPr="00B85D62">
        <w:rPr>
          <w:rFonts w:cs="Arial"/>
          <w:lang w:eastAsia="en-GB"/>
        </w:rPr>
        <w:t xml:space="preserve"> suggested it was generalis</w:t>
      </w:r>
      <w:r w:rsidRPr="00B85D62">
        <w:rPr>
          <w:rFonts w:cs="Arial"/>
          <w:lang w:eastAsia="en-GB"/>
        </w:rPr>
        <w:t xml:space="preserve">able). Additionally, the costs of monitoring people were based on the national guidelines and stakeholder input, rather than informed by a systematic process or empirical </w:t>
      </w:r>
      <w:r w:rsidRPr="00B85D62">
        <w:rPr>
          <w:rFonts w:cs="Arial"/>
          <w:highlight w:val="magenta"/>
          <w:lang w:eastAsia="en-GB"/>
        </w:rPr>
        <w:t>data</w:t>
      </w:r>
      <w:r w:rsidRPr="00B85D62">
        <w:rPr>
          <w:rFonts w:cs="Arial"/>
          <w:lang w:eastAsia="en-GB"/>
        </w:rPr>
        <w:t>.</w:t>
      </w:r>
      <w:r w:rsidR="00F77B50" w:rsidRPr="00B85D62">
        <w:t xml:space="preserve"> </w:t>
      </w:r>
      <w:r w:rsidR="00F77B50" w:rsidRPr="00B85D62">
        <w:rPr>
          <w:rFonts w:cs="Arial"/>
          <w:lang w:eastAsia="en-GB"/>
        </w:rPr>
        <w:t xml:space="preserve">Our estimates of the resources involved in conducting the cascade were based on information from FH nurses, literature, and feedback from our Stakeholder Group, because the PASS </w:t>
      </w:r>
      <w:r w:rsidR="00F77B50" w:rsidRPr="00B85D62">
        <w:rPr>
          <w:rFonts w:cs="Arial"/>
          <w:highlight w:val="magenta"/>
          <w:lang w:eastAsia="en-GB"/>
        </w:rPr>
        <w:t>data</w:t>
      </w:r>
      <w:r w:rsidR="00F77B50" w:rsidRPr="00B85D62">
        <w:rPr>
          <w:rFonts w:cs="Arial"/>
          <w:lang w:eastAsia="en-GB"/>
        </w:rPr>
        <w:t xml:space="preserve"> did not include details on the staff time and grade.</w:t>
      </w:r>
      <w:r w:rsidR="00B85D62" w:rsidRPr="00B85D62">
        <w:rPr>
          <w:rFonts w:cs="Arial"/>
          <w:lang w:eastAsia="en-GB"/>
        </w:rPr>
        <w:t xml:space="preserve"> </w:t>
      </w:r>
      <w:r w:rsidR="2C767C69" w:rsidRPr="00B85D62">
        <w:rPr>
          <w:rFonts w:cs="Arial"/>
          <w:lang w:eastAsia="en-GB"/>
        </w:rPr>
        <w:t xml:space="preserve">Importantly, the cost-effectiveness analysis relies in silica comparisons of cascade protocols, many of which have not been used in clinical </w:t>
      </w:r>
      <w:r w:rsidR="2C767C69" w:rsidRPr="00B85D62">
        <w:rPr>
          <w:rFonts w:cs="Arial"/>
          <w:highlight w:val="magenta"/>
          <w:lang w:eastAsia="en-GB"/>
        </w:rPr>
        <w:t>practice</w:t>
      </w:r>
      <w:r w:rsidR="2C767C69" w:rsidRPr="00B85D62">
        <w:rPr>
          <w:rFonts w:cs="Arial"/>
          <w:lang w:eastAsia="en-GB"/>
        </w:rPr>
        <w:t xml:space="preserve">, and the validity of the assumptions about the generalisability of available </w:t>
      </w:r>
      <w:r w:rsidR="2C767C69" w:rsidRPr="00B85D62">
        <w:rPr>
          <w:rFonts w:cs="Arial"/>
          <w:highlight w:val="magenta"/>
          <w:lang w:eastAsia="en-GB"/>
        </w:rPr>
        <w:t>data</w:t>
      </w:r>
      <w:r w:rsidR="2C767C69" w:rsidRPr="00B85D62">
        <w:rPr>
          <w:rFonts w:cs="Arial"/>
          <w:lang w:eastAsia="en-GB"/>
        </w:rPr>
        <w:t xml:space="preserve">, effect of cholesterol burden, and long-term CVD risk. Therefore, the generalisability of the cost-effectiveness results to clinical </w:t>
      </w:r>
      <w:r w:rsidR="2C767C69" w:rsidRPr="00B85D62">
        <w:rPr>
          <w:rFonts w:cs="Arial"/>
          <w:highlight w:val="magenta"/>
          <w:lang w:eastAsia="en-GB"/>
        </w:rPr>
        <w:t>practice</w:t>
      </w:r>
      <w:r w:rsidR="2C767C69" w:rsidRPr="00B85D62">
        <w:rPr>
          <w:rFonts w:cs="Arial"/>
          <w:lang w:eastAsia="en-GB"/>
        </w:rPr>
        <w:t xml:space="preserve"> is uncertain.</w:t>
      </w:r>
    </w:p>
    <w:p w14:paraId="6848B004" w14:textId="06C234A2" w:rsidR="00B85D62" w:rsidRPr="00B85D62" w:rsidRDefault="0094496A" w:rsidP="00F947F9">
      <w:pPr>
        <w:rPr>
          <w:rFonts w:cs="Arial"/>
          <w:lang w:eastAsia="en-GB"/>
        </w:rPr>
      </w:pPr>
      <w:r w:rsidRPr="00B85D62">
        <w:rPr>
          <w:rFonts w:cs="Arial"/>
          <w:lang w:eastAsia="en-GB"/>
        </w:rPr>
        <w:t xml:space="preserve">Our base-case assumes that longer duration of exposure to raised LDL-C increases CVD risk (known as </w:t>
      </w:r>
      <w:r w:rsidR="00B85D62" w:rsidRPr="00B85D62">
        <w:rPr>
          <w:rFonts w:cs="Arial"/>
          <w:lang w:eastAsia="en-GB"/>
        </w:rPr>
        <w:t>‘</w:t>
      </w:r>
      <w:r w:rsidRPr="00B85D62">
        <w:rPr>
          <w:rFonts w:cs="Arial"/>
          <w:lang w:eastAsia="en-GB"/>
        </w:rPr>
        <w:t>LDL-C burden</w:t>
      </w:r>
      <w:r w:rsidR="00B85D62" w:rsidRPr="00B85D62">
        <w:rPr>
          <w:rFonts w:cs="Arial"/>
          <w:lang w:eastAsia="en-GB"/>
        </w:rPr>
        <w:t>’</w:t>
      </w:r>
      <w:r w:rsidRPr="00B85D62">
        <w:rPr>
          <w:rFonts w:cs="Arial"/>
          <w:lang w:eastAsia="en-GB"/>
        </w:rPr>
        <w:t>), based on the relationship proposed by the 2017 European Atherosclerosis Society (EAS) Consensus Statement</w:t>
      </w:r>
      <w:r w:rsidR="007D477D" w:rsidRPr="00B85D62">
        <w:rPr>
          <w:rFonts w:cs="Arial"/>
          <w:noProof/>
          <w:vertAlign w:val="superscript"/>
          <w:lang w:eastAsia="en-GB"/>
        </w:rPr>
        <w:t>17</w:t>
      </w:r>
      <w:r w:rsidR="00B85D62" w:rsidRPr="00B85D62">
        <w:rPr>
          <w:rFonts w:cs="Arial"/>
          <w:color w:val="00B0F0"/>
          <w:lang w:eastAsia="en-GB"/>
        </w:rPr>
        <w:t>.</w:t>
      </w:r>
      <w:r w:rsidRPr="00B85D62">
        <w:rPr>
          <w:rFonts w:cs="Arial"/>
          <w:lang w:eastAsia="en-GB"/>
        </w:rPr>
        <w:t>This assumption is supported by epidemiological studies</w:t>
      </w:r>
      <w:r w:rsidR="007D477D" w:rsidRPr="00B85D62">
        <w:rPr>
          <w:rFonts w:cs="Arial"/>
          <w:noProof/>
          <w:vertAlign w:val="superscript"/>
          <w:lang w:eastAsia="en-GB"/>
        </w:rPr>
        <w:t>17</w:t>
      </w:r>
      <w:r w:rsidRPr="00B85D62">
        <w:rPr>
          <w:rFonts w:cs="Arial"/>
          <w:lang w:eastAsia="en-GB"/>
        </w:rPr>
        <w:t>, although there is uncertainty about the size of the effect and its generalisability to people with FH. Similarly, while the assumption that cardiovascular</w:t>
      </w:r>
      <w:r w:rsidRPr="00B85D62" w:rsidDel="00D93C36">
        <w:rPr>
          <w:rFonts w:cs="Arial"/>
          <w:lang w:eastAsia="en-GB"/>
        </w:rPr>
        <w:t xml:space="preserve"> </w:t>
      </w:r>
      <w:r w:rsidRPr="00B85D62">
        <w:rPr>
          <w:rFonts w:cs="Arial"/>
          <w:lang w:eastAsia="en-GB"/>
        </w:rPr>
        <w:t>risk increases with age is uncontroversial, the magnitude of this increase is uncertain. For these reasons, further research is warranted on the effect of LDL-C burden and age on CVD event risk in the long-term, particularly in younger people who were underrepresented in the CPRD cohort. An uncertainty that we were unable to explore in the scenario analysis is whether the cardiovascular risk observed in the CPRD cohort is representative of the cardiovascular risk experienced by people with FH, given the uncertainty regarding the extent to which the CPRD cohort includes people who do not have FH (due, for example, to miscoding or misdiagnosis in primary care).</w:t>
      </w:r>
    </w:p>
    <w:p w14:paraId="74253F7D" w14:textId="3AC66620" w:rsidR="000A201F" w:rsidRPr="00B85D62" w:rsidRDefault="000A201F" w:rsidP="00F947F9">
      <w:pPr>
        <w:rPr>
          <w:rFonts w:cs="Arial"/>
          <w:b/>
        </w:rPr>
      </w:pPr>
      <w:r w:rsidRPr="00B85D62">
        <w:rPr>
          <w:rFonts w:cs="Arial"/>
          <w:b/>
        </w:rPr>
        <w:t>Acceptability of cascade testing approaches (</w:t>
      </w:r>
      <w:r w:rsidR="00F77B50" w:rsidRPr="00B85D62">
        <w:rPr>
          <w:rFonts w:cs="Arial"/>
          <w:b/>
        </w:rPr>
        <w:t>Chapter</w:t>
      </w:r>
      <w:r w:rsidRPr="00B85D62">
        <w:rPr>
          <w:rFonts w:cs="Arial"/>
          <w:b/>
        </w:rPr>
        <w:t xml:space="preserve"> </w:t>
      </w:r>
      <w:r w:rsidR="00745208" w:rsidRPr="00B85D62">
        <w:rPr>
          <w:rFonts w:cs="Arial"/>
          <w:b/>
        </w:rPr>
        <w:t>9</w:t>
      </w:r>
      <w:r w:rsidRPr="00B85D62">
        <w:rPr>
          <w:rFonts w:cs="Arial"/>
          <w:b/>
        </w:rPr>
        <w:t>)</w:t>
      </w:r>
    </w:p>
    <w:p w14:paraId="4B8A4956" w14:textId="53CA9C5D" w:rsidR="00B85D62" w:rsidRPr="00B85D62" w:rsidRDefault="000A201F" w:rsidP="00F947F9">
      <w:pPr>
        <w:rPr>
          <w:rFonts w:cs="Arial"/>
        </w:rPr>
      </w:pPr>
      <w:r w:rsidRPr="00B85D62">
        <w:rPr>
          <w:rFonts w:cs="Arial"/>
        </w:rPr>
        <w:t xml:space="preserve">To our knowledge this is the first study to explore the experiences and perceptions of both index </w:t>
      </w:r>
      <w:r w:rsidR="00F77B50" w:rsidRPr="00B85D62">
        <w:rPr>
          <w:rFonts w:cs="Arial"/>
        </w:rPr>
        <w:t>patients</w:t>
      </w:r>
      <w:r w:rsidRPr="00B85D62">
        <w:rPr>
          <w:rFonts w:cs="Arial"/>
        </w:rPr>
        <w:t xml:space="preserve"> and relatives, and health professionals involved, across different settings in the UK, chosen to reflect a range of current FH cascade testing approaches. The purposeful study sample included people with a diversity of cascade testing experience and range of professionals supporting this. Analysis of </w:t>
      </w:r>
      <w:r w:rsidR="00B85D62" w:rsidRPr="00B85D62">
        <w:rPr>
          <w:rFonts w:cs="Arial"/>
          <w:color w:val="00B0F0"/>
          <w:highlight w:val="magenta"/>
        </w:rPr>
        <w:t>data</w:t>
      </w:r>
      <w:r w:rsidR="00B85D62" w:rsidRPr="00B85D62">
        <w:rPr>
          <w:rFonts w:cs="Arial"/>
          <w:color w:val="00B0F0"/>
        </w:rPr>
        <w:t xml:space="preserve"> were</w:t>
      </w:r>
      <w:r w:rsidRPr="00B85D62">
        <w:rPr>
          <w:rFonts w:cs="Arial"/>
        </w:rPr>
        <w:t xml:space="preserve"> developed by two researchers of different disciplinary backgrounds, and a process of member checking with respondents themselves was also undertaken confirming interpretation of their experiences as described</w:t>
      </w:r>
      <w:r w:rsidR="00F77B50" w:rsidRPr="00B85D62">
        <w:rPr>
          <w:rFonts w:cs="Arial"/>
        </w:rPr>
        <w:t>.</w:t>
      </w:r>
    </w:p>
    <w:p w14:paraId="5CC183B2" w14:textId="18C135EE" w:rsidR="000A201F" w:rsidRPr="00B85D62" w:rsidRDefault="000A201F" w:rsidP="00F947F9">
      <w:pPr>
        <w:rPr>
          <w:rFonts w:cs="Arial"/>
        </w:rPr>
      </w:pPr>
      <w:r w:rsidRPr="00B85D62">
        <w:rPr>
          <w:rFonts w:cs="Arial"/>
        </w:rPr>
        <w:t xml:space="preserve">We acknowledge some limitations, which are challenges for future research to address in this field. Index patient and relative participants were white, </w:t>
      </w:r>
      <w:r w:rsidR="00B85D62" w:rsidRPr="00B85D62">
        <w:rPr>
          <w:rFonts w:cs="Arial"/>
          <w:color w:val="00B0F0"/>
        </w:rPr>
        <w:t>predominantly</w:t>
      </w:r>
      <w:r w:rsidRPr="00B85D62">
        <w:rPr>
          <w:rFonts w:cs="Arial"/>
        </w:rPr>
        <w:t xml:space="preserve"> female and English-speaking. The lack of ethnic diversity reflects that seen in FH services and thus who we were able to access and engage for interview and sampling. Also we did not secure direct testimony from relatives who declined FH cascade testing, second-degree relatives and from genetic counsellors.</w:t>
      </w:r>
    </w:p>
    <w:p w14:paraId="09B9468D" w14:textId="77777777" w:rsidR="00982DFE" w:rsidRPr="00B85D62" w:rsidRDefault="00982DFE" w:rsidP="00F947F9">
      <w:pPr>
        <w:rPr>
          <w:highlight w:val="green"/>
        </w:rPr>
      </w:pPr>
    </w:p>
    <w:p w14:paraId="255D00E1" w14:textId="77777777" w:rsidR="00B85D62" w:rsidRPr="00B85D62" w:rsidRDefault="00982DFE" w:rsidP="006C7E71">
      <w:pPr>
        <w:pStyle w:val="Heading2"/>
      </w:pPr>
      <w:bookmarkStart w:id="277" w:name="_Toc107157521"/>
      <w:r w:rsidRPr="00B85D62">
        <w:t xml:space="preserve">Policy and </w:t>
      </w:r>
      <w:r w:rsidRPr="00B85D62">
        <w:rPr>
          <w:highlight w:val="magenta"/>
        </w:rPr>
        <w:t>Practice</w:t>
      </w:r>
      <w:r w:rsidRPr="00B85D62">
        <w:t xml:space="preserve"> Recommendations</w:t>
      </w:r>
      <w:bookmarkEnd w:id="277"/>
    </w:p>
    <w:p w14:paraId="24CBF899" w14:textId="678F1DEF" w:rsidR="00D35065" w:rsidRPr="00B85D62" w:rsidRDefault="00F77B50" w:rsidP="00E27E87">
      <w:pPr>
        <w:pStyle w:val="ListParagraph"/>
        <w:numPr>
          <w:ilvl w:val="0"/>
          <w:numId w:val="36"/>
        </w:numPr>
        <w:rPr>
          <w:rFonts w:cs="Arial"/>
        </w:rPr>
      </w:pPr>
      <w:r w:rsidRPr="00B85D62">
        <w:rPr>
          <w:rFonts w:cs="Arial"/>
        </w:rPr>
        <w:t xml:space="preserve">Inform evidence </w:t>
      </w:r>
      <w:r w:rsidR="00E27E87" w:rsidRPr="00B85D62">
        <w:rPr>
          <w:rFonts w:cs="Arial"/>
        </w:rPr>
        <w:t>to</w:t>
      </w:r>
      <w:r w:rsidRPr="00B85D62">
        <w:rPr>
          <w:rFonts w:cs="Arial"/>
        </w:rPr>
        <w:t xml:space="preserve"> recommendation for future </w:t>
      </w:r>
      <w:r w:rsidR="00D35065" w:rsidRPr="00B85D62">
        <w:rPr>
          <w:rFonts w:cs="Arial"/>
        </w:rPr>
        <w:t>NICE FH guideline</w:t>
      </w:r>
      <w:r w:rsidR="007C1722" w:rsidRPr="00B85D62">
        <w:rPr>
          <w:rFonts w:cs="Arial"/>
        </w:rPr>
        <w:t xml:space="preserve"> updates</w:t>
      </w:r>
      <w:r w:rsidR="00D35065" w:rsidRPr="00B85D62">
        <w:rPr>
          <w:rFonts w:cs="Arial"/>
        </w:rPr>
        <w:t xml:space="preserve">: These findings </w:t>
      </w:r>
      <w:r w:rsidR="00D35065" w:rsidRPr="00B85D62">
        <w:rPr>
          <w:rFonts w:cs="Arial"/>
          <w:highlight w:val="magenta"/>
        </w:rPr>
        <w:t>complement</w:t>
      </w:r>
      <w:r w:rsidR="00D35065" w:rsidRPr="00B85D62">
        <w:rPr>
          <w:rFonts w:cs="Arial"/>
        </w:rPr>
        <w:t xml:space="preserve"> the </w:t>
      </w:r>
      <w:r w:rsidR="00D35065" w:rsidRPr="00B85D62">
        <w:rPr>
          <w:rFonts w:cs="Arial"/>
          <w:color w:val="FFCC00"/>
        </w:rPr>
        <w:t>policy recommendation</w:t>
      </w:r>
      <w:r w:rsidR="00D35065" w:rsidRPr="00B85D62">
        <w:rPr>
          <w:rFonts w:cs="Arial"/>
        </w:rPr>
        <w:t xml:space="preserve">s of the </w:t>
      </w:r>
      <w:r w:rsidR="007C1722" w:rsidRPr="00B85D62">
        <w:rPr>
          <w:rFonts w:cs="Arial"/>
        </w:rPr>
        <w:t>NICE FH</w:t>
      </w:r>
      <w:r w:rsidR="00D35065" w:rsidRPr="00B85D62">
        <w:rPr>
          <w:rFonts w:cs="Arial"/>
        </w:rPr>
        <w:t xml:space="preserve"> guideline of star</w:t>
      </w:r>
      <w:r w:rsidRPr="00B85D62">
        <w:rPr>
          <w:rFonts w:cs="Arial"/>
        </w:rPr>
        <w:t>t</w:t>
      </w:r>
      <w:r w:rsidR="00D35065" w:rsidRPr="00B85D62">
        <w:rPr>
          <w:rFonts w:cs="Arial"/>
        </w:rPr>
        <w:t>ing cascade testing from genetically tested index cases</w:t>
      </w:r>
      <w:r w:rsidR="00121BE2" w:rsidRPr="00B85D62">
        <w:rPr>
          <w:rFonts w:cs="Arial"/>
        </w:rPr>
        <w:t>.</w:t>
      </w:r>
      <w:r w:rsidR="00B85D62" w:rsidRPr="00B85D62">
        <w:rPr>
          <w:rFonts w:cs="Arial"/>
        </w:rPr>
        <w:t xml:space="preserve"> </w:t>
      </w:r>
      <w:r w:rsidR="00E27E87" w:rsidRPr="00B85D62">
        <w:rPr>
          <w:rFonts w:cs="Arial"/>
        </w:rPr>
        <w:t xml:space="preserve">The further elaboration on the most effective protocol, specifically testing </w:t>
      </w:r>
      <w:r w:rsidR="00B85D62" w:rsidRPr="00B85D62">
        <w:rPr>
          <w:rFonts w:cs="Arial"/>
          <w:color w:val="00B0F0"/>
        </w:rPr>
        <w:t>1st</w:t>
      </w:r>
      <w:r w:rsidR="00E27E87" w:rsidRPr="00B85D62">
        <w:rPr>
          <w:rFonts w:cs="Arial"/>
        </w:rPr>
        <w:t xml:space="preserve"> and </w:t>
      </w:r>
      <w:r w:rsidR="00B85D62" w:rsidRPr="00B85D62">
        <w:rPr>
          <w:rFonts w:cs="Arial"/>
          <w:color w:val="00B0F0"/>
        </w:rPr>
        <w:t>2nd</w:t>
      </w:r>
      <w:r w:rsidR="00E27E87" w:rsidRPr="00B85D62">
        <w:rPr>
          <w:rFonts w:cs="Arial"/>
        </w:rPr>
        <w:t xml:space="preserve"> degree relatives simultaneously, may be reviewed with </w:t>
      </w:r>
      <w:r w:rsidR="0063039E" w:rsidRPr="00B85D62">
        <w:rPr>
          <w:rFonts w:cs="Arial"/>
        </w:rPr>
        <w:t xml:space="preserve">other </w:t>
      </w:r>
      <w:r w:rsidR="00E27E87" w:rsidRPr="00B85D62">
        <w:rPr>
          <w:rFonts w:cs="Arial"/>
        </w:rPr>
        <w:t xml:space="preserve">emerging evidence by </w:t>
      </w:r>
      <w:r w:rsidR="007C1722" w:rsidRPr="00B85D62">
        <w:rPr>
          <w:rFonts w:cs="Arial"/>
        </w:rPr>
        <w:t xml:space="preserve">a </w:t>
      </w:r>
      <w:r w:rsidR="00E27E87" w:rsidRPr="00B85D62">
        <w:rPr>
          <w:rFonts w:cs="Arial"/>
        </w:rPr>
        <w:t xml:space="preserve">future NICE FH guideline </w:t>
      </w:r>
      <w:r w:rsidR="0063039E" w:rsidRPr="00B85D62">
        <w:rPr>
          <w:rFonts w:cs="Arial"/>
        </w:rPr>
        <w:t>development group.</w:t>
      </w:r>
    </w:p>
    <w:p w14:paraId="0118EE82" w14:textId="77777777" w:rsidR="00B85D62" w:rsidRPr="00B85D62" w:rsidRDefault="00D35065" w:rsidP="00F947F9">
      <w:pPr>
        <w:pStyle w:val="ListParagraph"/>
        <w:numPr>
          <w:ilvl w:val="0"/>
          <w:numId w:val="36"/>
        </w:numPr>
        <w:rPr>
          <w:rFonts w:eastAsia="Calibri" w:cs="Arial"/>
        </w:rPr>
      </w:pPr>
      <w:r w:rsidRPr="00B85D62">
        <w:rPr>
          <w:rFonts w:cs="Arial"/>
        </w:rPr>
        <w:t xml:space="preserve">Modality of contact with relatives of index cases: </w:t>
      </w:r>
      <w:r w:rsidR="00BD2354" w:rsidRPr="00B85D62">
        <w:rPr>
          <w:rFonts w:cs="Arial"/>
        </w:rPr>
        <w:t>Based on cost-effectiveness analysis and the qualitative study, a</w:t>
      </w:r>
      <w:r w:rsidRPr="00B85D62">
        <w:rPr>
          <w:rFonts w:eastAsia="Calibri" w:cs="Arial"/>
        </w:rPr>
        <w:t xml:space="preserve"> direct approach </w:t>
      </w:r>
      <w:r w:rsidR="00BD2354" w:rsidRPr="00B85D62">
        <w:rPr>
          <w:rFonts w:eastAsia="Calibri" w:cs="Arial"/>
        </w:rPr>
        <w:t xml:space="preserve">appears to be the preferred approach, </w:t>
      </w:r>
      <w:r w:rsidRPr="00B85D62">
        <w:rPr>
          <w:rFonts w:eastAsia="Calibri" w:cs="Arial"/>
        </w:rPr>
        <w:t>improv</w:t>
      </w:r>
      <w:r w:rsidR="00BD2354" w:rsidRPr="00B85D62">
        <w:rPr>
          <w:rFonts w:eastAsia="Calibri" w:cs="Arial"/>
        </w:rPr>
        <w:t>ing</w:t>
      </w:r>
      <w:r w:rsidRPr="00B85D62">
        <w:rPr>
          <w:rFonts w:eastAsia="Calibri" w:cs="Arial"/>
        </w:rPr>
        <w:t xml:space="preserve"> confidence that contact with relatives has taken place, that information about FH is appropriately communicated, and more readily enables </w:t>
      </w:r>
      <w:r w:rsidRPr="00B85D62">
        <w:rPr>
          <w:rFonts w:eastAsia="Calibri" w:cs="Arial"/>
          <w:highlight w:val="magenta"/>
        </w:rPr>
        <w:t>follow up</w:t>
      </w:r>
      <w:r w:rsidRPr="00B85D62">
        <w:rPr>
          <w:rFonts w:eastAsia="Calibri" w:cs="Arial"/>
        </w:rPr>
        <w:t xml:space="preserve"> of non-response. Using a flexible </w:t>
      </w:r>
      <w:r w:rsidR="0063039E" w:rsidRPr="00B85D62">
        <w:rPr>
          <w:rFonts w:eastAsia="Calibri" w:cs="Arial"/>
        </w:rPr>
        <w:t>combined</w:t>
      </w:r>
      <w:r w:rsidRPr="00B85D62">
        <w:rPr>
          <w:rFonts w:eastAsia="Calibri" w:cs="Arial"/>
        </w:rPr>
        <w:t xml:space="preserve"> approach (of either or both direct and indirect approach), case by case, may have greatest acceptability and success, guided by consultation with each individual index patient and assessment of their family relationships.</w:t>
      </w:r>
    </w:p>
    <w:p w14:paraId="5FD5B7C3" w14:textId="77777777" w:rsidR="00B85D62" w:rsidRPr="00B85D62" w:rsidRDefault="00D35065" w:rsidP="0063039E">
      <w:pPr>
        <w:pStyle w:val="ListParagraph"/>
        <w:numPr>
          <w:ilvl w:val="0"/>
          <w:numId w:val="36"/>
        </w:numPr>
        <w:rPr>
          <w:rFonts w:cs="Arial"/>
        </w:rPr>
      </w:pPr>
      <w:r w:rsidRPr="00B85D62">
        <w:rPr>
          <w:rFonts w:cs="Arial"/>
        </w:rPr>
        <w:t xml:space="preserve">UK- wide co-ordinated service: </w:t>
      </w:r>
      <w:r w:rsidR="00BD2354" w:rsidRPr="00B85D62">
        <w:rPr>
          <w:rFonts w:cs="Arial"/>
        </w:rPr>
        <w:t>The cost-effectiveness analysis supports a</w:t>
      </w:r>
      <w:r w:rsidRPr="00B85D62">
        <w:rPr>
          <w:rFonts w:cs="Arial"/>
        </w:rPr>
        <w:t xml:space="preserve"> nationally co-ordinated specialist FH nurse led service should be set up. </w:t>
      </w:r>
      <w:r w:rsidR="0063039E" w:rsidRPr="00B85D62">
        <w:rPr>
          <w:rFonts w:cs="Arial"/>
        </w:rPr>
        <w:t xml:space="preserve">A nationally co-ordinated service could diagnose more relatives (e.g. 1,553 FH relatives per year in the UK vs 1,175 FH relatives if only in-area relatives can be cascade tested), at a cost of £2.72 million. </w:t>
      </w:r>
      <w:r w:rsidRPr="00B85D62">
        <w:rPr>
          <w:rFonts w:cs="Arial"/>
        </w:rPr>
        <w:t xml:space="preserve">Without this, the high proportion of relatives living outside of the geographical area covered by the </w:t>
      </w:r>
      <w:r w:rsidRPr="00B85D62">
        <w:rPr>
          <w:rFonts w:cs="Arial"/>
          <w:highlight w:val="magenta"/>
        </w:rPr>
        <w:t>respective</w:t>
      </w:r>
      <w:r w:rsidRPr="00B85D62">
        <w:rPr>
          <w:rFonts w:cs="Arial"/>
        </w:rPr>
        <w:t xml:space="preserve"> cascade service will not be contacted and tested. This coordinated service could also help improve access for underserved groups, such as minority communities, men and more distant relatives (second- or higher-degree). To improve access, limited health literacy needs to be tackled and information provided in formats and languages that are appropriate to the diverse populations served by these services.</w:t>
      </w:r>
    </w:p>
    <w:p w14:paraId="27878001" w14:textId="7BF77879" w:rsidR="00B85D62" w:rsidRPr="00B85D62" w:rsidRDefault="00982DFE" w:rsidP="006C7E71">
      <w:pPr>
        <w:pStyle w:val="Heading2"/>
      </w:pPr>
      <w:bookmarkStart w:id="278" w:name="_Toc107157522"/>
      <w:r w:rsidRPr="00B85D62">
        <w:t>Recommendations for Future research</w:t>
      </w:r>
      <w:bookmarkEnd w:id="278"/>
    </w:p>
    <w:p w14:paraId="759D30AA" w14:textId="560C0E25" w:rsidR="00982DFE" w:rsidRPr="00B85D62" w:rsidRDefault="00982DFE" w:rsidP="00F947F9">
      <w:pPr>
        <w:rPr>
          <w:rFonts w:cs="Arial"/>
        </w:rPr>
      </w:pPr>
      <w:r w:rsidRPr="00B85D62">
        <w:rPr>
          <w:rFonts w:cs="Arial"/>
        </w:rPr>
        <w:t>1. Establish long</w:t>
      </w:r>
      <w:r w:rsidR="0063039E" w:rsidRPr="00B85D62">
        <w:rPr>
          <w:rFonts w:cs="Arial"/>
        </w:rPr>
        <w:t>-</w:t>
      </w:r>
      <w:r w:rsidRPr="00B85D62">
        <w:rPr>
          <w:rFonts w:cs="Arial"/>
        </w:rPr>
        <w:t>term FH cohort with robust measurement of cholesterol levels, treatment and cardiovascular outcomes to quantify LDL-C burden.</w:t>
      </w:r>
    </w:p>
    <w:p w14:paraId="2A60D8F4" w14:textId="77777777" w:rsidR="00982DFE" w:rsidRPr="00B85D62" w:rsidRDefault="00982DFE" w:rsidP="00F947F9">
      <w:pPr>
        <w:rPr>
          <w:rFonts w:cs="Arial"/>
        </w:rPr>
      </w:pPr>
      <w:r w:rsidRPr="00B85D62">
        <w:rPr>
          <w:rFonts w:cs="Arial"/>
        </w:rPr>
        <w:t>2. For definitive evidence, randomised study directly comparing different approaches to contact relatives</w:t>
      </w:r>
    </w:p>
    <w:p w14:paraId="7741236A" w14:textId="77777777" w:rsidR="00B85D62" w:rsidRPr="00B85D62" w:rsidRDefault="00982DFE" w:rsidP="00F947F9">
      <w:pPr>
        <w:rPr>
          <w:rFonts w:cs="Arial"/>
        </w:rPr>
      </w:pPr>
      <w:r w:rsidRPr="00B85D62">
        <w:rPr>
          <w:rFonts w:cs="Arial"/>
        </w:rPr>
        <w:t>3. Future qualitative appraisal of FH services should aim to interview a more diverse patient population, including ethnic minorities, male and more distant relatives</w:t>
      </w:r>
    </w:p>
    <w:p w14:paraId="516349EA" w14:textId="698A3C88" w:rsidR="00201D4F" w:rsidRPr="00B85D62" w:rsidRDefault="00B85D62" w:rsidP="0066232B">
      <w:pPr>
        <w:rPr>
          <w:rFonts w:cs="Arial"/>
          <w:b/>
          <w:color w:val="FF0000"/>
          <w:lang w:eastAsia="en-GB"/>
        </w:rPr>
      </w:pPr>
      <w:bookmarkStart w:id="279" w:name="_Toc474849022"/>
      <w:bookmarkStart w:id="280" w:name="_Ref14423510"/>
      <w:bookmarkStart w:id="281" w:name="_Toc61283570"/>
      <w:r w:rsidRPr="00B85D62">
        <w:rPr>
          <w:rFonts w:cs="Arial"/>
          <w:color w:val="FF0000"/>
          <w:lang w:eastAsia="en-GB"/>
        </w:rPr>
        <w:t xml:space="preserve">  </w:t>
      </w:r>
    </w:p>
    <w:p w14:paraId="308F7F7D" w14:textId="77777777" w:rsidR="00B85D62" w:rsidRPr="00B85D62" w:rsidRDefault="031E383E" w:rsidP="0066232B">
      <w:pPr>
        <w:pStyle w:val="Heading1"/>
        <w:spacing w:line="360" w:lineRule="auto"/>
        <w:rPr>
          <w:rFonts w:ascii="Arial" w:hAnsi="Arial" w:cs="Arial"/>
          <w:sz w:val="22"/>
          <w:szCs w:val="22"/>
        </w:rPr>
      </w:pPr>
      <w:bookmarkStart w:id="282" w:name="_Toc76461080"/>
      <w:r w:rsidRPr="00B85D62">
        <w:rPr>
          <w:rFonts w:ascii="Arial" w:hAnsi="Arial" w:cs="Arial"/>
          <w:sz w:val="22"/>
          <w:szCs w:val="22"/>
        </w:rPr>
        <w:t xml:space="preserve"> </w:t>
      </w:r>
      <w:bookmarkStart w:id="283" w:name="_Toc107157523"/>
      <w:r w:rsidR="7E83A60D" w:rsidRPr="00B85D62">
        <w:rPr>
          <w:rFonts w:ascii="Arial" w:hAnsi="Arial" w:cs="Arial"/>
          <w:sz w:val="22"/>
          <w:szCs w:val="22"/>
        </w:rPr>
        <w:t>Acknowledgements</w:t>
      </w:r>
      <w:bookmarkEnd w:id="279"/>
      <w:bookmarkEnd w:id="280"/>
      <w:bookmarkEnd w:id="281"/>
      <w:bookmarkEnd w:id="282"/>
      <w:bookmarkEnd w:id="283"/>
    </w:p>
    <w:p w14:paraId="7D777450" w14:textId="39D4B779" w:rsidR="00201D4F" w:rsidRPr="00B85D62" w:rsidRDefault="00EA378B" w:rsidP="006C7E71">
      <w:pPr>
        <w:pStyle w:val="Heading2"/>
      </w:pPr>
      <w:bookmarkStart w:id="284" w:name="_Toc107157524"/>
      <w:r w:rsidRPr="00B85D62">
        <w:t>Acknowledgements</w:t>
      </w:r>
      <w:bookmarkEnd w:id="284"/>
    </w:p>
    <w:p w14:paraId="0AA65441" w14:textId="23EF0084" w:rsidR="00201D4F" w:rsidRPr="00B85D62" w:rsidRDefault="40F74604" w:rsidP="2CEF8262">
      <w:pPr>
        <w:rPr>
          <w:rFonts w:cs="Arial"/>
        </w:rPr>
      </w:pPr>
      <w:r w:rsidRPr="00B85D62">
        <w:rPr>
          <w:rFonts w:eastAsia="Arial" w:cs="Arial"/>
        </w:rPr>
        <w:t>Firstly, we would like to thank the project administrators (Stephanie Gallimore &amp; Christina Sheehan) for the meticulous work to keep the project on track</w:t>
      </w:r>
      <w:r w:rsidR="37A53CE4" w:rsidRPr="00B85D62">
        <w:rPr>
          <w:rFonts w:eastAsia="Arial" w:cs="Arial"/>
        </w:rPr>
        <w:t xml:space="preserve">. This report would not have been finalised without the support of </w:t>
      </w:r>
      <w:r w:rsidRPr="00B85D62">
        <w:rPr>
          <w:rFonts w:eastAsia="Arial" w:cs="Arial"/>
        </w:rPr>
        <w:t>Natasha Rogers</w:t>
      </w:r>
      <w:r w:rsidR="183A43B2" w:rsidRPr="00B85D62">
        <w:rPr>
          <w:rFonts w:eastAsia="Arial" w:cs="Arial"/>
        </w:rPr>
        <w:t xml:space="preserve">, </w:t>
      </w:r>
      <w:r w:rsidRPr="00B85D62">
        <w:rPr>
          <w:rFonts w:eastAsia="Arial" w:cs="Arial"/>
        </w:rPr>
        <w:t>William Evans</w:t>
      </w:r>
      <w:r w:rsidR="1658BFC7" w:rsidRPr="00B85D62">
        <w:rPr>
          <w:rFonts w:eastAsia="Arial" w:cs="Arial"/>
        </w:rPr>
        <w:t xml:space="preserve">, </w:t>
      </w:r>
      <w:r w:rsidR="004071A4" w:rsidRPr="00B85D62">
        <w:rPr>
          <w:rFonts w:eastAsia="Arial" w:cs="Arial"/>
        </w:rPr>
        <w:t xml:space="preserve">Hasidah Abdul Hamid, </w:t>
      </w:r>
      <w:r w:rsidR="1658BFC7" w:rsidRPr="00B85D62">
        <w:rPr>
          <w:rFonts w:eastAsia="Arial" w:cs="Arial"/>
        </w:rPr>
        <w:t>Pamela Pepper and Sadaf Qureshi.</w:t>
      </w:r>
    </w:p>
    <w:p w14:paraId="7CB45B25" w14:textId="1364A46E" w:rsidR="00201D4F" w:rsidRPr="00B85D62" w:rsidRDefault="5ED559D4" w:rsidP="2CEF8262">
      <w:pPr>
        <w:rPr>
          <w:rFonts w:eastAsia="Arial" w:cs="Arial"/>
        </w:rPr>
      </w:pPr>
      <w:r w:rsidRPr="00B85D62">
        <w:rPr>
          <w:rFonts w:eastAsia="Arial" w:cs="Arial"/>
        </w:rPr>
        <w:t xml:space="preserve">We thank Professor Mark Sculphur </w:t>
      </w:r>
      <w:r w:rsidR="001D1645" w:rsidRPr="00B85D62">
        <w:rPr>
          <w:rFonts w:eastAsia="Arial" w:cs="Arial"/>
        </w:rPr>
        <w:t xml:space="preserve">and Dr Robert Pear </w:t>
      </w:r>
      <w:r w:rsidRPr="00B85D62">
        <w:rPr>
          <w:rFonts w:eastAsia="Arial" w:cs="Arial"/>
        </w:rPr>
        <w:t xml:space="preserve">for </w:t>
      </w:r>
      <w:r w:rsidR="001D1645" w:rsidRPr="00B85D62">
        <w:rPr>
          <w:rFonts w:eastAsia="Arial" w:cs="Arial"/>
        </w:rPr>
        <w:t xml:space="preserve">their </w:t>
      </w:r>
      <w:r w:rsidRPr="00B85D62">
        <w:rPr>
          <w:rFonts w:eastAsia="Arial" w:cs="Arial"/>
        </w:rPr>
        <w:t>invaluable support and guidance as a co-applicant</w:t>
      </w:r>
      <w:r w:rsidR="001D1645" w:rsidRPr="00B85D62">
        <w:rPr>
          <w:rFonts w:eastAsia="Arial" w:cs="Arial"/>
        </w:rPr>
        <w:t>s</w:t>
      </w:r>
      <w:r w:rsidRPr="00B85D62">
        <w:rPr>
          <w:rFonts w:eastAsia="Arial" w:cs="Arial"/>
        </w:rPr>
        <w:t xml:space="preserve"> and </w:t>
      </w:r>
      <w:r w:rsidR="1B410B2D" w:rsidRPr="00B85D62">
        <w:rPr>
          <w:rFonts w:eastAsia="Arial" w:cs="Arial"/>
        </w:rPr>
        <w:t>advisor</w:t>
      </w:r>
      <w:r w:rsidR="001D1645" w:rsidRPr="00B85D62">
        <w:rPr>
          <w:rFonts w:eastAsia="Arial" w:cs="Arial"/>
        </w:rPr>
        <w:t>s</w:t>
      </w:r>
      <w:r w:rsidR="1B410B2D" w:rsidRPr="00B85D62">
        <w:rPr>
          <w:rFonts w:eastAsia="Arial" w:cs="Arial"/>
        </w:rPr>
        <w:t xml:space="preserve"> throughout the study</w:t>
      </w:r>
    </w:p>
    <w:p w14:paraId="44C8D1C8" w14:textId="14E74E5F" w:rsidR="00201D4F" w:rsidRPr="00B85D62" w:rsidRDefault="22CB30B7" w:rsidP="0066232B">
      <w:pPr>
        <w:rPr>
          <w:rFonts w:cs="Arial"/>
        </w:rPr>
      </w:pPr>
      <w:r w:rsidRPr="00B85D62">
        <w:rPr>
          <w:rFonts w:eastAsia="Arial" w:cs="Arial"/>
        </w:rPr>
        <w:t>We would like to thank our Stakeholder Group for kindly taking part in various meetings about the cost-effectiveness work, providing feedback and information, which was invaluable for the successful delivery of this project.</w:t>
      </w:r>
    </w:p>
    <w:p w14:paraId="28D16AE6" w14:textId="4BDFBD95"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Delyth Townsend (FH nurse at South West Wales NHS);</w:t>
      </w:r>
    </w:p>
    <w:p w14:paraId="10C6364A" w14:textId="73FB5857"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 xml:space="preserve">Dev Datta (consultant in metabolic medicine, medical </w:t>
      </w:r>
      <w:r w:rsidRPr="00B85D62">
        <w:rPr>
          <w:rFonts w:eastAsia="Arial" w:cs="Arial"/>
          <w:highlight w:val="magenta"/>
        </w:rPr>
        <w:t>lead</w:t>
      </w:r>
      <w:r w:rsidRPr="00B85D62">
        <w:rPr>
          <w:rFonts w:eastAsia="Arial" w:cs="Arial"/>
        </w:rPr>
        <w:t xml:space="preserve"> for the Wales Familial Hypercholesterolaemia Service);</w:t>
      </w:r>
    </w:p>
    <w:p w14:paraId="0CF5ECCF" w14:textId="182AA0AD"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Dermot Neely (consultant in clinical biochemistry and metabolic medicine, Royal Victoria Infirmary);</w:t>
      </w:r>
    </w:p>
    <w:p w14:paraId="39A0E7C1" w14:textId="090DF893"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Jaimini Cegla (consultant in metabolic medicine, Imperial College Healthcare NHS Trust);</w:t>
      </w:r>
    </w:p>
    <w:p w14:paraId="57C70C44" w14:textId="10DCC5E8"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Jane Breen (</w:t>
      </w:r>
      <w:r w:rsidRPr="00B85D62">
        <w:rPr>
          <w:rFonts w:eastAsia="Arial" w:cs="Arial"/>
          <w:highlight w:val="magenta"/>
        </w:rPr>
        <w:t>lead</w:t>
      </w:r>
      <w:r w:rsidRPr="00B85D62">
        <w:rPr>
          <w:rFonts w:eastAsia="Arial" w:cs="Arial"/>
        </w:rPr>
        <w:t xml:space="preserve"> FH nurse at the Harefield Hospital);</w:t>
      </w:r>
    </w:p>
    <w:p w14:paraId="07641DCB" w14:textId="3EDF34DF"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 xml:space="preserve">Joanne Whitmore (clinical </w:t>
      </w:r>
      <w:r w:rsidRPr="00B85D62">
        <w:rPr>
          <w:rFonts w:eastAsia="Arial" w:cs="Arial"/>
          <w:highlight w:val="magenta"/>
        </w:rPr>
        <w:t>lead</w:t>
      </w:r>
      <w:r w:rsidRPr="00B85D62">
        <w:rPr>
          <w:rFonts w:eastAsia="Arial" w:cs="Arial"/>
        </w:rPr>
        <w:t xml:space="preserve"> for FH at the British Heart Foundation);</w:t>
      </w:r>
    </w:p>
    <w:p w14:paraId="2D819249" w14:textId="49B8675A"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Paul Roderick (Professor of Public Health, University of Southampton);</w:t>
      </w:r>
    </w:p>
    <w:p w14:paraId="219FD4CB" w14:textId="3AB7DD0A"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Peter Green (Medical Director, NHS Kent and Medway);</w:t>
      </w:r>
    </w:p>
    <w:p w14:paraId="33F0CD2C" w14:textId="490010EF"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Phil Rowland (patient representative);</w:t>
      </w:r>
    </w:p>
    <w:p w14:paraId="6FC5AA71" w14:textId="03BB689D"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Robert Cramb (consultant chemical pathologist, retired);</w:t>
      </w:r>
    </w:p>
    <w:p w14:paraId="63E95F94" w14:textId="380EE191" w:rsidR="00201D4F" w:rsidRPr="00B85D62" w:rsidRDefault="22CB30B7" w:rsidP="0066232B">
      <w:pPr>
        <w:rPr>
          <w:rFonts w:cs="Arial"/>
        </w:rPr>
      </w:pPr>
      <w:r w:rsidRPr="00B85D62">
        <w:rPr>
          <w:rFonts w:eastAsia="Arial" w:cs="Arial"/>
        </w:rPr>
        <w:t>-</w:t>
      </w:r>
      <w:r w:rsidR="00B85D62" w:rsidRPr="00B85D62">
        <w:rPr>
          <w:rFonts w:eastAsia="Arial" w:cs="Arial"/>
        </w:rPr>
        <w:t xml:space="preserve"> </w:t>
      </w:r>
      <w:r w:rsidRPr="00B85D62">
        <w:rPr>
          <w:rFonts w:eastAsia="Arial" w:cs="Arial"/>
        </w:rPr>
        <w:t xml:space="preserve">Rob Pears (consultant in public health, Hampshire County </w:t>
      </w:r>
      <w:r w:rsidRPr="00B85D62">
        <w:rPr>
          <w:rFonts w:eastAsia="Arial" w:cs="Arial"/>
          <w:highlight w:val="magenta"/>
        </w:rPr>
        <w:t>Council</w:t>
      </w:r>
      <w:r w:rsidRPr="00B85D62">
        <w:rPr>
          <w:rFonts w:eastAsia="Arial" w:cs="Arial"/>
        </w:rPr>
        <w:t>);</w:t>
      </w:r>
    </w:p>
    <w:p w14:paraId="561CF053" w14:textId="4A806185" w:rsidR="00201D4F" w:rsidRPr="00B85D62" w:rsidRDefault="22CB30B7" w:rsidP="0066232B">
      <w:pPr>
        <w:rPr>
          <w:rFonts w:cs="Arial"/>
        </w:rPr>
      </w:pPr>
      <w:r w:rsidRPr="00B85D62">
        <w:rPr>
          <w:rFonts w:eastAsia="Arial" w:cs="Arial"/>
        </w:rPr>
        <w:t xml:space="preserve">We would also like to thank Prof. dr. E.S.G. Stroes (Department of Vascular Medicine, Amsterdam UMC and Medical director </w:t>
      </w:r>
      <w:r w:rsidR="00B85D62" w:rsidRPr="00B85D62">
        <w:rPr>
          <w:rFonts w:eastAsia="Arial" w:cs="Arial"/>
        </w:rPr>
        <w:t>“</w:t>
      </w:r>
      <w:r w:rsidRPr="00B85D62">
        <w:rPr>
          <w:rFonts w:eastAsia="Arial" w:cs="Arial"/>
        </w:rPr>
        <w:t>Landelijk Expertisecentrum Erfelijkheidsonderzoek Familiaire Hart- en Vaatziekten</w:t>
      </w:r>
      <w:r w:rsidR="00B85D62" w:rsidRPr="00B85D62">
        <w:rPr>
          <w:rFonts w:eastAsia="Arial" w:cs="Arial"/>
        </w:rPr>
        <w:t>”</w:t>
      </w:r>
      <w:r w:rsidRPr="00B85D62">
        <w:rPr>
          <w:rFonts w:eastAsia="Arial" w:cs="Arial"/>
        </w:rPr>
        <w:t xml:space="preserve">, both at Amsterdam, The Netherlands), Prof. dr. G.K. Hovingh (Department of Vascular Medicine, Amsterdam UMC, Amsterdam, The Netherlands) and L.F. Reeskamp (Department of Vascular Medicine, Amsterdam UMC, Amsterdam, The Netherlands) for generously providing us with the distributions of </w:t>
      </w:r>
      <w:r w:rsidR="009D6CE5" w:rsidRPr="00B85D62">
        <w:rPr>
          <w:rFonts w:eastAsia="Arial" w:cs="Arial"/>
        </w:rPr>
        <w:t>LDL-C</w:t>
      </w:r>
      <w:r w:rsidRPr="00B85D62">
        <w:rPr>
          <w:rFonts w:eastAsia="Arial" w:cs="Arial"/>
        </w:rPr>
        <w:t xml:space="preserve"> of relatives tested for familial hypercholesterolaemia in the Dutch cascade screening programme.</w:t>
      </w:r>
    </w:p>
    <w:p w14:paraId="73C93D28" w14:textId="02E300DF" w:rsidR="00201D4F" w:rsidRPr="00B85D62" w:rsidRDefault="22CB30B7" w:rsidP="0066232B">
      <w:pPr>
        <w:rPr>
          <w:rFonts w:cs="Arial"/>
        </w:rPr>
      </w:pPr>
      <w:r w:rsidRPr="00B85D62">
        <w:rPr>
          <w:rFonts w:eastAsia="Arial" w:cs="Arial"/>
        </w:rPr>
        <w:t>We would like to thank David Wonderling (National Guideline Centre) for kindly sharing the cost-effectiveness model which informed the NICE Clinical Guideline 181, which we adapted to obtain the long-term health outcomes and costs of individuals who do not have familial hypercholesterolaemia if they are misdiagnosed.</w:t>
      </w:r>
    </w:p>
    <w:p w14:paraId="3566751B" w14:textId="77777777" w:rsidR="00B85D62" w:rsidRPr="00B85D62" w:rsidRDefault="22CB30B7" w:rsidP="0066232B">
      <w:pPr>
        <w:rPr>
          <w:rFonts w:eastAsia="Arial" w:cs="Arial"/>
        </w:rPr>
      </w:pPr>
      <w:r w:rsidRPr="00B85D62">
        <w:rPr>
          <w:rFonts w:eastAsia="Arial" w:cs="Arial"/>
        </w:rPr>
        <w:t>We would like to thank Jane Breen (Harefield Hospital), Moyra Cather (Northern Ireland FH Regional Service), Darren Harvey and Zoë Jayne (both at the Royal Free Hospital), Rob</w:t>
      </w:r>
      <w:r w:rsidR="00F77CB3" w:rsidRPr="00B85D62">
        <w:rPr>
          <w:rFonts w:eastAsia="Arial" w:cs="Arial"/>
        </w:rPr>
        <w:t>ert</w:t>
      </w:r>
      <w:r w:rsidR="006A155D" w:rsidRPr="00B85D62">
        <w:rPr>
          <w:rFonts w:eastAsia="Arial" w:cs="Arial"/>
        </w:rPr>
        <w:t xml:space="preserve"> </w:t>
      </w:r>
      <w:r w:rsidR="00F77CB3" w:rsidRPr="00B85D62">
        <w:rPr>
          <w:rFonts w:eastAsia="Arial" w:cs="Arial"/>
        </w:rPr>
        <w:t>Gingel</w:t>
      </w:r>
      <w:r w:rsidR="00D50267" w:rsidRPr="00B85D62">
        <w:rPr>
          <w:rFonts w:eastAsia="Arial" w:cs="Arial"/>
        </w:rPr>
        <w:t>l</w:t>
      </w:r>
      <w:r w:rsidR="00F77CB3" w:rsidRPr="00B85D62">
        <w:rPr>
          <w:rFonts w:eastAsia="Arial" w:cs="Arial"/>
        </w:rPr>
        <w:t xml:space="preserve"> </w:t>
      </w:r>
      <w:r w:rsidRPr="00B85D62">
        <w:rPr>
          <w:rFonts w:eastAsia="Arial" w:cs="Arial"/>
        </w:rPr>
        <w:t>(North Wales FH service), Catherine Sherman and Angela Cazeaux (both at the Wessex FH service), and Norma Macleod (NHS Western Isles), for helpfully answering our questions about how their service</w:t>
      </w:r>
      <w:r w:rsidR="00D67133" w:rsidRPr="00B85D62">
        <w:rPr>
          <w:rFonts w:eastAsia="Arial" w:cs="Arial"/>
        </w:rPr>
        <w:t>s</w:t>
      </w:r>
      <w:r w:rsidRPr="00B85D62">
        <w:rPr>
          <w:rFonts w:eastAsia="Arial" w:cs="Arial"/>
        </w:rPr>
        <w:t xml:space="preserve"> operate cascade </w:t>
      </w:r>
      <w:r w:rsidR="00336A98" w:rsidRPr="00B85D62">
        <w:rPr>
          <w:rFonts w:eastAsia="Arial" w:cs="Arial"/>
        </w:rPr>
        <w:t>test</w:t>
      </w:r>
      <w:r w:rsidRPr="00B85D62">
        <w:rPr>
          <w:rFonts w:eastAsia="Arial" w:cs="Arial"/>
        </w:rPr>
        <w:t>ing.</w:t>
      </w:r>
    </w:p>
    <w:p w14:paraId="2016D21C" w14:textId="30512E35" w:rsidR="00201D4F" w:rsidRPr="00B85D62" w:rsidRDefault="22CB30B7" w:rsidP="0066232B">
      <w:pPr>
        <w:rPr>
          <w:rFonts w:cs="Arial"/>
        </w:rPr>
      </w:pPr>
      <w:r w:rsidRPr="00B85D62">
        <w:rPr>
          <w:rFonts w:eastAsia="Arial" w:cs="Arial"/>
        </w:rPr>
        <w:t>We would like to thank Professor Brian Ference (University of Cambridge) for helpfully answering our questions about LDL-C burden.</w:t>
      </w:r>
    </w:p>
    <w:p w14:paraId="4332DAF4" w14:textId="36F9E3C9" w:rsidR="00201D4F" w:rsidRPr="00B85D62" w:rsidRDefault="22CB30B7" w:rsidP="0066232B">
      <w:pPr>
        <w:rPr>
          <w:rFonts w:cs="Arial"/>
        </w:rPr>
      </w:pPr>
      <w:r w:rsidRPr="00B85D62">
        <w:rPr>
          <w:rFonts w:eastAsia="Arial" w:cs="Arial"/>
        </w:rPr>
        <w:t>We would like to thank Maggie Williams BSc DSc FRCPath (Bristol Genetics Laboratory) for information on the costs of genetic testing.</w:t>
      </w:r>
    </w:p>
    <w:p w14:paraId="3098E03F" w14:textId="1A274534" w:rsidR="00201D4F" w:rsidRPr="00B85D62" w:rsidRDefault="22CB30B7" w:rsidP="0066232B">
      <w:pPr>
        <w:rPr>
          <w:rFonts w:cs="Arial"/>
        </w:rPr>
      </w:pPr>
      <w:r w:rsidRPr="00B85D62">
        <w:rPr>
          <w:rFonts w:eastAsia="Arial" w:cs="Arial"/>
        </w:rPr>
        <w:t>We would like to thank Professor Susan Griffin (University of York) for kindly assisting in the design of the health economic analysis.</w:t>
      </w:r>
    </w:p>
    <w:p w14:paraId="10F6A580" w14:textId="65C44B3D" w:rsidR="00201D4F" w:rsidRPr="00B85D62" w:rsidRDefault="6A0CCC47" w:rsidP="0066232B">
      <w:pPr>
        <w:rPr>
          <w:rFonts w:cs="Arial"/>
        </w:rPr>
      </w:pPr>
      <w:r w:rsidRPr="00B85D62">
        <w:rPr>
          <w:rFonts w:eastAsia="Arial" w:cs="Arial"/>
        </w:rPr>
        <w:t xml:space="preserve">We would like to thank Manimekalai Thiruvothiyur (University of Aberdeen) for collating Scottish FH </w:t>
      </w:r>
      <w:r w:rsidRPr="00B85D62">
        <w:rPr>
          <w:rFonts w:eastAsia="Arial" w:cs="Arial"/>
          <w:highlight w:val="magenta"/>
        </w:rPr>
        <w:t>data</w:t>
      </w:r>
    </w:p>
    <w:p w14:paraId="7A442D0D" w14:textId="0578008D" w:rsidR="00201D4F" w:rsidRPr="00B85D62" w:rsidRDefault="6A0CCC47" w:rsidP="0066232B">
      <w:pPr>
        <w:rPr>
          <w:rFonts w:cs="Arial"/>
        </w:rPr>
      </w:pPr>
      <w:r w:rsidRPr="00B85D62">
        <w:rPr>
          <w:rFonts w:eastAsia="Arial" w:cs="Arial"/>
        </w:rPr>
        <w:t>We would like to thank Sotire Tumi (University of Newcastle) for work on systematic review on diagnostic accuracy of clinical and biochemical criteria to diagnose relatives of index cases with familial hypercholesterolemia</w:t>
      </w:r>
    </w:p>
    <w:p w14:paraId="4D847236" w14:textId="77777777" w:rsidR="00B85D62" w:rsidRPr="00B85D62" w:rsidRDefault="62E16D3F" w:rsidP="006C7E71">
      <w:pPr>
        <w:pStyle w:val="Heading2"/>
      </w:pPr>
      <w:bookmarkStart w:id="285" w:name="_Toc61283572"/>
      <w:bookmarkStart w:id="286" w:name="_Toc76461081"/>
      <w:bookmarkStart w:id="287" w:name="_Toc107157525"/>
      <w:r w:rsidRPr="00B85D62">
        <w:t>Participants</w:t>
      </w:r>
      <w:bookmarkEnd w:id="285"/>
      <w:bookmarkEnd w:id="286"/>
      <w:bookmarkEnd w:id="287"/>
    </w:p>
    <w:p w14:paraId="416DC041" w14:textId="77777777" w:rsidR="00B85D62" w:rsidRPr="00B85D62" w:rsidRDefault="00201D4F" w:rsidP="00A54F5E">
      <w:r w:rsidRPr="00B85D62">
        <w:t xml:space="preserve">We would like to thank </w:t>
      </w:r>
      <w:r w:rsidR="00223094" w:rsidRPr="00B85D62">
        <w:t xml:space="preserve">all </w:t>
      </w:r>
      <w:r w:rsidRPr="00B85D62">
        <w:t>the</w:t>
      </w:r>
      <w:r w:rsidR="00223094" w:rsidRPr="00B85D62">
        <w:t xml:space="preserve"> participants and their families</w:t>
      </w:r>
      <w:r w:rsidR="006B1A0B" w:rsidRPr="00B85D62">
        <w:t xml:space="preserve"> for their </w:t>
      </w:r>
      <w:r w:rsidR="00DB5BAE" w:rsidRPr="00B85D62">
        <w:t>willingness to take part in this research study. We are grateful for the time and commitment you gave, which has been critical in the success of this work.</w:t>
      </w:r>
    </w:p>
    <w:p w14:paraId="4B14F20E" w14:textId="6D1E60A0" w:rsidR="00201D4F" w:rsidRPr="00B85D62" w:rsidRDefault="62E16D3F" w:rsidP="006C7E71">
      <w:pPr>
        <w:pStyle w:val="Heading2"/>
        <w:rPr>
          <w:rFonts w:eastAsia="Yu Gothic Light"/>
          <w:bCs/>
        </w:rPr>
      </w:pPr>
      <w:bookmarkStart w:id="288" w:name="_Toc61283574"/>
      <w:bookmarkStart w:id="289" w:name="_Toc76461083"/>
      <w:bookmarkStart w:id="290" w:name="_Toc107157526"/>
      <w:r w:rsidRPr="00B85D62">
        <w:t>Public engagement</w:t>
      </w:r>
      <w:bookmarkEnd w:id="288"/>
      <w:bookmarkEnd w:id="289"/>
      <w:bookmarkEnd w:id="290"/>
    </w:p>
    <w:p w14:paraId="7D96EF5B" w14:textId="63FE741E" w:rsidR="00201D4F" w:rsidRPr="00B85D62" w:rsidRDefault="00617B50" w:rsidP="00D35065">
      <w:r w:rsidRPr="00B85D62">
        <w:t xml:space="preserve">As well as attending monthly study group meetings; six monthly external steering group meetings </w:t>
      </w:r>
      <w:r w:rsidR="00CD6E85" w:rsidRPr="00B85D62">
        <w:t xml:space="preserve">and attend training sessions, </w:t>
      </w:r>
      <w:r w:rsidRPr="00B85D62">
        <w:t xml:space="preserve">our PPI representatives William Rowlands, Mark and Henry Fisher helped prepare </w:t>
      </w:r>
      <w:r w:rsidR="00CD6E85" w:rsidRPr="00B85D62">
        <w:t xml:space="preserve">grant application, </w:t>
      </w:r>
      <w:r w:rsidRPr="00B85D62">
        <w:t>patient information leaflets and qualitative interview schedule; interpreting qualitative interviews and database studies, drafting final report (in particular plain English Summary)</w:t>
      </w:r>
      <w:r w:rsidR="00CD6E85" w:rsidRPr="00B85D62">
        <w:t>.</w:t>
      </w:r>
      <w:r w:rsidRPr="00B85D62">
        <w:t xml:space="preserve"> </w:t>
      </w:r>
      <w:r w:rsidR="00201D4F" w:rsidRPr="00B85D62">
        <w:t xml:space="preserve">We </w:t>
      </w:r>
      <w:r w:rsidR="00217D5A" w:rsidRPr="00B85D62">
        <w:t xml:space="preserve">would </w:t>
      </w:r>
      <w:r w:rsidRPr="00B85D62">
        <w:t xml:space="preserve">also </w:t>
      </w:r>
      <w:r w:rsidR="00217D5A" w:rsidRPr="00B85D62">
        <w:t xml:space="preserve">like to </w:t>
      </w:r>
      <w:r w:rsidR="00201D4F" w:rsidRPr="00B85D62">
        <w:t>thank HEARTUK, the Cholesterol Charity</w:t>
      </w:r>
      <w:r w:rsidR="00895586" w:rsidRPr="00B85D62">
        <w:t xml:space="preserve"> </w:t>
      </w:r>
      <w:r w:rsidR="00201D4F" w:rsidRPr="00B85D62">
        <w:t>(registered charity number 1003904)</w:t>
      </w:r>
      <w:r w:rsidR="00B85D62" w:rsidRPr="00B85D62">
        <w:t xml:space="preserve"> </w:t>
      </w:r>
      <w:r w:rsidR="00217D5A" w:rsidRPr="00B85D62">
        <w:t xml:space="preserve">for </w:t>
      </w:r>
      <w:r w:rsidRPr="00B85D62">
        <w:t>disseminating our study findings to the public and lipid specialists</w:t>
      </w:r>
      <w:r w:rsidR="00D50267" w:rsidRPr="00B85D62">
        <w:t>.</w:t>
      </w:r>
    </w:p>
    <w:p w14:paraId="3FDFBD0F" w14:textId="2DA6E95D" w:rsidR="00201D4F" w:rsidRPr="00B85D62" w:rsidRDefault="62E16D3F" w:rsidP="006C7E71">
      <w:pPr>
        <w:pStyle w:val="Heading2"/>
        <w:rPr>
          <w:rFonts w:eastAsia="Yu Gothic Light"/>
          <w:bCs/>
        </w:rPr>
      </w:pPr>
      <w:bookmarkStart w:id="291" w:name="_Toc61283576"/>
      <w:bookmarkStart w:id="292" w:name="_Toc76461084"/>
      <w:bookmarkStart w:id="293" w:name="_Toc107157527"/>
      <w:r w:rsidRPr="00B85D62">
        <w:t>Funding</w:t>
      </w:r>
      <w:bookmarkEnd w:id="291"/>
      <w:bookmarkEnd w:id="292"/>
      <w:bookmarkEnd w:id="293"/>
    </w:p>
    <w:p w14:paraId="0F84BB46" w14:textId="4B3B9FDA" w:rsidR="00B85D62" w:rsidRPr="00B85D62" w:rsidRDefault="00201D4F" w:rsidP="0066232B">
      <w:pPr>
        <w:autoSpaceDE w:val="0"/>
        <w:autoSpaceDN w:val="0"/>
        <w:adjustRightInd w:val="0"/>
        <w:spacing w:before="120" w:after="120"/>
        <w:rPr>
          <w:rFonts w:cs="Arial"/>
        </w:rPr>
      </w:pPr>
      <w:r w:rsidRPr="00B85D62">
        <w:rPr>
          <w:rFonts w:cs="Arial"/>
        </w:rPr>
        <w:t xml:space="preserve">The study was funded by the National Institute for Health Research Health Technology Assessment (NIHR HTA) programme (project number 15/134/02). The views and opinions expressed therein are those of the authors and do not necessarily reflect those of the HTA programme, NIHR, NHS or the </w:t>
      </w:r>
      <w:r w:rsidR="00B85D62" w:rsidRPr="00B85D62">
        <w:rPr>
          <w:rFonts w:cs="Arial"/>
          <w:color w:val="00B0F0"/>
        </w:rPr>
        <w:t>Department of Health and Social Care</w:t>
      </w:r>
      <w:r w:rsidRPr="00B85D62">
        <w:rPr>
          <w:rFonts w:cs="Arial"/>
        </w:rPr>
        <w:t>.</w:t>
      </w:r>
    </w:p>
    <w:p w14:paraId="7F3F71FB" w14:textId="30783B39" w:rsidR="00B85D62" w:rsidRPr="00B85D62" w:rsidRDefault="00AC4B96" w:rsidP="006C7E71">
      <w:pPr>
        <w:pStyle w:val="Heading2"/>
      </w:pPr>
      <w:bookmarkStart w:id="294" w:name="_Toc107157528"/>
      <w:bookmarkStart w:id="295" w:name="_Toc61283577"/>
      <w:bookmarkStart w:id="296" w:name="_Toc76461085"/>
      <w:r w:rsidRPr="00B85D62">
        <w:t xml:space="preserve">Patient </w:t>
      </w:r>
      <w:r w:rsidRPr="00B85D62">
        <w:rPr>
          <w:highlight w:val="magenta"/>
        </w:rPr>
        <w:t>data</w:t>
      </w:r>
      <w:bookmarkEnd w:id="294"/>
    </w:p>
    <w:p w14:paraId="15A2FD39" w14:textId="66CB91BD" w:rsidR="00B85D62" w:rsidRPr="00B85D62" w:rsidRDefault="00AC4B96" w:rsidP="00AC4B96">
      <w:pPr>
        <w:rPr>
          <w:rFonts w:cs="Arial"/>
        </w:rPr>
      </w:pPr>
      <w:r w:rsidRPr="00B85D62">
        <w:rPr>
          <w:rFonts w:cs="Arial"/>
        </w:rPr>
        <w:t xml:space="preserve">This work uses </w:t>
      </w:r>
      <w:r w:rsidRPr="00B85D62">
        <w:rPr>
          <w:rFonts w:cs="Arial"/>
          <w:highlight w:val="magenta"/>
        </w:rPr>
        <w:t>data</w:t>
      </w:r>
      <w:r w:rsidRPr="00B85D62">
        <w:rPr>
          <w:rFonts w:cs="Arial"/>
        </w:rPr>
        <w:t xml:space="preserve"> provided by patients and collected by the NHS as part of their care and support. Using patient </w:t>
      </w:r>
      <w:r w:rsidR="00B85D62" w:rsidRPr="00B85D62">
        <w:rPr>
          <w:rFonts w:cs="Arial"/>
          <w:color w:val="00B0F0"/>
          <w:highlight w:val="magenta"/>
        </w:rPr>
        <w:t>data</w:t>
      </w:r>
      <w:r w:rsidR="00B85D62" w:rsidRPr="00B85D62">
        <w:rPr>
          <w:rFonts w:cs="Arial"/>
          <w:color w:val="00B0F0"/>
        </w:rPr>
        <w:t xml:space="preserve"> are</w:t>
      </w:r>
      <w:r w:rsidRPr="00B85D62">
        <w:rPr>
          <w:rFonts w:cs="Arial"/>
        </w:rPr>
        <w:t xml:space="preserve"> vital to improve health and care for everyone. There is huge potential to make better use of information from people</w:t>
      </w:r>
      <w:r w:rsidR="00B85D62" w:rsidRPr="00B85D62">
        <w:rPr>
          <w:rFonts w:cs="Arial"/>
        </w:rPr>
        <w:t>’</w:t>
      </w:r>
      <w:r w:rsidRPr="00B85D62">
        <w:rPr>
          <w:rFonts w:cs="Arial"/>
        </w:rPr>
        <w:t xml:space="preserve">s patient records, to understand more about disease, develop new treatments, monitor safety, and plan NHS services. Patient </w:t>
      </w:r>
      <w:r w:rsidRPr="00B85D62">
        <w:rPr>
          <w:rFonts w:cs="Arial"/>
          <w:highlight w:val="magenta"/>
        </w:rPr>
        <w:t>data</w:t>
      </w:r>
      <w:r w:rsidRPr="00B85D62">
        <w:rPr>
          <w:rFonts w:cs="Arial"/>
        </w:rPr>
        <w:t xml:space="preserve"> should be kept safe and secure, to protect everyone</w:t>
      </w:r>
      <w:r w:rsidR="00B85D62" w:rsidRPr="00B85D62">
        <w:rPr>
          <w:rFonts w:cs="Arial"/>
        </w:rPr>
        <w:t>’</w:t>
      </w:r>
      <w:r w:rsidRPr="00B85D62">
        <w:rPr>
          <w:rFonts w:cs="Arial"/>
        </w:rPr>
        <w:t>s privacy, and it</w:t>
      </w:r>
      <w:r w:rsidR="00B85D62" w:rsidRPr="00B85D62">
        <w:rPr>
          <w:rFonts w:cs="Arial"/>
        </w:rPr>
        <w:t>’</w:t>
      </w:r>
      <w:r w:rsidRPr="00B85D62">
        <w:rPr>
          <w:rFonts w:cs="Arial"/>
        </w:rPr>
        <w:t>s important that there are safeguards to make sure that it is stored and used responsibly</w:t>
      </w:r>
    </w:p>
    <w:p w14:paraId="1B0AAEB5" w14:textId="72111D6E" w:rsidR="00C60346" w:rsidRPr="00B85D62" w:rsidRDefault="00C60346" w:rsidP="00AC4B96">
      <w:pPr>
        <w:rPr>
          <w:rFonts w:cs="Arial"/>
          <w:b/>
        </w:rPr>
      </w:pPr>
      <w:r w:rsidRPr="00B85D62">
        <w:rPr>
          <w:b/>
        </w:rPr>
        <w:t xml:space="preserve">11.6 </w:t>
      </w:r>
      <w:r w:rsidRPr="00B85D62">
        <w:rPr>
          <w:b/>
          <w:highlight w:val="magenta"/>
        </w:rPr>
        <w:t>Data</w:t>
      </w:r>
      <w:r w:rsidRPr="00B85D62">
        <w:rPr>
          <w:b/>
        </w:rPr>
        <w:t xml:space="preserve"> sharing</w:t>
      </w:r>
    </w:p>
    <w:p w14:paraId="027872EC" w14:textId="658BC302" w:rsidR="00AC4B96" w:rsidRPr="00B85D62" w:rsidRDefault="00C60346" w:rsidP="00C60346">
      <w:pPr>
        <w:rPr>
          <w:rFonts w:cs="Arial"/>
        </w:rPr>
      </w:pPr>
      <w:r w:rsidRPr="00B85D62">
        <w:rPr>
          <w:rFonts w:cs="Arial"/>
        </w:rPr>
        <w:t xml:space="preserve">The key </w:t>
      </w:r>
      <w:r w:rsidRPr="00B85D62">
        <w:rPr>
          <w:rFonts w:cs="Arial"/>
          <w:highlight w:val="magenta"/>
        </w:rPr>
        <w:t>data</w:t>
      </w:r>
      <w:r w:rsidR="00AC4B96" w:rsidRPr="00B85D62">
        <w:rPr>
          <w:rFonts w:cs="Arial"/>
        </w:rPr>
        <w:t xml:space="preserve"> used in this study </w:t>
      </w:r>
      <w:r w:rsidRPr="00B85D62">
        <w:rPr>
          <w:rFonts w:cs="Arial"/>
        </w:rPr>
        <w:t xml:space="preserve">was derived </w:t>
      </w:r>
      <w:r w:rsidR="00AC4B96" w:rsidRPr="00B85D62">
        <w:rPr>
          <w:rFonts w:cs="Arial"/>
        </w:rPr>
        <w:t xml:space="preserve">from the Clinical </w:t>
      </w:r>
      <w:r w:rsidR="00AC4B96" w:rsidRPr="00B85D62">
        <w:rPr>
          <w:rFonts w:cs="Arial"/>
          <w:highlight w:val="magenta"/>
        </w:rPr>
        <w:t>Practice</w:t>
      </w:r>
      <w:r w:rsidR="00AC4B96" w:rsidRPr="00B85D62">
        <w:rPr>
          <w:rFonts w:cs="Arial"/>
        </w:rPr>
        <w:t xml:space="preserve"> Research Datalink (CPRD), Hospital</w:t>
      </w:r>
      <w:r w:rsidRPr="00B85D62">
        <w:rPr>
          <w:rFonts w:cs="Arial"/>
        </w:rPr>
        <w:t xml:space="preserve"> </w:t>
      </w:r>
      <w:r w:rsidR="00AC4B96" w:rsidRPr="00B85D62">
        <w:rPr>
          <w:rFonts w:cs="Arial"/>
        </w:rPr>
        <w:t xml:space="preserve">Episodes Statistics (HES) and the Simon-Broome register. The agreements in place for use of </w:t>
      </w:r>
      <w:r w:rsidR="00B85D62" w:rsidRPr="00B85D62">
        <w:rPr>
          <w:rFonts w:cs="Arial"/>
          <w:color w:val="00B0F0"/>
        </w:rPr>
        <w:t>t</w:t>
      </w:r>
      <w:r w:rsidR="00B85D62" w:rsidRPr="00B85D62">
        <w:rPr>
          <w:rFonts w:cs="Arial"/>
          <w:color w:val="00B0F0"/>
        </w:rPr>
        <w:t xml:space="preserve">hese </w:t>
      </w:r>
      <w:r w:rsidR="00B85D62" w:rsidRPr="00B85D62">
        <w:rPr>
          <w:rFonts w:cs="Arial"/>
          <w:color w:val="00B0F0"/>
          <w:highlight w:val="magenta"/>
        </w:rPr>
        <w:t>data</w:t>
      </w:r>
      <w:r w:rsidR="00AC4B96" w:rsidRPr="00B85D62">
        <w:rPr>
          <w:rFonts w:cs="Arial"/>
        </w:rPr>
        <w:t xml:space="preserve"> do not permit further distribution or sharing. Requests for the relevant </w:t>
      </w:r>
      <w:r w:rsidR="00AC4B96" w:rsidRPr="00B85D62">
        <w:rPr>
          <w:rFonts w:cs="Arial"/>
          <w:highlight w:val="magenta"/>
        </w:rPr>
        <w:t>data</w:t>
      </w:r>
      <w:r w:rsidR="00AC4B96" w:rsidRPr="00B85D62">
        <w:rPr>
          <w:rFonts w:cs="Arial"/>
        </w:rPr>
        <w:t xml:space="preserve"> sets should be made directly to CPRD, HES, and the Simon-Broome register committee</w:t>
      </w:r>
      <w:r w:rsidR="00AC4B96" w:rsidRPr="00B85D62">
        <w:rPr>
          <w:rFonts w:cs="Arial"/>
          <w:highlight w:val="magenta"/>
        </w:rPr>
        <w:t>. Further</w:t>
      </w:r>
      <w:r w:rsidR="00AC4B96" w:rsidRPr="00B85D62">
        <w:rPr>
          <w:rFonts w:cs="Arial"/>
        </w:rPr>
        <w:t xml:space="preserve"> information can be obtained from the corresponding author</w:t>
      </w:r>
    </w:p>
    <w:p w14:paraId="30D4A450" w14:textId="77777777" w:rsidR="00B85D62" w:rsidRPr="00B85D62" w:rsidRDefault="00AC4B96" w:rsidP="00C60346">
      <w:pPr>
        <w:rPr>
          <w:rFonts w:cs="Arial"/>
        </w:rPr>
      </w:pPr>
      <w:r w:rsidRPr="00B85D62">
        <w:rPr>
          <w:rFonts w:cs="Arial"/>
          <w:highlight w:val="magenta"/>
        </w:rPr>
        <w:t>Data</w:t>
      </w:r>
      <w:r w:rsidRPr="00B85D62">
        <w:rPr>
          <w:rFonts w:cs="Arial"/>
        </w:rPr>
        <w:t xml:space="preserve"> requests for qualitative transcripts and routine service </w:t>
      </w:r>
      <w:r w:rsidRPr="00B85D62">
        <w:rPr>
          <w:rFonts w:cs="Arial"/>
          <w:highlight w:val="magenta"/>
        </w:rPr>
        <w:t>data</w:t>
      </w:r>
      <w:r w:rsidRPr="00B85D62">
        <w:rPr>
          <w:rFonts w:cs="Arial"/>
        </w:rPr>
        <w:t xml:space="preserve"> should be submitted to the corresponding author for consideration. Access to available anonymised </w:t>
      </w:r>
      <w:r w:rsidRPr="00B85D62">
        <w:rPr>
          <w:rFonts w:cs="Arial"/>
          <w:highlight w:val="magenta"/>
        </w:rPr>
        <w:t>data</w:t>
      </w:r>
      <w:r w:rsidRPr="00B85D62">
        <w:rPr>
          <w:rFonts w:cs="Arial"/>
        </w:rPr>
        <w:t xml:space="preserve"> may be granted following review.</w:t>
      </w:r>
    </w:p>
    <w:p w14:paraId="505328C2" w14:textId="28D93BB7" w:rsidR="003A6D83" w:rsidRPr="00B85D62" w:rsidRDefault="003A6D83" w:rsidP="00C60346">
      <w:pPr>
        <w:rPr>
          <w:rFonts w:cs="Arial"/>
        </w:rPr>
      </w:pPr>
      <w:r w:rsidRPr="00B85D62">
        <w:rPr>
          <w:rFonts w:cs="Arial"/>
        </w:rPr>
        <w:t>Publications</w:t>
      </w:r>
    </w:p>
    <w:p w14:paraId="50728F13" w14:textId="77777777" w:rsidR="00B85D62" w:rsidRPr="00B85D62" w:rsidRDefault="000B0F25" w:rsidP="000B0F25">
      <w:pPr>
        <w:rPr>
          <w:rFonts w:ascii="Helvetica" w:hAnsi="Helvetica"/>
          <w:lang w:eastAsia="en-GB"/>
        </w:rPr>
      </w:pPr>
      <w:r w:rsidRPr="00B85D62">
        <w:rPr>
          <w:rFonts w:ascii="Tahoma" w:hAnsi="Tahoma" w:cs="Tahoma"/>
          <w:lang w:eastAsia="en-GB"/>
        </w:rPr>
        <w:t>Sex differences in cardiovascular morbidity associated with familial hypercholesterolaemia: a retrospective cohort study of the UK Simon Broome register linked to national hospital records.</w:t>
      </w:r>
      <w:r w:rsidR="00B85D62" w:rsidRPr="00B85D62">
        <w:rPr>
          <w:rFonts w:ascii="Tahoma" w:hAnsi="Tahoma" w:cs="Tahoma"/>
        </w:rPr>
        <w:t xml:space="preserve"> </w:t>
      </w:r>
      <w:r w:rsidRPr="00B85D62">
        <w:rPr>
          <w:rFonts w:ascii="Tahoma" w:hAnsi="Tahoma" w:cs="Tahoma"/>
          <w:lang w:eastAsia="en-GB"/>
        </w:rPr>
        <w:t>Atherosclerosis</w:t>
      </w:r>
    </w:p>
    <w:p w14:paraId="35915BE2" w14:textId="77777777" w:rsidR="00B85D62" w:rsidRPr="00B85D62" w:rsidRDefault="000B0F25" w:rsidP="00551E47">
      <w:pPr>
        <w:rPr>
          <w:rFonts w:ascii="Tahoma" w:hAnsi="Tahoma" w:cs="Tahoma"/>
          <w:lang w:eastAsia="en-GB"/>
        </w:rPr>
      </w:pPr>
      <w:r w:rsidRPr="00B85D62">
        <w:rPr>
          <w:rFonts w:ascii="Tahoma" w:hAnsi="Tahoma" w:cs="Tahoma"/>
          <w:lang w:eastAsia="en-GB"/>
        </w:rPr>
        <w:t>Effectiveness of cascade screening strategies in relatives for familial hypercholesterolemia: a systematic review and meta-analysis</w:t>
      </w:r>
      <w:r w:rsidRPr="00B85D62">
        <w:rPr>
          <w:rFonts w:ascii="Helvetica" w:hAnsi="Helvetica"/>
          <w:lang w:eastAsia="en-GB"/>
        </w:rPr>
        <w:t xml:space="preserve">. </w:t>
      </w:r>
      <w:r w:rsidR="00551E47" w:rsidRPr="00B85D62">
        <w:rPr>
          <w:rFonts w:ascii="Tahoma" w:hAnsi="Tahoma" w:cs="Tahoma"/>
          <w:lang w:eastAsia="en-GB"/>
        </w:rPr>
        <w:t>European Journal of Human Genetics.</w:t>
      </w:r>
    </w:p>
    <w:p w14:paraId="2C1EFA31" w14:textId="77777777" w:rsidR="00B85D62" w:rsidRPr="00B85D62" w:rsidRDefault="00551E47" w:rsidP="00551E47">
      <w:pPr>
        <w:rPr>
          <w:rFonts w:ascii="Helvetica" w:hAnsi="Helvetica"/>
          <w:lang w:eastAsia="en-GB"/>
        </w:rPr>
      </w:pPr>
      <w:r w:rsidRPr="00B85D62">
        <w:rPr>
          <w:rFonts w:ascii="Tahoma" w:hAnsi="Tahoma" w:cs="Tahoma"/>
          <w:lang w:eastAsia="en-GB"/>
        </w:rPr>
        <w:t>Risk of cardiovascular disease outcomes in primary care subjects with familial hypercholesterolaemia: a prospective cohort study</w:t>
      </w:r>
      <w:r w:rsidRPr="00B85D62">
        <w:rPr>
          <w:rFonts w:ascii="Helvetica" w:hAnsi="Helvetica"/>
          <w:lang w:eastAsia="en-GB"/>
        </w:rPr>
        <w:t xml:space="preserve">. </w:t>
      </w:r>
      <w:r w:rsidRPr="00B85D62">
        <w:rPr>
          <w:rFonts w:ascii="Tahoma" w:hAnsi="Tahoma" w:cs="Tahoma"/>
          <w:lang w:eastAsia="en-GB"/>
        </w:rPr>
        <w:t>Atherosclerosis</w:t>
      </w:r>
    </w:p>
    <w:p w14:paraId="0610FBF7" w14:textId="247EB629" w:rsidR="00201D4F" w:rsidRPr="00B85D62" w:rsidRDefault="62FEC268" w:rsidP="0066232B">
      <w:pPr>
        <w:pStyle w:val="Heading1"/>
        <w:spacing w:line="360" w:lineRule="auto"/>
        <w:rPr>
          <w:rFonts w:ascii="Arial" w:hAnsi="Arial" w:cs="Arial"/>
          <w:sz w:val="22"/>
          <w:szCs w:val="22"/>
        </w:rPr>
      </w:pPr>
      <w:bookmarkStart w:id="297" w:name="_Toc107157529"/>
      <w:r w:rsidRPr="00B85D62">
        <w:rPr>
          <w:rFonts w:ascii="Arial" w:hAnsi="Arial" w:cs="Arial"/>
          <w:sz w:val="22"/>
          <w:szCs w:val="22"/>
        </w:rPr>
        <w:t>Contributions of Authors</w:t>
      </w:r>
      <w:bookmarkEnd w:id="295"/>
      <w:bookmarkEnd w:id="296"/>
      <w:bookmarkEnd w:id="297"/>
    </w:p>
    <w:p w14:paraId="549ED366" w14:textId="1C2573D1" w:rsidR="00201D4F" w:rsidRPr="00B85D62" w:rsidRDefault="0023364B" w:rsidP="004A7C54">
      <w:pPr>
        <w:rPr>
          <w:rFonts w:cs="Arial"/>
        </w:rPr>
      </w:pPr>
      <w:bookmarkStart w:id="298" w:name="_Toc61283565"/>
      <w:bookmarkStart w:id="299" w:name="_Toc474849024"/>
      <w:bookmarkStart w:id="300" w:name="_Ref475365084"/>
      <w:bookmarkStart w:id="301" w:name="_Ref475652221"/>
      <w:bookmarkStart w:id="302" w:name="_Ref475700109"/>
      <w:bookmarkStart w:id="303" w:name="_Toc61283578"/>
      <w:r w:rsidRPr="00B85D62">
        <w:rPr>
          <w:rFonts w:cs="Arial"/>
          <w:b/>
          <w:bCs/>
        </w:rPr>
        <w:t xml:space="preserve">Professor </w:t>
      </w:r>
      <w:r w:rsidR="00201D4F" w:rsidRPr="00B85D62">
        <w:rPr>
          <w:rFonts w:cs="Arial"/>
          <w:b/>
          <w:bCs/>
        </w:rPr>
        <w:t>Nadeem Qureshi</w:t>
      </w:r>
      <w:r w:rsidR="001163E8" w:rsidRPr="00B85D62">
        <w:rPr>
          <w:rFonts w:cs="Arial"/>
        </w:rPr>
        <w:t xml:space="preserve"> (</w:t>
      </w:r>
      <w:r w:rsidR="0064756E" w:rsidRPr="00B85D62">
        <w:rPr>
          <w:rFonts w:cs="Arial"/>
        </w:rPr>
        <w:t>https://orcid.org/0000-0003-4909-0644</w:t>
      </w:r>
      <w:r w:rsidR="001A3FFD" w:rsidRPr="00B85D62">
        <w:rPr>
          <w:rFonts w:cs="Arial"/>
        </w:rPr>
        <w:t xml:space="preserve">) (Chief Investigator, Clinical Professor of Primary Care) led the </w:t>
      </w:r>
      <w:r w:rsidR="008649DD" w:rsidRPr="00B85D62">
        <w:rPr>
          <w:rFonts w:cs="Arial"/>
        </w:rPr>
        <w:t>writing of the grant application,</w:t>
      </w:r>
      <w:r w:rsidR="00A94055" w:rsidRPr="00B85D62">
        <w:rPr>
          <w:rFonts w:cs="Arial"/>
        </w:rPr>
        <w:t xml:space="preserve"> </w:t>
      </w:r>
      <w:r w:rsidR="001A3FFD" w:rsidRPr="00B85D62">
        <w:rPr>
          <w:rFonts w:cs="Arial"/>
        </w:rPr>
        <w:t>protocol development, management of the project,</w:t>
      </w:r>
      <w:r w:rsidR="008649DD" w:rsidRPr="00B85D62">
        <w:rPr>
          <w:rFonts w:cs="Arial"/>
        </w:rPr>
        <w:t xml:space="preserve"> and contributed to</w:t>
      </w:r>
      <w:r w:rsidR="001A3FFD" w:rsidRPr="00B85D62">
        <w:rPr>
          <w:rFonts w:cs="Arial"/>
        </w:rPr>
        <w:t xml:space="preserve"> performing the systematic reviews, </w:t>
      </w:r>
      <w:r w:rsidR="00E523AE" w:rsidRPr="00B85D62">
        <w:rPr>
          <w:rFonts w:cs="Arial"/>
        </w:rPr>
        <w:t>acquisition</w:t>
      </w:r>
      <w:r w:rsidR="001A3FFD" w:rsidRPr="00B85D62">
        <w:rPr>
          <w:rFonts w:cs="Arial"/>
        </w:rPr>
        <w:t xml:space="preserve"> of the databases, conceptualisation of the economic models, clinical interpretation of findings</w:t>
      </w:r>
      <w:r w:rsidR="008649DD" w:rsidRPr="00B85D62">
        <w:rPr>
          <w:rFonts w:cs="Arial"/>
        </w:rPr>
        <w:t>,</w:t>
      </w:r>
      <w:r w:rsidR="001A3FFD" w:rsidRPr="00B85D62">
        <w:rPr>
          <w:rFonts w:cs="Arial"/>
        </w:rPr>
        <w:t xml:space="preserve"> and led writing of the final report</w:t>
      </w:r>
      <w:r w:rsidR="008649DD" w:rsidRPr="00B85D62">
        <w:rPr>
          <w:rFonts w:cs="Arial"/>
        </w:rPr>
        <w:t xml:space="preserve"> and revisions.</w:t>
      </w:r>
    </w:p>
    <w:p w14:paraId="6C20D162" w14:textId="243FFE67" w:rsidR="00201D4F" w:rsidRPr="00B85D62" w:rsidRDefault="00201D4F" w:rsidP="004A7C54">
      <w:pPr>
        <w:rPr>
          <w:rFonts w:cs="Arial"/>
        </w:rPr>
      </w:pPr>
      <w:r w:rsidRPr="00B85D62">
        <w:rPr>
          <w:rFonts w:cs="Arial"/>
          <w:b/>
          <w:bCs/>
        </w:rPr>
        <w:t>Beth Woods</w:t>
      </w:r>
      <w:r w:rsidR="002B10E0" w:rsidRPr="00B85D62">
        <w:rPr>
          <w:rFonts w:cs="Arial"/>
        </w:rPr>
        <w:t xml:space="preserve"> </w:t>
      </w:r>
      <w:r w:rsidR="00A83DD0" w:rsidRPr="00B85D62">
        <w:rPr>
          <w:rFonts w:cs="Arial"/>
        </w:rPr>
        <w:t>(</w:t>
      </w:r>
      <w:r w:rsidR="002B10E0" w:rsidRPr="00B85D62">
        <w:rPr>
          <w:rFonts w:cs="Arial"/>
        </w:rPr>
        <w:t>https://orcid.org/0000-0001-9040-9384</w:t>
      </w:r>
      <w:r w:rsidR="00A83DD0" w:rsidRPr="00B85D62">
        <w:rPr>
          <w:rFonts w:cs="Arial"/>
        </w:rPr>
        <w:t>)</w:t>
      </w:r>
      <w:r w:rsidR="007131A6" w:rsidRPr="00B85D62">
        <w:rPr>
          <w:rFonts w:cs="Arial"/>
        </w:rPr>
        <w:t xml:space="preserve"> (Senior Research Fellow, Health Economics) </w:t>
      </w:r>
      <w:r w:rsidR="001A3FFD" w:rsidRPr="00B85D62">
        <w:rPr>
          <w:rFonts w:cs="Arial"/>
        </w:rPr>
        <w:t>contributed to development of the funding application, led the health economics work stream and contributed to reviewing and editing the final report.</w:t>
      </w:r>
    </w:p>
    <w:p w14:paraId="072AE1E1" w14:textId="7F7EEFAC" w:rsidR="001A3FFD" w:rsidRPr="00B85D62" w:rsidRDefault="00201D4F" w:rsidP="004A7C54">
      <w:pPr>
        <w:rPr>
          <w:rFonts w:cs="Arial"/>
        </w:rPr>
      </w:pPr>
      <w:r w:rsidRPr="00B85D62">
        <w:rPr>
          <w:rFonts w:cs="Arial"/>
          <w:b/>
          <w:bCs/>
        </w:rPr>
        <w:t>Rita Neves de Faria</w:t>
      </w:r>
      <w:r w:rsidR="00386094" w:rsidRPr="00B85D62">
        <w:rPr>
          <w:rFonts w:cs="Arial"/>
          <w:b/>
          <w:bCs/>
        </w:rPr>
        <w:t xml:space="preserve"> </w:t>
      </w:r>
      <w:r w:rsidR="00386094" w:rsidRPr="00B85D62">
        <w:rPr>
          <w:rFonts w:cs="Arial"/>
        </w:rPr>
        <w:t>(https://orcid.org/0000-0003-3410-1435)</w:t>
      </w:r>
      <w:r w:rsidR="007131A6" w:rsidRPr="00B85D62">
        <w:rPr>
          <w:rFonts w:cs="Arial"/>
        </w:rPr>
        <w:t xml:space="preserve"> (Research Fellow, Health Economics) </w:t>
      </w:r>
      <w:r w:rsidR="001A3FFD" w:rsidRPr="00B85D62">
        <w:rPr>
          <w:rFonts w:cs="Arial"/>
        </w:rPr>
        <w:t xml:space="preserve">developed the model and conducted the cost-effectiveness analysis of the benefits of diagnosis in patients with FH, developed the model and conducted the cost-effectiveness analysis of the alternative cascade testing protocols, co-supervised the analysis of the PASS </w:t>
      </w:r>
      <w:r w:rsidR="001A3FFD" w:rsidRPr="00B85D62">
        <w:rPr>
          <w:rFonts w:cs="Arial"/>
          <w:highlight w:val="magenta"/>
        </w:rPr>
        <w:t>data</w:t>
      </w:r>
      <w:r w:rsidR="001A3FFD" w:rsidRPr="00B85D62">
        <w:rPr>
          <w:rFonts w:cs="Arial"/>
        </w:rPr>
        <w:t xml:space="preserve">, collaborated in the analysis of the CPRD </w:t>
      </w:r>
      <w:r w:rsidR="001A3FFD" w:rsidRPr="00B85D62">
        <w:rPr>
          <w:rFonts w:cs="Arial"/>
          <w:highlight w:val="magenta"/>
        </w:rPr>
        <w:t>data</w:t>
      </w:r>
      <w:r w:rsidR="001A3FFD" w:rsidRPr="00B85D62">
        <w:rPr>
          <w:rFonts w:cs="Arial"/>
        </w:rPr>
        <w:t>, collaborated on the systematic reviews, and contributed to drafting, reviewing and editing the final report</w:t>
      </w:r>
      <w:r w:rsidR="008649DD" w:rsidRPr="00B85D62">
        <w:rPr>
          <w:rFonts w:cs="Arial"/>
        </w:rPr>
        <w:t xml:space="preserve"> and revisions</w:t>
      </w:r>
      <w:r w:rsidR="001A3FFD" w:rsidRPr="00B85D62">
        <w:rPr>
          <w:rFonts w:cs="Arial"/>
        </w:rPr>
        <w:t>.</w:t>
      </w:r>
    </w:p>
    <w:p w14:paraId="23EDF7AD" w14:textId="2BD29A08" w:rsidR="001A3FFD" w:rsidRPr="00B85D62" w:rsidRDefault="00201D4F" w:rsidP="004A7C54">
      <w:pPr>
        <w:rPr>
          <w:rFonts w:cs="Arial"/>
        </w:rPr>
      </w:pPr>
      <w:r w:rsidRPr="00B85D62">
        <w:rPr>
          <w:rFonts w:cs="Arial"/>
          <w:b/>
          <w:bCs/>
        </w:rPr>
        <w:t>Pedro Saramago Goncalves</w:t>
      </w:r>
      <w:r w:rsidR="00A83DD0" w:rsidRPr="00B85D62">
        <w:rPr>
          <w:rFonts w:cs="Arial"/>
        </w:rPr>
        <w:t xml:space="preserve"> (https://orcid.org/0000-0001-9063-8590)</w:t>
      </w:r>
      <w:r w:rsidR="007131A6" w:rsidRPr="00B85D62">
        <w:rPr>
          <w:rFonts w:cs="Arial"/>
        </w:rPr>
        <w:t xml:space="preserve"> (Research Fellow, Health Economics) </w:t>
      </w:r>
      <w:r w:rsidR="001A3FFD" w:rsidRPr="00B85D62">
        <w:rPr>
          <w:rFonts w:cs="Arial"/>
        </w:rPr>
        <w:t xml:space="preserve">developed, conducted and drafted the chapter on the individual participant level analysis of the CPRD </w:t>
      </w:r>
      <w:r w:rsidR="001A3FFD" w:rsidRPr="00B85D62">
        <w:rPr>
          <w:rFonts w:cs="Arial"/>
          <w:highlight w:val="magenta"/>
        </w:rPr>
        <w:t>data</w:t>
      </w:r>
      <w:r w:rsidR="001A3FFD" w:rsidRPr="00B85D62">
        <w:rPr>
          <w:rFonts w:cs="Arial"/>
        </w:rPr>
        <w:t xml:space="preserve">, collaborated in the analysis of the PASS </w:t>
      </w:r>
      <w:r w:rsidR="001A3FFD" w:rsidRPr="00B85D62">
        <w:rPr>
          <w:rFonts w:cs="Arial"/>
          <w:highlight w:val="magenta"/>
        </w:rPr>
        <w:t>data</w:t>
      </w:r>
      <w:r w:rsidR="001A3FFD" w:rsidRPr="00B85D62">
        <w:rPr>
          <w:rFonts w:cs="Arial"/>
        </w:rPr>
        <w:t xml:space="preserve"> and cost-effectiveness models</w:t>
      </w:r>
      <w:r w:rsidR="00B85D62" w:rsidRPr="00B85D62">
        <w:rPr>
          <w:rFonts w:cs="Arial"/>
          <w:color w:val="00B0F0"/>
        </w:rPr>
        <w:t>,</w:t>
      </w:r>
      <w:r w:rsidR="001A3FFD" w:rsidRPr="00B85D62">
        <w:rPr>
          <w:rFonts w:cs="Arial"/>
        </w:rPr>
        <w:t xml:space="preserve"> and contributed to reviewing and editing the final report</w:t>
      </w:r>
      <w:r w:rsidR="008649DD" w:rsidRPr="00B85D62">
        <w:rPr>
          <w:rFonts w:cs="Arial"/>
        </w:rPr>
        <w:t xml:space="preserve"> and revisons</w:t>
      </w:r>
      <w:r w:rsidR="001A3FFD" w:rsidRPr="00B85D62">
        <w:rPr>
          <w:rFonts w:cs="Arial"/>
        </w:rPr>
        <w:t>.</w:t>
      </w:r>
    </w:p>
    <w:p w14:paraId="6B448F84" w14:textId="77777777" w:rsidR="00B85D62" w:rsidRPr="00B85D62" w:rsidRDefault="00201D4F" w:rsidP="004A7C54">
      <w:pPr>
        <w:rPr>
          <w:rFonts w:cs="Arial"/>
        </w:rPr>
      </w:pPr>
      <w:r w:rsidRPr="00B85D62">
        <w:rPr>
          <w:rFonts w:cs="Arial"/>
          <w:b/>
          <w:bCs/>
        </w:rPr>
        <w:t>Edward Cox</w:t>
      </w:r>
      <w:r w:rsidR="00A83DD0" w:rsidRPr="00B85D62">
        <w:rPr>
          <w:rFonts w:cs="Arial"/>
        </w:rPr>
        <w:t xml:space="preserve"> (https://orcid.org/0000-0001-8981-0699)</w:t>
      </w:r>
      <w:r w:rsidR="007131A6" w:rsidRPr="00B85D62">
        <w:rPr>
          <w:rFonts w:cs="Arial"/>
        </w:rPr>
        <w:t xml:space="preserve"> (Research Fellow, Health Economics)</w:t>
      </w:r>
      <w:r w:rsidR="006A155D" w:rsidRPr="00B85D62">
        <w:rPr>
          <w:rFonts w:cs="Arial"/>
        </w:rPr>
        <w:t xml:space="preserve"> </w:t>
      </w:r>
      <w:r w:rsidR="001A3FFD" w:rsidRPr="00B85D62">
        <w:rPr>
          <w:rFonts w:cs="Arial"/>
        </w:rPr>
        <w:t xml:space="preserve">conducted and drafted the chapter on the individual participant </w:t>
      </w:r>
      <w:r w:rsidR="001A3FFD" w:rsidRPr="00B85D62">
        <w:rPr>
          <w:rFonts w:cs="Arial"/>
          <w:highlight w:val="magenta"/>
        </w:rPr>
        <w:t>data</w:t>
      </w:r>
      <w:r w:rsidR="001A3FFD" w:rsidRPr="00B85D62">
        <w:rPr>
          <w:rFonts w:cs="Arial"/>
        </w:rPr>
        <w:t xml:space="preserve"> analysis of the Welsh and Wessex PASS service </w:t>
      </w:r>
      <w:r w:rsidR="001A3FFD" w:rsidRPr="00B85D62">
        <w:rPr>
          <w:rFonts w:cs="Arial"/>
          <w:highlight w:val="magenta"/>
        </w:rPr>
        <w:t>data</w:t>
      </w:r>
      <w:r w:rsidR="001A3FFD" w:rsidRPr="00B85D62">
        <w:rPr>
          <w:rFonts w:cs="Arial"/>
        </w:rPr>
        <w:t xml:space="preserve">, collaborated in the analysis of CPRD </w:t>
      </w:r>
      <w:r w:rsidR="001A3FFD" w:rsidRPr="00B85D62">
        <w:rPr>
          <w:rFonts w:cs="Arial"/>
          <w:highlight w:val="magenta"/>
        </w:rPr>
        <w:t>data</w:t>
      </w:r>
      <w:r w:rsidR="001A3FFD" w:rsidRPr="00B85D62">
        <w:rPr>
          <w:rFonts w:cs="Arial"/>
        </w:rPr>
        <w:t xml:space="preserve"> and the cost-effectiveness models, and contributed to reviewing and editing the final report</w:t>
      </w:r>
      <w:r w:rsidR="008649DD" w:rsidRPr="00B85D62">
        <w:rPr>
          <w:rFonts w:cs="Arial"/>
        </w:rPr>
        <w:t xml:space="preserve"> and revisions</w:t>
      </w:r>
      <w:r w:rsidR="001A3FFD" w:rsidRPr="00B85D62">
        <w:rPr>
          <w:rFonts w:cs="Arial"/>
        </w:rPr>
        <w:t>.</w:t>
      </w:r>
    </w:p>
    <w:p w14:paraId="32D53A56" w14:textId="144662AF" w:rsidR="00201D4F" w:rsidRPr="00B85D62" w:rsidRDefault="00201D4F" w:rsidP="004A7C54">
      <w:pPr>
        <w:rPr>
          <w:rFonts w:cs="Arial"/>
        </w:rPr>
      </w:pPr>
      <w:r w:rsidRPr="00B85D62">
        <w:rPr>
          <w:rFonts w:cs="Arial"/>
          <w:b/>
          <w:bCs/>
        </w:rPr>
        <w:t>Jo Leonardi Bee</w:t>
      </w:r>
      <w:r w:rsidR="0064756E" w:rsidRPr="00B85D62">
        <w:rPr>
          <w:rFonts w:cs="Arial"/>
        </w:rPr>
        <w:t xml:space="preserve"> (https://orcid.org/0000-0003-0893-6068)</w:t>
      </w:r>
      <w:r w:rsidR="00566BAE" w:rsidRPr="00B85D62">
        <w:rPr>
          <w:rFonts w:cs="Arial"/>
        </w:rPr>
        <w:t xml:space="preserve"> (Professor of Medical Statistics)</w:t>
      </w:r>
      <w:r w:rsidR="001A3FFD" w:rsidRPr="00B85D62">
        <w:rPr>
          <w:rFonts w:cs="Arial"/>
        </w:rPr>
        <w:t xml:space="preserve"> </w:t>
      </w:r>
      <w:r w:rsidR="005516D9" w:rsidRPr="00B85D62">
        <w:rPr>
          <w:rFonts w:cs="Arial"/>
        </w:rPr>
        <w:t xml:space="preserve">contributed to development of the funding application in collaboration with other co-investigator, and led </w:t>
      </w:r>
      <w:r w:rsidR="001A3FFD" w:rsidRPr="00B85D62">
        <w:rPr>
          <w:rFonts w:cs="Arial"/>
        </w:rPr>
        <w:t xml:space="preserve">the systematic reviews of cascade </w:t>
      </w:r>
      <w:r w:rsidR="002343CE" w:rsidRPr="00B85D62">
        <w:rPr>
          <w:rFonts w:cs="Arial"/>
        </w:rPr>
        <w:t>test</w:t>
      </w:r>
      <w:r w:rsidR="001A3FFD" w:rsidRPr="00B85D62">
        <w:rPr>
          <w:rFonts w:cs="Arial"/>
        </w:rPr>
        <w:t>ing and lipid lowering therapies and drafted the related chapters, and contributed to reviewing and editing the final report</w:t>
      </w:r>
      <w:r w:rsidR="008649DD" w:rsidRPr="00B85D62">
        <w:rPr>
          <w:rFonts w:cs="Arial"/>
        </w:rPr>
        <w:t xml:space="preserve"> and revisions</w:t>
      </w:r>
      <w:r w:rsidR="001A3FFD" w:rsidRPr="00B85D62">
        <w:rPr>
          <w:rFonts w:cs="Arial"/>
        </w:rPr>
        <w:t>.</w:t>
      </w:r>
    </w:p>
    <w:p w14:paraId="423FF170" w14:textId="77777777" w:rsidR="00B85D62" w:rsidRPr="00B85D62" w:rsidRDefault="00201D4F" w:rsidP="004A7C54">
      <w:pPr>
        <w:rPr>
          <w:rFonts w:cs="Arial"/>
        </w:rPr>
      </w:pPr>
      <w:r w:rsidRPr="00B85D62">
        <w:rPr>
          <w:rFonts w:cs="Arial"/>
          <w:b/>
          <w:bCs/>
        </w:rPr>
        <w:t>Laura Condon</w:t>
      </w:r>
      <w:r w:rsidR="00A83DD0" w:rsidRPr="00B85D62">
        <w:rPr>
          <w:rFonts w:cs="Arial"/>
        </w:rPr>
        <w:t xml:space="preserve"> (https://orcid.org/0000-0002-7039-3095)</w:t>
      </w:r>
      <w:r w:rsidR="001A3FFD" w:rsidRPr="00B85D62">
        <w:rPr>
          <w:rFonts w:cs="Arial"/>
        </w:rPr>
        <w:t xml:space="preserve"> </w:t>
      </w:r>
      <w:r w:rsidR="00566BAE" w:rsidRPr="00B85D62">
        <w:rPr>
          <w:rFonts w:cs="Arial"/>
        </w:rPr>
        <w:t xml:space="preserve">(Qualitative Research Fellow) </w:t>
      </w:r>
      <w:r w:rsidR="001A3FFD" w:rsidRPr="00B85D62">
        <w:rPr>
          <w:rFonts w:cs="Arial"/>
        </w:rPr>
        <w:t>contributed to</w:t>
      </w:r>
      <w:r w:rsidR="00B85D62" w:rsidRPr="00B85D62">
        <w:rPr>
          <w:rFonts w:cs="Arial"/>
        </w:rPr>
        <w:t xml:space="preserve"> </w:t>
      </w:r>
      <w:r w:rsidR="001A3FFD" w:rsidRPr="00B85D62">
        <w:rPr>
          <w:rFonts w:cs="Arial"/>
        </w:rPr>
        <w:t>the qualitative studies. She conducted</w:t>
      </w:r>
      <w:r w:rsidR="00B85D62" w:rsidRPr="00B85D62">
        <w:rPr>
          <w:rFonts w:cs="Arial"/>
        </w:rPr>
        <w:t xml:space="preserve"> </w:t>
      </w:r>
      <w:r w:rsidR="001A3FFD" w:rsidRPr="00B85D62">
        <w:rPr>
          <w:rFonts w:cs="Arial"/>
        </w:rPr>
        <w:t>all related fieldwork, including interviews with all participants and contributed to their analysis, qualitative literature review and respondent validation.</w:t>
      </w:r>
    </w:p>
    <w:p w14:paraId="396BCF14" w14:textId="07617E89" w:rsidR="001A3FFD" w:rsidRPr="00B85D62" w:rsidRDefault="001A3FFD" w:rsidP="004A7C54">
      <w:pPr>
        <w:rPr>
          <w:rFonts w:cs="Arial"/>
          <w:lang w:val="it-IT"/>
        </w:rPr>
      </w:pPr>
      <w:r w:rsidRPr="00B85D62">
        <w:rPr>
          <w:rFonts w:cs="Arial"/>
          <w:b/>
          <w:lang w:val="it-IT"/>
        </w:rPr>
        <w:t>Stephen Weng</w:t>
      </w:r>
      <w:r w:rsidRPr="00B85D62">
        <w:rPr>
          <w:rFonts w:cs="Arial"/>
          <w:lang w:val="it-IT"/>
        </w:rPr>
        <w:t xml:space="preserve"> (</w:t>
      </w:r>
      <w:r w:rsidR="00CA7E90" w:rsidRPr="00B85D62">
        <w:rPr>
          <w:rFonts w:cs="Arial"/>
          <w:lang w:val="it-IT"/>
        </w:rPr>
        <w:t>https://orcid.org/0000-0002-5281-9590</w:t>
      </w:r>
      <w:r w:rsidRPr="00B85D62">
        <w:rPr>
          <w:rFonts w:cs="Arial"/>
          <w:lang w:val="it-IT"/>
        </w:rPr>
        <w:t>)</w:t>
      </w:r>
      <w:r w:rsidR="00566BAE" w:rsidRPr="00B85D62">
        <w:rPr>
          <w:rFonts w:cs="Arial"/>
          <w:lang w:val="it-IT"/>
        </w:rPr>
        <w:t xml:space="preserve"> (Senior Epidemiologist)</w:t>
      </w:r>
      <w:r w:rsidR="00B85D62" w:rsidRPr="00B85D62">
        <w:rPr>
          <w:rFonts w:cs="Arial"/>
          <w:lang w:val="it-IT"/>
        </w:rPr>
        <w:t xml:space="preserve"> </w:t>
      </w:r>
      <w:r w:rsidRPr="00B85D62">
        <w:rPr>
          <w:rFonts w:cs="Arial"/>
          <w:lang w:val="it-IT"/>
        </w:rPr>
        <w:t>contributed to development of the funding application in collaboration with other co-investigator, and led the acquisition, analysis and interpretation of databases and drafted the related chapters</w:t>
      </w:r>
    </w:p>
    <w:p w14:paraId="60696DA9" w14:textId="7D231D61" w:rsidR="00201D4F" w:rsidRPr="00B85D62" w:rsidRDefault="00201D4F" w:rsidP="004A7C54">
      <w:pPr>
        <w:rPr>
          <w:rFonts w:cs="Arial"/>
        </w:rPr>
      </w:pPr>
      <w:r w:rsidRPr="00B85D62">
        <w:rPr>
          <w:rFonts w:cs="Arial"/>
          <w:b/>
          <w:bCs/>
        </w:rPr>
        <w:t xml:space="preserve">Ralph </w:t>
      </w:r>
      <w:r w:rsidR="68C7724D" w:rsidRPr="00B85D62">
        <w:rPr>
          <w:rFonts w:cs="Arial"/>
          <w:b/>
          <w:bCs/>
        </w:rPr>
        <w:t xml:space="preserve">Kwame </w:t>
      </w:r>
      <w:r w:rsidRPr="00B85D62">
        <w:rPr>
          <w:rFonts w:cs="Arial"/>
          <w:b/>
          <w:bCs/>
        </w:rPr>
        <w:t>Akyea</w:t>
      </w:r>
      <w:r w:rsidR="00304833" w:rsidRPr="00B85D62">
        <w:rPr>
          <w:rFonts w:cs="Arial"/>
        </w:rPr>
        <w:tab/>
      </w:r>
      <w:r w:rsidR="00D3156E" w:rsidRPr="00B85D62">
        <w:rPr>
          <w:rFonts w:cs="Arial"/>
        </w:rPr>
        <w:t xml:space="preserve"> </w:t>
      </w:r>
      <w:r w:rsidR="0064756E" w:rsidRPr="00B85D62">
        <w:rPr>
          <w:rFonts w:cs="Arial"/>
        </w:rPr>
        <w:t>(</w:t>
      </w:r>
      <w:r w:rsidR="001A3FFD" w:rsidRPr="00B85D62">
        <w:rPr>
          <w:rFonts w:cs="Arial"/>
        </w:rPr>
        <w:t>https://orcid.org/0000-0003-4529-8237</w:t>
      </w:r>
      <w:r w:rsidR="0064756E" w:rsidRPr="00B85D62">
        <w:rPr>
          <w:rFonts w:cs="Arial"/>
        </w:rPr>
        <w:t>)</w:t>
      </w:r>
      <w:r w:rsidR="001A3FFD" w:rsidRPr="00B85D62">
        <w:rPr>
          <w:rFonts w:cs="Arial"/>
        </w:rPr>
        <w:t xml:space="preserve"> </w:t>
      </w:r>
      <w:r w:rsidR="00566BAE" w:rsidRPr="00B85D62">
        <w:rPr>
          <w:rFonts w:cs="Arial"/>
        </w:rPr>
        <w:t xml:space="preserve">(Research Assistant, </w:t>
      </w:r>
      <w:r w:rsidR="00566BAE" w:rsidRPr="00B85D62">
        <w:rPr>
          <w:rFonts w:cs="Arial"/>
          <w:highlight w:val="magenta"/>
        </w:rPr>
        <w:t>Data</w:t>
      </w:r>
      <w:r w:rsidR="00566BAE" w:rsidRPr="00B85D62">
        <w:rPr>
          <w:rFonts w:cs="Arial"/>
        </w:rPr>
        <w:t xml:space="preserve"> Science) </w:t>
      </w:r>
      <w:r w:rsidR="001A3FFD" w:rsidRPr="00B85D62">
        <w:rPr>
          <w:rFonts w:cs="Arial"/>
        </w:rPr>
        <w:t>contributed to analysis and interpretation of databases and editing the related chapters</w:t>
      </w:r>
      <w:r w:rsidR="008649DD" w:rsidRPr="00B85D62">
        <w:rPr>
          <w:rFonts w:cs="Arial"/>
        </w:rPr>
        <w:t xml:space="preserve"> and revisions of the report</w:t>
      </w:r>
    </w:p>
    <w:p w14:paraId="47A0E434" w14:textId="10AB0C52" w:rsidR="00201D4F" w:rsidRPr="00B85D62" w:rsidRDefault="00201D4F" w:rsidP="004A7C54">
      <w:pPr>
        <w:rPr>
          <w:rFonts w:cs="Arial"/>
          <w:b/>
          <w:bCs/>
        </w:rPr>
      </w:pPr>
      <w:r w:rsidRPr="00B85D62">
        <w:rPr>
          <w:rFonts w:cs="Arial"/>
          <w:b/>
          <w:bCs/>
        </w:rPr>
        <w:t>Barbara Iyen</w:t>
      </w:r>
      <w:r w:rsidR="00386094" w:rsidRPr="00B85D62">
        <w:rPr>
          <w:rFonts w:cs="Arial"/>
          <w:b/>
          <w:bCs/>
        </w:rPr>
        <w:t xml:space="preserve"> </w:t>
      </w:r>
      <w:r w:rsidR="00386094" w:rsidRPr="00B85D62">
        <w:rPr>
          <w:rFonts w:cs="Arial"/>
        </w:rPr>
        <w:t>(</w:t>
      </w:r>
      <w:r w:rsidR="001A3FFD" w:rsidRPr="00B85D62">
        <w:rPr>
          <w:rFonts w:cs="Arial"/>
        </w:rPr>
        <w:t>https://orcid.org/0000-0001-9720-1180</w:t>
      </w:r>
      <w:r w:rsidR="00386094" w:rsidRPr="00B85D62">
        <w:rPr>
          <w:rFonts w:cs="Arial"/>
        </w:rPr>
        <w:t>)</w:t>
      </w:r>
      <w:r w:rsidR="001A3FFD" w:rsidRPr="00B85D62">
        <w:rPr>
          <w:rFonts w:cs="Arial"/>
        </w:rPr>
        <w:t xml:space="preserve"> </w:t>
      </w:r>
      <w:r w:rsidR="00566BAE" w:rsidRPr="00B85D62">
        <w:rPr>
          <w:rFonts w:cs="Arial"/>
        </w:rPr>
        <w:t xml:space="preserve">(Clinical </w:t>
      </w:r>
      <w:r w:rsidR="00C2743C" w:rsidRPr="00B85D62">
        <w:rPr>
          <w:rFonts w:cs="Arial"/>
        </w:rPr>
        <w:t>L</w:t>
      </w:r>
      <w:r w:rsidR="00566BAE" w:rsidRPr="00B85D62">
        <w:rPr>
          <w:rFonts w:cs="Arial"/>
        </w:rPr>
        <w:t xml:space="preserve">ecturer in Primary Care) </w:t>
      </w:r>
      <w:r w:rsidR="001A3FFD" w:rsidRPr="00B85D62">
        <w:rPr>
          <w:rFonts w:cs="Arial"/>
        </w:rPr>
        <w:t>contributed to analysis and interpretation of databases and editing the related chapters</w:t>
      </w:r>
      <w:r w:rsidR="008649DD" w:rsidRPr="00B85D62">
        <w:rPr>
          <w:rFonts w:cs="Arial"/>
        </w:rPr>
        <w:t xml:space="preserve"> and revisions of the report</w:t>
      </w:r>
    </w:p>
    <w:p w14:paraId="5FF8C368" w14:textId="77777777" w:rsidR="00B85D62" w:rsidRPr="00B85D62" w:rsidRDefault="00201D4F" w:rsidP="004A7C54">
      <w:pPr>
        <w:rPr>
          <w:rFonts w:cs="Arial"/>
        </w:rPr>
      </w:pPr>
      <w:r w:rsidRPr="00B85D62">
        <w:rPr>
          <w:rFonts w:cs="Arial"/>
          <w:b/>
          <w:bCs/>
        </w:rPr>
        <w:t>Paul Roderick</w:t>
      </w:r>
      <w:r w:rsidR="00386094" w:rsidRPr="00B85D62">
        <w:rPr>
          <w:rFonts w:cs="Arial"/>
          <w:b/>
          <w:bCs/>
        </w:rPr>
        <w:t xml:space="preserve"> </w:t>
      </w:r>
      <w:r w:rsidR="00386094" w:rsidRPr="00B85D62">
        <w:rPr>
          <w:rFonts w:cs="Arial"/>
        </w:rPr>
        <w:t>(</w:t>
      </w:r>
      <w:r w:rsidR="001A3FFD" w:rsidRPr="00B85D62">
        <w:rPr>
          <w:rFonts w:cs="Arial"/>
        </w:rPr>
        <w:t>https://orcid.org/0000-0001-9475-6850</w:t>
      </w:r>
      <w:r w:rsidR="00386094" w:rsidRPr="00B85D62">
        <w:rPr>
          <w:rFonts w:cs="Arial"/>
        </w:rPr>
        <w:t>)</w:t>
      </w:r>
      <w:r w:rsidR="001A3FFD" w:rsidRPr="00B85D62">
        <w:rPr>
          <w:rFonts w:cs="Arial"/>
        </w:rPr>
        <w:t xml:space="preserve"> </w:t>
      </w:r>
      <w:r w:rsidR="00566BAE" w:rsidRPr="00B85D62">
        <w:rPr>
          <w:rFonts w:cs="Arial"/>
        </w:rPr>
        <w:t xml:space="preserve">(Professor of Public Health) </w:t>
      </w:r>
      <w:r w:rsidR="001A3FFD" w:rsidRPr="00B85D62">
        <w:rPr>
          <w:rFonts w:cs="Arial"/>
        </w:rPr>
        <w:t xml:space="preserve">contributed to development of the funding application in collaboration with other co-investigators, </w:t>
      </w:r>
      <w:r w:rsidR="005516D9" w:rsidRPr="00B85D62">
        <w:rPr>
          <w:rFonts w:cs="Arial"/>
        </w:rPr>
        <w:t>assisted with interpretation of databases and conceptualisation of the economic models</w:t>
      </w:r>
    </w:p>
    <w:p w14:paraId="31E14BE2" w14:textId="2A1E1AD9" w:rsidR="00201D4F" w:rsidRPr="00B85D62" w:rsidRDefault="00201D4F" w:rsidP="004A7C54">
      <w:pPr>
        <w:rPr>
          <w:rFonts w:cs="Arial"/>
        </w:rPr>
      </w:pPr>
      <w:r w:rsidRPr="00B85D62">
        <w:rPr>
          <w:rFonts w:cs="Arial"/>
          <w:b/>
          <w:bCs/>
        </w:rPr>
        <w:t>Steve Humphries</w:t>
      </w:r>
      <w:r w:rsidR="002B10E0" w:rsidRPr="00B85D62">
        <w:rPr>
          <w:rFonts w:cs="Arial"/>
        </w:rPr>
        <w:t xml:space="preserve"> (</w:t>
      </w:r>
      <w:r w:rsidR="001A3FFD" w:rsidRPr="00B85D62">
        <w:rPr>
          <w:rFonts w:cs="Arial"/>
        </w:rPr>
        <w:t>http://orcid.org/0000-0002-8221-6547</w:t>
      </w:r>
      <w:r w:rsidR="002B10E0" w:rsidRPr="00B85D62">
        <w:rPr>
          <w:rFonts w:cs="Arial"/>
        </w:rPr>
        <w:t>)</w:t>
      </w:r>
      <w:r w:rsidR="00566BAE" w:rsidRPr="00B85D62">
        <w:rPr>
          <w:rFonts w:cs="Arial"/>
        </w:rPr>
        <w:t xml:space="preserve"> (Emeritus Professor of Cardiovascular Genetics)</w:t>
      </w:r>
      <w:r w:rsidR="00B85D62" w:rsidRPr="00B85D62">
        <w:rPr>
          <w:rFonts w:cs="Arial"/>
        </w:rPr>
        <w:t xml:space="preserve"> </w:t>
      </w:r>
      <w:r w:rsidR="001A3FFD" w:rsidRPr="00B85D62">
        <w:rPr>
          <w:rFonts w:cs="Arial"/>
        </w:rPr>
        <w:t xml:space="preserve">contributed to development of the funding application in collaboration with other co-investigators, </w:t>
      </w:r>
      <w:r w:rsidR="005516D9" w:rsidRPr="00B85D62">
        <w:rPr>
          <w:rFonts w:cs="Arial"/>
        </w:rPr>
        <w:t>assisted with interpretation of</w:t>
      </w:r>
      <w:r w:rsidR="001A3FFD" w:rsidRPr="00B85D62">
        <w:rPr>
          <w:rFonts w:cs="Arial"/>
        </w:rPr>
        <w:t xml:space="preserve"> databases, conceptualisation of the economic models and reviewing and editing the final report</w:t>
      </w:r>
      <w:r w:rsidR="008649DD" w:rsidRPr="00B85D62">
        <w:rPr>
          <w:rFonts w:cs="Arial"/>
        </w:rPr>
        <w:t xml:space="preserve"> and revisions</w:t>
      </w:r>
      <w:r w:rsidR="001A3FFD" w:rsidRPr="00B85D62">
        <w:rPr>
          <w:rFonts w:cs="Arial"/>
        </w:rPr>
        <w:t>.</w:t>
      </w:r>
    </w:p>
    <w:p w14:paraId="2B28E449" w14:textId="5136565B" w:rsidR="00201D4F" w:rsidRPr="00B85D62" w:rsidRDefault="00201D4F" w:rsidP="004A7C54">
      <w:pPr>
        <w:rPr>
          <w:rFonts w:cs="Arial"/>
          <w:bCs/>
        </w:rPr>
      </w:pPr>
      <w:r w:rsidRPr="00B85D62">
        <w:rPr>
          <w:rFonts w:cs="Arial"/>
          <w:b/>
          <w:bCs/>
        </w:rPr>
        <w:t>William Rowlands</w:t>
      </w:r>
      <w:r w:rsidR="001A3FFD" w:rsidRPr="00B85D62">
        <w:rPr>
          <w:rFonts w:cs="Arial"/>
          <w:b/>
          <w:bCs/>
        </w:rPr>
        <w:t xml:space="preserve"> </w:t>
      </w:r>
      <w:r w:rsidR="00566BAE" w:rsidRPr="00B85D62">
        <w:rPr>
          <w:rFonts w:cs="Arial"/>
          <w:bCs/>
        </w:rPr>
        <w:t xml:space="preserve">(Study PPIE </w:t>
      </w:r>
      <w:r w:rsidR="00566BAE" w:rsidRPr="00B85D62">
        <w:rPr>
          <w:rFonts w:cs="Arial"/>
          <w:bCs/>
          <w:highlight w:val="magenta"/>
        </w:rPr>
        <w:t>lead</w:t>
      </w:r>
      <w:r w:rsidR="00566BAE" w:rsidRPr="00B85D62">
        <w:rPr>
          <w:rFonts w:cs="Arial"/>
          <w:bCs/>
        </w:rPr>
        <w:t>)</w:t>
      </w:r>
      <w:r w:rsidR="00566BAE" w:rsidRPr="00B85D62">
        <w:rPr>
          <w:rFonts w:cs="Arial"/>
          <w:b/>
          <w:bCs/>
        </w:rPr>
        <w:t xml:space="preserve"> </w:t>
      </w:r>
      <w:r w:rsidR="001A3FFD" w:rsidRPr="00B85D62">
        <w:rPr>
          <w:rFonts w:cs="Arial"/>
          <w:bCs/>
        </w:rPr>
        <w:t xml:space="preserve">contributed to development of the funding application in collaboration with other co-investigators, </w:t>
      </w:r>
      <w:r w:rsidR="00945016" w:rsidRPr="00B85D62">
        <w:rPr>
          <w:rFonts w:cs="Arial"/>
          <w:bCs/>
        </w:rPr>
        <w:t>and assisted with analysis of qualitative interviews, conceptualisation of the economic models and drafting Plain English Summary</w:t>
      </w:r>
    </w:p>
    <w:p w14:paraId="5ACA8D6C" w14:textId="2974FD4F" w:rsidR="00201D4F" w:rsidRPr="00B85D62" w:rsidRDefault="00201D4F" w:rsidP="004A7C54">
      <w:pPr>
        <w:rPr>
          <w:rFonts w:cs="Arial"/>
          <w:lang w:val="it-IT"/>
        </w:rPr>
      </w:pPr>
      <w:r w:rsidRPr="00B85D62">
        <w:rPr>
          <w:rFonts w:cs="Arial"/>
          <w:b/>
          <w:bCs/>
        </w:rPr>
        <w:t>Melanie Watson</w:t>
      </w:r>
      <w:r w:rsidR="001A3FFD" w:rsidRPr="00B85D62">
        <w:rPr>
          <w:rFonts w:cs="Arial"/>
          <w:b/>
          <w:bCs/>
        </w:rPr>
        <w:t xml:space="preserve"> </w:t>
      </w:r>
      <w:r w:rsidR="00566BAE" w:rsidRPr="00B85D62">
        <w:rPr>
          <w:rFonts w:cs="Arial"/>
          <w:bCs/>
        </w:rPr>
        <w:t>(Consultant</w:t>
      </w:r>
      <w:r w:rsidR="00B85D62" w:rsidRPr="00B85D62">
        <w:rPr>
          <w:rFonts w:cs="Arial"/>
          <w:bCs/>
        </w:rPr>
        <w:t xml:space="preserve"> </w:t>
      </w:r>
      <w:r w:rsidR="00566BAE" w:rsidRPr="00B85D62">
        <w:rPr>
          <w:rFonts w:cs="Arial"/>
          <w:bCs/>
        </w:rPr>
        <w:t>FH Nurse Specialist)</w:t>
      </w:r>
      <w:r w:rsidR="00566BAE" w:rsidRPr="00B85D62">
        <w:rPr>
          <w:rFonts w:cs="Arial"/>
          <w:b/>
          <w:bCs/>
        </w:rPr>
        <w:t xml:space="preserve"> </w:t>
      </w:r>
      <w:r w:rsidR="001A3FFD" w:rsidRPr="00B85D62">
        <w:rPr>
          <w:rFonts w:cs="Arial"/>
          <w:lang w:val="it-IT"/>
        </w:rPr>
        <w:t>contributed to development of the funding application in collaboration with other co-investigators, led on accessing Wessex PASS FH database and contributed to recuitment for and interpretation of the qualitative study</w:t>
      </w:r>
    </w:p>
    <w:p w14:paraId="177CE3A8" w14:textId="5C9DB784" w:rsidR="004C4762" w:rsidRPr="00B85D62" w:rsidRDefault="004C4762" w:rsidP="004A7C54">
      <w:pPr>
        <w:rPr>
          <w:rFonts w:cs="Arial"/>
          <w:bCs/>
        </w:rPr>
      </w:pPr>
      <w:r w:rsidRPr="00B85D62">
        <w:rPr>
          <w:rFonts w:cs="Arial"/>
          <w:b/>
          <w:bCs/>
        </w:rPr>
        <w:t xml:space="preserve">Kate Haralambos </w:t>
      </w:r>
      <w:r w:rsidRPr="00B85D62">
        <w:rPr>
          <w:rFonts w:cs="Arial"/>
          <w:bCs/>
          <w:shd w:val="clear" w:color="auto" w:fill="E6E6E6"/>
        </w:rPr>
        <w:t>contributed to development of the funding application in collaboration with other co-investigators, led on</w:t>
      </w:r>
      <w:r w:rsidRPr="00B85D62">
        <w:rPr>
          <w:rFonts w:cs="Arial"/>
          <w:bCs/>
        </w:rPr>
        <w:t xml:space="preserve"> extraction of relevant </w:t>
      </w:r>
      <w:r w:rsidRPr="00B85D62">
        <w:rPr>
          <w:rFonts w:cs="Arial"/>
          <w:bCs/>
          <w:highlight w:val="magenta"/>
        </w:rPr>
        <w:t>data</w:t>
      </w:r>
      <w:r w:rsidRPr="00B85D62">
        <w:rPr>
          <w:rFonts w:cs="Arial"/>
          <w:bCs/>
        </w:rPr>
        <w:t xml:space="preserve"> from the Welsh and Wessex PASS database</w:t>
      </w:r>
      <w:r w:rsidRPr="00B85D62">
        <w:t xml:space="preserve"> and </w:t>
      </w:r>
      <w:r w:rsidRPr="00B85D62">
        <w:rPr>
          <w:rFonts w:cs="Arial"/>
          <w:bCs/>
        </w:rPr>
        <w:t>contributed to editing the related chapter</w:t>
      </w:r>
    </w:p>
    <w:p w14:paraId="50D40611" w14:textId="7146B8ED" w:rsidR="004C4762" w:rsidRPr="00B85D62" w:rsidRDefault="004C4762" w:rsidP="004A7C54">
      <w:pPr>
        <w:rPr>
          <w:rFonts w:cs="Arial"/>
          <w:b/>
          <w:bCs/>
        </w:rPr>
      </w:pPr>
      <w:r w:rsidRPr="00B85D62">
        <w:rPr>
          <w:rFonts w:cs="Arial"/>
          <w:b/>
          <w:bCs/>
          <w:shd w:val="clear" w:color="auto" w:fill="E6E6E6"/>
        </w:rPr>
        <w:t xml:space="preserve">Ryan </w:t>
      </w:r>
      <w:r w:rsidR="00C35B5E" w:rsidRPr="00B85D62">
        <w:rPr>
          <w:rFonts w:cs="Arial"/>
          <w:b/>
          <w:bCs/>
          <w:shd w:val="clear" w:color="auto" w:fill="E6E6E6"/>
        </w:rPr>
        <w:t>Kenny</w:t>
      </w:r>
      <w:r w:rsidRPr="00B85D62">
        <w:rPr>
          <w:rFonts w:cs="Arial"/>
          <w:b/>
          <w:bCs/>
        </w:rPr>
        <w:t xml:space="preserve"> </w:t>
      </w:r>
      <w:r w:rsidRPr="00B85D62">
        <w:rPr>
          <w:rFonts w:cs="Arial"/>
          <w:bCs/>
        </w:rPr>
        <w:t>led the systematic review</w:t>
      </w:r>
      <w:r w:rsidRPr="00B85D62">
        <w:rPr>
          <w:rFonts w:cs="Arial"/>
          <w:bCs/>
          <w:shd w:val="clear" w:color="auto" w:fill="E6E6E6"/>
        </w:rPr>
        <w:t xml:space="preserve"> </w:t>
      </w:r>
      <w:r w:rsidRPr="00B85D62">
        <w:rPr>
          <w:rFonts w:cs="Arial"/>
          <w:bCs/>
        </w:rPr>
        <w:t>on diagnostic accuracy of clinical and biochemical criteria and scoring systems for the diagnosis of familial hypercholesterolemia in relatives</w:t>
      </w:r>
      <w:r w:rsidRPr="00B85D62">
        <w:rPr>
          <w:rFonts w:cs="Arial"/>
          <w:bCs/>
          <w:shd w:val="clear" w:color="auto" w:fill="E6E6E6"/>
        </w:rPr>
        <w:t xml:space="preserve"> and drafted th</w:t>
      </w:r>
      <w:r w:rsidRPr="00B85D62">
        <w:rPr>
          <w:rFonts w:cs="Arial"/>
          <w:bCs/>
        </w:rPr>
        <w:t>e related chapter</w:t>
      </w:r>
    </w:p>
    <w:p w14:paraId="47F85876" w14:textId="5E0E68CB" w:rsidR="004C4762" w:rsidRPr="00B85D62" w:rsidRDefault="004C4762" w:rsidP="004A7C54">
      <w:pPr>
        <w:rPr>
          <w:rFonts w:cs="Arial"/>
          <w:b/>
          <w:bCs/>
        </w:rPr>
      </w:pPr>
      <w:r w:rsidRPr="00B85D62">
        <w:rPr>
          <w:rFonts w:cs="Arial"/>
          <w:b/>
          <w:bCs/>
        </w:rPr>
        <w:t xml:space="preserve">Dev Datta </w:t>
      </w:r>
      <w:r w:rsidRPr="00B85D62">
        <w:rPr>
          <w:rFonts w:cs="Arial"/>
          <w:bCs/>
          <w:shd w:val="clear" w:color="auto" w:fill="E6E6E6"/>
        </w:rPr>
        <w:t xml:space="preserve">contributed to development of the funding application in collaboration with other co-investigators, led on accessing </w:t>
      </w:r>
      <w:r w:rsidRPr="00B85D62">
        <w:rPr>
          <w:rFonts w:cs="Arial"/>
          <w:bCs/>
        </w:rPr>
        <w:t>Welsh PASS</w:t>
      </w:r>
      <w:r w:rsidRPr="00B85D62">
        <w:rPr>
          <w:rFonts w:cs="Arial"/>
          <w:bCs/>
          <w:shd w:val="clear" w:color="auto" w:fill="E6E6E6"/>
        </w:rPr>
        <w:t xml:space="preserve"> database</w:t>
      </w:r>
    </w:p>
    <w:p w14:paraId="27A05E53" w14:textId="3EF701DF" w:rsidR="00201D4F" w:rsidRPr="00B85D62" w:rsidRDefault="00201D4F" w:rsidP="004A7C54">
      <w:pPr>
        <w:rPr>
          <w:rFonts w:cs="Arial"/>
          <w:b/>
          <w:bCs/>
        </w:rPr>
      </w:pPr>
      <w:r w:rsidRPr="00B85D62">
        <w:rPr>
          <w:rFonts w:cs="Arial"/>
          <w:b/>
          <w:bCs/>
        </w:rPr>
        <w:t>Zosia Miedzybrodzka</w:t>
      </w:r>
      <w:r w:rsidR="00386094" w:rsidRPr="00B85D62">
        <w:rPr>
          <w:rFonts w:cs="Arial"/>
          <w:b/>
          <w:bCs/>
        </w:rPr>
        <w:t xml:space="preserve"> </w:t>
      </w:r>
      <w:r w:rsidR="00386094" w:rsidRPr="00B85D62">
        <w:rPr>
          <w:rFonts w:cs="Arial"/>
        </w:rPr>
        <w:t>(</w:t>
      </w:r>
      <w:r w:rsidR="001A3FFD" w:rsidRPr="00B85D62">
        <w:rPr>
          <w:rFonts w:cs="Arial"/>
        </w:rPr>
        <w:t>https://orcid.org/0000-0003-2890-8136</w:t>
      </w:r>
      <w:r w:rsidR="00386094" w:rsidRPr="00B85D62">
        <w:rPr>
          <w:rFonts w:cs="Arial"/>
        </w:rPr>
        <w:t>)</w:t>
      </w:r>
      <w:r w:rsidR="001A3FFD" w:rsidRPr="00B85D62">
        <w:rPr>
          <w:rFonts w:cs="Arial"/>
        </w:rPr>
        <w:t xml:space="preserve"> </w:t>
      </w:r>
      <w:r w:rsidR="00566BAE" w:rsidRPr="00B85D62">
        <w:rPr>
          <w:rFonts w:cs="Arial"/>
        </w:rPr>
        <w:t xml:space="preserve">(Professor of Clinical Genetics) </w:t>
      </w:r>
      <w:r w:rsidR="001A3FFD" w:rsidRPr="00B85D62">
        <w:rPr>
          <w:rFonts w:cs="Arial"/>
        </w:rPr>
        <w:t xml:space="preserve">contributed to development of the funding application in collaboration with other co-investigators, led on accessing Scottish FH database and </w:t>
      </w:r>
      <w:r w:rsidR="004C4762" w:rsidRPr="00B85D62">
        <w:rPr>
          <w:rFonts w:cs="Arial"/>
        </w:rPr>
        <w:t xml:space="preserve">contributed to </w:t>
      </w:r>
      <w:r w:rsidR="001A3FFD" w:rsidRPr="00B85D62">
        <w:rPr>
          <w:rFonts w:cs="Arial"/>
        </w:rPr>
        <w:t>conceptualisation of the economic models</w:t>
      </w:r>
    </w:p>
    <w:p w14:paraId="571EECCD" w14:textId="77777777" w:rsidR="00B85D62" w:rsidRPr="00B85D62" w:rsidRDefault="00201D4F" w:rsidP="004A7C54">
      <w:pPr>
        <w:rPr>
          <w:rFonts w:cs="Arial"/>
        </w:rPr>
      </w:pPr>
      <w:r w:rsidRPr="00B85D62">
        <w:rPr>
          <w:rFonts w:cs="Arial"/>
          <w:b/>
          <w:bCs/>
        </w:rPr>
        <w:t>Christopher Byrne</w:t>
      </w:r>
      <w:r w:rsidR="001A3FFD" w:rsidRPr="00B85D62">
        <w:rPr>
          <w:rFonts w:cs="Arial"/>
          <w:lang w:val="it-IT"/>
        </w:rPr>
        <w:t xml:space="preserve"> </w:t>
      </w:r>
      <w:r w:rsidR="00C2743C" w:rsidRPr="00B85D62">
        <w:rPr>
          <w:rFonts w:cs="Arial"/>
          <w:lang w:val="it-IT"/>
        </w:rPr>
        <w:t xml:space="preserve">(Professor of Endocrinology and Metabolism) </w:t>
      </w:r>
      <w:r w:rsidR="001A3FFD" w:rsidRPr="00B85D62">
        <w:rPr>
          <w:rFonts w:cs="Arial"/>
        </w:rPr>
        <w:t>contributed to development of the funding application in collaboration with other co-investigators</w:t>
      </w:r>
    </w:p>
    <w:p w14:paraId="04F87A6B" w14:textId="4042A0C8" w:rsidR="00201D4F" w:rsidRPr="00B85D62" w:rsidRDefault="00201D4F">
      <w:pPr>
        <w:rPr>
          <w:rFonts w:eastAsia="Calibri" w:cs="Arial"/>
          <w:b/>
          <w:bCs/>
        </w:rPr>
      </w:pPr>
      <w:r w:rsidRPr="00B85D62">
        <w:rPr>
          <w:rFonts w:cs="Arial"/>
          <w:b/>
          <w:bCs/>
        </w:rPr>
        <w:t>Joe Kai</w:t>
      </w:r>
      <w:r w:rsidR="00D3156E" w:rsidRPr="00B85D62">
        <w:rPr>
          <w:rFonts w:cs="Arial"/>
          <w:b/>
          <w:bCs/>
        </w:rPr>
        <w:t xml:space="preserve"> </w:t>
      </w:r>
      <w:r w:rsidR="00D3156E" w:rsidRPr="00B85D62">
        <w:rPr>
          <w:rFonts w:cs="Arial"/>
        </w:rPr>
        <w:t>(</w:t>
      </w:r>
      <w:r w:rsidR="001A3FFD" w:rsidRPr="00B85D62">
        <w:rPr>
          <w:rFonts w:cs="Arial"/>
        </w:rPr>
        <w:t>https://orcid.org/0000-0001-9040-9384</w:t>
      </w:r>
      <w:r w:rsidR="00D3156E" w:rsidRPr="00B85D62">
        <w:rPr>
          <w:rFonts w:cs="Arial"/>
        </w:rPr>
        <w:t>)</w:t>
      </w:r>
      <w:r w:rsidR="001A3FFD" w:rsidRPr="00B85D62">
        <w:rPr>
          <w:rFonts w:cs="Arial"/>
        </w:rPr>
        <w:t xml:space="preserve"> </w:t>
      </w:r>
      <w:r w:rsidR="00C2743C" w:rsidRPr="00B85D62">
        <w:rPr>
          <w:rFonts w:cs="Arial"/>
        </w:rPr>
        <w:t xml:space="preserve">(Clinical Professor of Primary Care) contributed to co-writing the grant application, protocol development, designed and </w:t>
      </w:r>
      <w:r w:rsidR="001A3FFD" w:rsidRPr="00B85D62">
        <w:rPr>
          <w:rFonts w:cs="Arial"/>
          <w:lang w:val="it-IT"/>
        </w:rPr>
        <w:t>led the qualitative work stream, supervising fieldwork</w:t>
      </w:r>
      <w:r w:rsidR="008E75AF" w:rsidRPr="00B85D62">
        <w:rPr>
          <w:rFonts w:cs="Arial"/>
          <w:lang w:val="it-IT"/>
        </w:rPr>
        <w:t>, and</w:t>
      </w:r>
      <w:r w:rsidR="001A3FFD" w:rsidRPr="00B85D62">
        <w:rPr>
          <w:rFonts w:cs="Arial"/>
          <w:lang w:val="it-IT"/>
        </w:rPr>
        <w:t xml:space="preserve"> conducted the analyses with LC. He</w:t>
      </w:r>
      <w:r w:rsidR="00B85D62" w:rsidRPr="00B85D62">
        <w:rPr>
          <w:rFonts w:cs="Arial"/>
          <w:lang w:val="it-IT"/>
        </w:rPr>
        <w:t xml:space="preserve"> </w:t>
      </w:r>
      <w:r w:rsidR="001A3FFD" w:rsidRPr="00B85D62">
        <w:rPr>
          <w:rFonts w:cs="Arial"/>
          <w:lang w:val="it-IT"/>
        </w:rPr>
        <w:t>wrote the qualitative study chapter 9, and contributed to review and editing of the final report</w:t>
      </w:r>
      <w:r w:rsidR="008649DD" w:rsidRPr="00B85D62">
        <w:rPr>
          <w:rFonts w:cs="Arial"/>
          <w:lang w:val="it-IT"/>
        </w:rPr>
        <w:t xml:space="preserve"> and revisions.</w:t>
      </w:r>
      <w:r w:rsidR="72726EF6" w:rsidRPr="00B85D62">
        <w:rPr>
          <w:rFonts w:cs="Arial"/>
          <w:b/>
          <w:bCs/>
        </w:rPr>
        <w:t>.</w:t>
      </w:r>
    </w:p>
    <w:p w14:paraId="71E1DD65" w14:textId="4C677D69" w:rsidR="00F74130" w:rsidRPr="00B85D62" w:rsidRDefault="00F74130" w:rsidP="004A7C54">
      <w:pPr>
        <w:rPr>
          <w:rFonts w:cs="Arial"/>
        </w:rPr>
      </w:pPr>
      <w:r w:rsidRPr="00B85D62">
        <w:rPr>
          <w:rFonts w:cs="Arial"/>
        </w:rPr>
        <w:t>All authors reviewed the final report</w:t>
      </w:r>
    </w:p>
    <w:p w14:paraId="4B7D0F52" w14:textId="77777777" w:rsidR="00201D4F" w:rsidRPr="00B85D62" w:rsidRDefault="5E98A568" w:rsidP="006C7E71">
      <w:pPr>
        <w:pStyle w:val="Heading2"/>
      </w:pPr>
      <w:bookmarkStart w:id="304" w:name="_Toc76461086"/>
      <w:bookmarkStart w:id="305" w:name="_Toc107157530"/>
      <w:r w:rsidRPr="00B85D62">
        <w:t>Study Steering Committee</w:t>
      </w:r>
      <w:bookmarkEnd w:id="298"/>
      <w:bookmarkEnd w:id="304"/>
      <w:bookmarkEnd w:id="305"/>
    </w:p>
    <w:p w14:paraId="512D8050" w14:textId="2724CDDF" w:rsidR="00DB5BAE" w:rsidRPr="00B85D62" w:rsidRDefault="00201D4F" w:rsidP="004A7C54">
      <w:pPr>
        <w:rPr>
          <w:rFonts w:cs="Arial"/>
        </w:rPr>
      </w:pPr>
      <w:r w:rsidRPr="00B85D62">
        <w:rPr>
          <w:rFonts w:cs="Arial"/>
        </w:rPr>
        <w:t>We thank</w:t>
      </w:r>
      <w:r w:rsidR="161609FA" w:rsidRPr="00B85D62">
        <w:rPr>
          <w:rFonts w:cs="Arial"/>
        </w:rPr>
        <w:t xml:space="preserve"> Paul Durrington (Chair), Bob Cramb, David Wonderling</w:t>
      </w:r>
      <w:r w:rsidR="13E4067F" w:rsidRPr="00B85D62">
        <w:rPr>
          <w:rFonts w:cs="Arial"/>
        </w:rPr>
        <w:t>,</w:t>
      </w:r>
      <w:r w:rsidR="161609FA" w:rsidRPr="00B85D62">
        <w:rPr>
          <w:rFonts w:cs="Arial"/>
        </w:rPr>
        <w:t xml:space="preserve"> Dermot Neely, Mark Fisher, Rachel Elliott</w:t>
      </w:r>
      <w:r w:rsidR="3646959D" w:rsidRPr="00B85D62">
        <w:rPr>
          <w:rFonts w:cs="Arial"/>
        </w:rPr>
        <w:t xml:space="preserve">, Tony Wierzbicki, Dan Lasserson, Jules Payne </w:t>
      </w:r>
      <w:r w:rsidR="66694C4F" w:rsidRPr="00B85D62">
        <w:rPr>
          <w:rFonts w:cs="Arial"/>
        </w:rPr>
        <w:t>and</w:t>
      </w:r>
      <w:r w:rsidR="3646959D" w:rsidRPr="00B85D62">
        <w:rPr>
          <w:rFonts w:cs="Arial"/>
        </w:rPr>
        <w:t xml:space="preserve"> Joanne Whitmore </w:t>
      </w:r>
      <w:r w:rsidRPr="00B85D62">
        <w:rPr>
          <w:rFonts w:cs="Arial"/>
        </w:rPr>
        <w:t>for their oversight and guidance</w:t>
      </w:r>
      <w:r w:rsidR="0BA4FF09" w:rsidRPr="00B85D62">
        <w:rPr>
          <w:rFonts w:cs="Arial"/>
        </w:rPr>
        <w:t>.</w:t>
      </w:r>
      <w:bookmarkStart w:id="306" w:name="_Toc261523136"/>
      <w:bookmarkStart w:id="307" w:name="_Toc278212428"/>
      <w:bookmarkStart w:id="308" w:name="_Toc442364453"/>
      <w:bookmarkStart w:id="309" w:name="_Toc459991391"/>
    </w:p>
    <w:p w14:paraId="2D0F1DFA" w14:textId="5BCF5DD1" w:rsidR="00201D4F" w:rsidRPr="00B85D62" w:rsidRDefault="5E98A568" w:rsidP="006C7E71">
      <w:pPr>
        <w:pStyle w:val="Heading2"/>
        <w:rPr>
          <w:rFonts w:eastAsia="Yu Gothic Light"/>
        </w:rPr>
      </w:pPr>
      <w:bookmarkStart w:id="310" w:name="_Toc61283566"/>
      <w:bookmarkStart w:id="311" w:name="_Toc76461087"/>
      <w:bookmarkStart w:id="312" w:name="_Toc107157531"/>
      <w:bookmarkEnd w:id="306"/>
      <w:bookmarkEnd w:id="307"/>
      <w:bookmarkEnd w:id="308"/>
      <w:bookmarkEnd w:id="309"/>
      <w:r w:rsidRPr="00B85D62">
        <w:t>Role of the Funding Source</w:t>
      </w:r>
      <w:bookmarkEnd w:id="310"/>
      <w:bookmarkEnd w:id="311"/>
      <w:bookmarkEnd w:id="312"/>
    </w:p>
    <w:p w14:paraId="37FDC43B" w14:textId="77777777" w:rsidR="00201D4F" w:rsidRPr="00B85D62" w:rsidRDefault="00201D4F" w:rsidP="004A7C54">
      <w:pPr>
        <w:spacing w:before="120" w:after="120"/>
        <w:rPr>
          <w:rFonts w:cs="Arial"/>
        </w:rPr>
      </w:pPr>
      <w:r w:rsidRPr="00B85D62">
        <w:rPr>
          <w:rFonts w:cs="Arial"/>
        </w:rPr>
        <w:t xml:space="preserve">The funder appointed independent members to the SSC approved all protocol amendments and monitored study progress against agreed milestones. The funder had no involvement in </w:t>
      </w:r>
      <w:r w:rsidRPr="00B85D62">
        <w:rPr>
          <w:rFonts w:cs="Arial"/>
          <w:highlight w:val="magenta"/>
        </w:rPr>
        <w:t>data</w:t>
      </w:r>
      <w:r w:rsidRPr="00B85D62">
        <w:rPr>
          <w:rFonts w:cs="Arial"/>
        </w:rPr>
        <w:t xml:space="preserve"> interpretation or writing of the report. The corresponding author had full access to all outputs from the </w:t>
      </w:r>
      <w:r w:rsidRPr="00B85D62">
        <w:rPr>
          <w:rFonts w:cs="Arial"/>
          <w:highlight w:val="magenta"/>
        </w:rPr>
        <w:t>data</w:t>
      </w:r>
      <w:r w:rsidRPr="00B85D62">
        <w:rPr>
          <w:rFonts w:cs="Arial"/>
        </w:rPr>
        <w:t xml:space="preserve"> in the study.</w:t>
      </w:r>
    </w:p>
    <w:p w14:paraId="1D5DDF0E" w14:textId="77777777" w:rsidR="00201D4F" w:rsidRPr="00B85D62" w:rsidRDefault="62FEC268" w:rsidP="006C7E71">
      <w:pPr>
        <w:pStyle w:val="Heading2"/>
        <w:rPr>
          <w:rFonts w:eastAsia="Yu Gothic Light"/>
        </w:rPr>
      </w:pPr>
      <w:bookmarkStart w:id="313" w:name="_Toc61283542"/>
      <w:bookmarkStart w:id="314" w:name="_Toc76461088"/>
      <w:bookmarkStart w:id="315" w:name="_Toc107157532"/>
      <w:r w:rsidRPr="00B85D62">
        <w:t>Ethical Approval and Research Governance</w:t>
      </w:r>
      <w:bookmarkEnd w:id="313"/>
      <w:bookmarkEnd w:id="314"/>
      <w:bookmarkEnd w:id="315"/>
    </w:p>
    <w:p w14:paraId="2FE42946" w14:textId="77777777" w:rsidR="00B85D62" w:rsidRPr="00B85D62" w:rsidRDefault="1EF1C9BC" w:rsidP="0066232B">
      <w:pPr>
        <w:rPr>
          <w:rFonts w:cs="Arial"/>
          <w:lang w:eastAsia="en-GB"/>
        </w:rPr>
      </w:pPr>
      <w:r w:rsidRPr="00B85D62">
        <w:rPr>
          <w:rFonts w:cs="Arial"/>
        </w:rPr>
        <w:t xml:space="preserve">The protocol was approved by the Health Research Authority (reference number). The trial was funded by the National Institute for Health Research Health Technology Assessment programme (15/134/02) and included on the </w:t>
      </w:r>
      <w:r w:rsidR="3532017D" w:rsidRPr="00B85D62">
        <w:rPr>
          <w:rFonts w:cs="Arial"/>
        </w:rPr>
        <w:t>(</w:t>
      </w:r>
      <w:r w:rsidRPr="00B85D62">
        <w:rPr>
          <w:rFonts w:cs="Arial"/>
        </w:rPr>
        <w:t>name registry</w:t>
      </w:r>
      <w:r w:rsidR="3532017D" w:rsidRPr="00B85D62">
        <w:rPr>
          <w:rFonts w:cs="Arial"/>
        </w:rPr>
        <w:t>)</w:t>
      </w:r>
      <w:r w:rsidRPr="00B85D62">
        <w:rPr>
          <w:rFonts w:cs="Arial"/>
        </w:rPr>
        <w:t xml:space="preserve"> registry (insert link). Centre-specific approval was obtained at all recruiting centres.</w:t>
      </w:r>
    </w:p>
    <w:p w14:paraId="56905D19" w14:textId="77777777" w:rsidR="00B85D62" w:rsidRPr="00B85D62" w:rsidRDefault="00D166CB" w:rsidP="00D166CB">
      <w:pPr>
        <w:pStyle w:val="Heading1"/>
      </w:pPr>
      <w:bookmarkStart w:id="316" w:name="_Toc76461089"/>
      <w:bookmarkStart w:id="317" w:name="_Toc107157533"/>
      <w:bookmarkEnd w:id="299"/>
      <w:bookmarkEnd w:id="300"/>
      <w:bookmarkEnd w:id="301"/>
      <w:bookmarkEnd w:id="302"/>
      <w:bookmarkEnd w:id="303"/>
      <w:bookmarkEnd w:id="316"/>
      <w:r w:rsidRPr="00B85D62">
        <w:t>References</w:t>
      </w:r>
      <w:bookmarkEnd w:id="317"/>
    </w:p>
    <w:p w14:paraId="27695B0A" w14:textId="646D778E" w:rsidR="00B85D62" w:rsidRPr="00B85D62" w:rsidRDefault="73BB723E" w:rsidP="0066232B">
      <w:pPr>
        <w:pStyle w:val="Heading1"/>
        <w:spacing w:line="360" w:lineRule="auto"/>
        <w:rPr>
          <w:rFonts w:ascii="Arial" w:hAnsi="Arial" w:cs="Arial"/>
          <w:sz w:val="22"/>
          <w:szCs w:val="22"/>
        </w:rPr>
      </w:pPr>
      <w:bookmarkStart w:id="318" w:name="_Toc107157534"/>
      <w:r w:rsidRPr="00B85D62">
        <w:rPr>
          <w:rFonts w:ascii="Arial" w:hAnsi="Arial" w:cs="Arial"/>
          <w:sz w:val="22"/>
          <w:szCs w:val="22"/>
        </w:rPr>
        <w:t>Appendix 1</w:t>
      </w:r>
      <w:r w:rsidR="57040747" w:rsidRPr="00B85D62">
        <w:rPr>
          <w:rFonts w:ascii="Arial" w:hAnsi="Arial" w:cs="Arial"/>
          <w:sz w:val="22"/>
          <w:szCs w:val="22"/>
        </w:rPr>
        <w:t>:</w:t>
      </w:r>
      <w:r w:rsidR="00895586" w:rsidRPr="00B85D62">
        <w:rPr>
          <w:rFonts w:ascii="Arial" w:hAnsi="Arial" w:cs="Arial"/>
          <w:sz w:val="22"/>
          <w:szCs w:val="22"/>
        </w:rPr>
        <w:t xml:space="preserve"> </w:t>
      </w:r>
      <w:r w:rsidR="19925C01" w:rsidRPr="00B85D62">
        <w:rPr>
          <w:rFonts w:ascii="Arial" w:hAnsi="Arial" w:cs="Arial"/>
          <w:sz w:val="22"/>
          <w:szCs w:val="22"/>
        </w:rPr>
        <w:t>Systematic</w:t>
      </w:r>
      <w:r w:rsidR="0B74DD2E" w:rsidRPr="00B85D62">
        <w:rPr>
          <w:rFonts w:ascii="Arial" w:hAnsi="Arial" w:cs="Arial"/>
          <w:sz w:val="22"/>
          <w:szCs w:val="22"/>
        </w:rPr>
        <w:t xml:space="preserve"> Reviews</w:t>
      </w:r>
      <w:bookmarkEnd w:id="318"/>
    </w:p>
    <w:p w14:paraId="016EC827" w14:textId="639FDC9F" w:rsidR="00902D4F" w:rsidRPr="00B85D62" w:rsidRDefault="00B85D62" w:rsidP="0023317D">
      <w:pPr>
        <w:pStyle w:val="Caption"/>
        <w:rPr>
          <w:rFonts w:cs="Arial"/>
          <w:b w:val="0"/>
        </w:rPr>
      </w:pPr>
      <w:bookmarkStart w:id="319" w:name="_Toc107157378"/>
      <w:r w:rsidRPr="00B85D62">
        <w:rPr>
          <w:i/>
          <w:color w:val="FF0000"/>
        </w:rPr>
        <w:t>T</w:t>
      </w:r>
      <w:r w:rsidRPr="00B85D62">
        <w:rPr>
          <w:i/>
          <w:color w:val="FF0000"/>
        </w:rPr>
        <w:t>able</w:t>
      </w:r>
      <w:r w:rsidRPr="00B85D62">
        <w:rPr>
          <w:i/>
          <w:color w:val="FF0000"/>
        </w:rPr>
        <w:t xml:space="preserve"> </w:t>
      </w:r>
      <w:r w:rsidRPr="00B85D62">
        <w:rPr>
          <w:i/>
          <w:noProof/>
          <w:color w:val="FF0000"/>
        </w:rPr>
        <w:t>24</w:t>
      </w:r>
      <w:r w:rsidR="0052758D" w:rsidRPr="00B85D62">
        <w:rPr>
          <w:rFonts w:cs="Arial"/>
          <w:b w:val="0"/>
        </w:rPr>
        <w:t>:</w:t>
      </w:r>
      <w:r w:rsidR="006A155D" w:rsidRPr="00B85D62">
        <w:rPr>
          <w:rFonts w:cs="Arial"/>
          <w:b w:val="0"/>
        </w:rPr>
        <w:t xml:space="preserve"> </w:t>
      </w:r>
      <w:r w:rsidR="00902D4F" w:rsidRPr="00B85D62">
        <w:rPr>
          <w:rFonts w:cs="Arial"/>
          <w:b w:val="0"/>
        </w:rPr>
        <w:t>MEDLINE search strategy for Systematic Review 1</w:t>
      </w:r>
      <w:bookmarkEnd w:id="3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026"/>
      </w:tblGrid>
      <w:tr w:rsidR="00902D4F" w:rsidRPr="00B85D62" w14:paraId="10AE205D" w14:textId="77777777" w:rsidTr="00B85D62">
        <w:trPr>
          <w:cantSplit/>
        </w:trPr>
        <w:tc>
          <w:tcPr>
            <w:tcW w:w="0" w:type="auto"/>
            <w:shd w:val="clear" w:color="auto" w:fill="auto"/>
          </w:tcPr>
          <w:p w14:paraId="0F85878F" w14:textId="4399E5CE" w:rsidR="00902D4F" w:rsidRPr="00B85D62" w:rsidRDefault="00B85D62" w:rsidP="00581161">
            <w:pPr>
              <w:rPr>
                <w:rFonts w:cs="Arial"/>
                <w:highlight w:val="green"/>
                <w:lang w:eastAsia="en-GB"/>
              </w:rPr>
            </w:pPr>
            <w:r w:rsidRPr="00B85D62">
              <w:rPr>
                <w:rFonts w:cs="Arial"/>
                <w:lang w:eastAsia="en-GB"/>
              </w:rPr>
              <w:t xml:space="preserve"> </w:t>
            </w:r>
            <w:r w:rsidR="00902D4F" w:rsidRPr="00B85D62">
              <w:rPr>
                <w:rFonts w:cs="Arial"/>
                <w:highlight w:val="green"/>
                <w:lang w:eastAsia="en-GB"/>
              </w:rPr>
              <w:t>1 exp HYPERLIPOPROTEINEMIAS/</w:t>
            </w:r>
            <w:r w:rsidR="006A155D" w:rsidRPr="00B85D62">
              <w:rPr>
                <w:rFonts w:cs="Arial"/>
                <w:highlight w:val="green"/>
                <w:lang w:eastAsia="en-GB"/>
              </w:rPr>
              <w:t xml:space="preserve">  </w:t>
            </w:r>
            <w:r w:rsidRPr="00B85D62">
              <w:rPr>
                <w:rFonts w:cs="Arial"/>
                <w:highlight w:val="green"/>
                <w:lang w:eastAsia="en-GB"/>
              </w:rPr>
              <w:t xml:space="preserve"> </w:t>
            </w:r>
          </w:p>
        </w:tc>
      </w:tr>
      <w:tr w:rsidR="00902D4F" w:rsidRPr="00B85D62" w14:paraId="716C4F0E" w14:textId="77777777" w:rsidTr="00B85D62">
        <w:trPr>
          <w:cantSplit/>
        </w:trPr>
        <w:tc>
          <w:tcPr>
            <w:tcW w:w="0" w:type="auto"/>
            <w:shd w:val="clear" w:color="auto" w:fill="auto"/>
          </w:tcPr>
          <w:p w14:paraId="031C5818" w14:textId="038C2B8B" w:rsidR="00902D4F" w:rsidRPr="00B85D62" w:rsidRDefault="00902D4F" w:rsidP="00581161">
            <w:pPr>
              <w:rPr>
                <w:rFonts w:cs="Arial"/>
                <w:highlight w:val="green"/>
                <w:lang w:eastAsia="en-GB"/>
              </w:rPr>
            </w:pPr>
            <w:r w:rsidRPr="00B85D62">
              <w:rPr>
                <w:rFonts w:cs="Arial"/>
                <w:highlight w:val="green"/>
                <w:lang w:eastAsia="en-GB"/>
              </w:rPr>
              <w:t>2 (hyperlipoprotein?emi$ and type 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235F1348" w14:textId="77777777" w:rsidTr="00B85D62">
        <w:trPr>
          <w:cantSplit/>
        </w:trPr>
        <w:tc>
          <w:tcPr>
            <w:tcW w:w="0" w:type="auto"/>
            <w:shd w:val="clear" w:color="auto" w:fill="auto"/>
          </w:tcPr>
          <w:p w14:paraId="6321D116" w14:textId="48319E67" w:rsidR="00902D4F" w:rsidRPr="00B85D62" w:rsidRDefault="00902D4F" w:rsidP="00581161">
            <w:pPr>
              <w:rPr>
                <w:rFonts w:cs="Arial"/>
                <w:highlight w:val="green"/>
                <w:lang w:eastAsia="en-GB"/>
              </w:rPr>
            </w:pPr>
            <w:r w:rsidRPr="00B85D62">
              <w:rPr>
                <w:rFonts w:cs="Arial"/>
                <w:highlight w:val="green"/>
                <w:lang w:eastAsia="en-GB"/>
              </w:rPr>
              <w:t>3 (hyperlipoprotein?emi$ and type II$).tw.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17F31275" w14:textId="77777777" w:rsidTr="00B85D62">
        <w:trPr>
          <w:cantSplit/>
        </w:trPr>
        <w:tc>
          <w:tcPr>
            <w:tcW w:w="0" w:type="auto"/>
            <w:shd w:val="clear" w:color="auto" w:fill="auto"/>
          </w:tcPr>
          <w:p w14:paraId="11738647" w14:textId="5806AD2F" w:rsidR="00902D4F" w:rsidRPr="00B85D62" w:rsidRDefault="00902D4F" w:rsidP="00581161">
            <w:pPr>
              <w:rPr>
                <w:rFonts w:cs="Arial"/>
                <w:highlight w:val="green"/>
                <w:lang w:eastAsia="en-GB"/>
              </w:rPr>
            </w:pPr>
            <w:r w:rsidRPr="00B85D62">
              <w:rPr>
                <w:rFonts w:cs="Arial"/>
                <w:highlight w:val="green"/>
                <w:lang w:eastAsia="en-GB"/>
              </w:rPr>
              <w:t>4 (hyperlipoprotein?emi$ and type IV).tw.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266B6DCF" w14:textId="77777777" w:rsidTr="00B85D62">
        <w:trPr>
          <w:cantSplit/>
        </w:trPr>
        <w:tc>
          <w:tcPr>
            <w:tcW w:w="0" w:type="auto"/>
            <w:shd w:val="clear" w:color="auto" w:fill="auto"/>
          </w:tcPr>
          <w:p w14:paraId="6317E2FA" w14:textId="03D3C4B3" w:rsidR="00902D4F" w:rsidRPr="00B85D62" w:rsidRDefault="00902D4F" w:rsidP="00581161">
            <w:pPr>
              <w:rPr>
                <w:rFonts w:cs="Arial"/>
                <w:highlight w:val="green"/>
                <w:lang w:eastAsia="en-GB"/>
              </w:rPr>
            </w:pPr>
            <w:r w:rsidRPr="00B85D62">
              <w:rPr>
                <w:rFonts w:cs="Arial"/>
                <w:highlight w:val="green"/>
                <w:lang w:eastAsia="en-GB"/>
              </w:rPr>
              <w:t>5 (hyperlipoprotein?emi$ and type V).tw.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468E6FF9" w14:textId="77777777" w:rsidTr="00B85D62">
        <w:trPr>
          <w:cantSplit/>
        </w:trPr>
        <w:tc>
          <w:tcPr>
            <w:tcW w:w="0" w:type="auto"/>
            <w:shd w:val="clear" w:color="auto" w:fill="auto"/>
          </w:tcPr>
          <w:p w14:paraId="026061A4" w14:textId="6C6CAC1E" w:rsidR="00902D4F" w:rsidRPr="00B85D62" w:rsidRDefault="00902D4F" w:rsidP="00581161">
            <w:pPr>
              <w:rPr>
                <w:rFonts w:cs="Arial"/>
                <w:highlight w:val="green"/>
                <w:lang w:eastAsia="en-GB"/>
              </w:rPr>
            </w:pPr>
            <w:r w:rsidRPr="00B85D62">
              <w:rPr>
                <w:rFonts w:cs="Arial"/>
                <w:highlight w:val="green"/>
                <w:lang w:eastAsia="en-GB"/>
              </w:rPr>
              <w:t>6 familial hypercholesterol?emi$.tw.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4DF3CE2C" w14:textId="77777777" w:rsidTr="00B85D62">
        <w:trPr>
          <w:cantSplit/>
        </w:trPr>
        <w:tc>
          <w:tcPr>
            <w:tcW w:w="0" w:type="auto"/>
            <w:shd w:val="clear" w:color="auto" w:fill="auto"/>
          </w:tcPr>
          <w:p w14:paraId="616A816B" w14:textId="37BD7B67" w:rsidR="00902D4F" w:rsidRPr="00B85D62" w:rsidRDefault="00902D4F" w:rsidP="00581161">
            <w:pPr>
              <w:rPr>
                <w:rFonts w:cs="Arial"/>
                <w:highlight w:val="green"/>
                <w:lang w:eastAsia="en-GB"/>
              </w:rPr>
            </w:pPr>
            <w:r w:rsidRPr="00B85D62">
              <w:rPr>
                <w:rFonts w:cs="Arial"/>
                <w:highlight w:val="green"/>
                <w:lang w:eastAsia="en-GB"/>
              </w:rPr>
              <w:t>7 familial hyperlipid?emi$.tw.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389F45AC" w14:textId="77777777" w:rsidTr="00B85D62">
        <w:trPr>
          <w:cantSplit/>
        </w:trPr>
        <w:tc>
          <w:tcPr>
            <w:tcW w:w="0" w:type="auto"/>
            <w:shd w:val="clear" w:color="auto" w:fill="auto"/>
          </w:tcPr>
          <w:p w14:paraId="1D3941D5" w14:textId="45671582" w:rsidR="00902D4F" w:rsidRPr="00B85D62" w:rsidRDefault="00902D4F" w:rsidP="00581161">
            <w:pPr>
              <w:rPr>
                <w:rFonts w:cs="Arial"/>
                <w:highlight w:val="green"/>
                <w:lang w:eastAsia="en-GB"/>
              </w:rPr>
            </w:pPr>
            <w:r w:rsidRPr="00B85D62">
              <w:rPr>
                <w:rFonts w:cs="Arial"/>
                <w:highlight w:val="green"/>
                <w:lang w:eastAsia="en-GB"/>
              </w:rPr>
              <w:t>8 familial lipoprotein</w:t>
            </w:r>
            <w:r w:rsidR="00B85D62" w:rsidRPr="00B85D62">
              <w:rPr>
                <w:rFonts w:cs="Arial"/>
                <w:highlight w:val="green"/>
                <w:lang w:eastAsia="en-GB"/>
              </w:rPr>
              <w:t xml:space="preserve"> </w:t>
            </w:r>
            <w:r w:rsidRPr="00B85D62">
              <w:rPr>
                <w:rFonts w:cs="Arial"/>
                <w:highlight w:val="green"/>
                <w:lang w:eastAsia="en-GB"/>
              </w:rPr>
              <w:t>lipase</w:t>
            </w:r>
            <w:r w:rsidR="00B85D62" w:rsidRPr="00B85D62">
              <w:rPr>
                <w:rFonts w:cs="Arial"/>
                <w:highlight w:val="green"/>
                <w:lang w:eastAsia="en-GB"/>
              </w:rPr>
              <w:t xml:space="preserve"> </w:t>
            </w:r>
            <w:r w:rsidRPr="00B85D62">
              <w:rPr>
                <w:rFonts w:cs="Arial"/>
                <w:highlight w:val="green"/>
                <w:lang w:eastAsia="en-GB"/>
              </w:rPr>
              <w:t>defici$.tw.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37786A80" w14:textId="77777777" w:rsidTr="00B85D62">
        <w:trPr>
          <w:cantSplit/>
        </w:trPr>
        <w:tc>
          <w:tcPr>
            <w:tcW w:w="0" w:type="auto"/>
            <w:shd w:val="clear" w:color="auto" w:fill="auto"/>
          </w:tcPr>
          <w:p w14:paraId="5140A14A" w14:textId="04898B1D" w:rsidR="00902D4F" w:rsidRPr="00B85D62" w:rsidRDefault="00902D4F" w:rsidP="00581161">
            <w:pPr>
              <w:rPr>
                <w:rFonts w:cs="Arial"/>
                <w:highlight w:val="green"/>
                <w:lang w:eastAsia="en-GB"/>
              </w:rPr>
            </w:pPr>
            <w:r w:rsidRPr="00B85D62">
              <w:rPr>
                <w:rFonts w:cs="Arial"/>
                <w:highlight w:val="green"/>
                <w:lang w:eastAsia="en-GB"/>
              </w:rPr>
              <w:t>9 familial hyperchylomicron?emi$.tw.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40977ED4" w14:textId="77777777" w:rsidTr="00B85D62">
        <w:trPr>
          <w:cantSplit/>
        </w:trPr>
        <w:tc>
          <w:tcPr>
            <w:tcW w:w="0" w:type="auto"/>
            <w:shd w:val="clear" w:color="auto" w:fill="auto"/>
          </w:tcPr>
          <w:p w14:paraId="219A8971" w14:textId="6D4F67C8" w:rsidR="00902D4F" w:rsidRPr="00B85D62" w:rsidRDefault="00902D4F" w:rsidP="00581161">
            <w:pPr>
              <w:rPr>
                <w:rFonts w:cs="Arial"/>
                <w:highlight w:val="green"/>
                <w:lang w:eastAsia="en-GB"/>
              </w:rPr>
            </w:pPr>
            <w:r w:rsidRPr="00B85D62">
              <w:rPr>
                <w:rFonts w:cs="Arial"/>
                <w:highlight w:val="green"/>
                <w:lang w:eastAsia="en-GB"/>
              </w:rPr>
              <w:t>10 burger</w:t>
            </w:r>
            <w:r w:rsidR="00B85D62" w:rsidRPr="00B85D62">
              <w:rPr>
                <w:rFonts w:cs="Arial"/>
                <w:highlight w:val="green"/>
                <w:lang w:eastAsia="en-GB"/>
              </w:rPr>
              <w:t xml:space="preserve"> </w:t>
            </w:r>
            <w:r w:rsidRPr="00B85D62">
              <w:rPr>
                <w:rFonts w:cs="Arial"/>
                <w:highlight w:val="green"/>
                <w:lang w:eastAsia="en-GB"/>
              </w:rPr>
              <w:t>grutz.tw.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2C6724DE" w14:textId="77777777" w:rsidTr="00B85D62">
        <w:trPr>
          <w:cantSplit/>
        </w:trPr>
        <w:tc>
          <w:tcPr>
            <w:tcW w:w="0" w:type="auto"/>
            <w:shd w:val="clear" w:color="auto" w:fill="auto"/>
          </w:tcPr>
          <w:p w14:paraId="0EE96F7F" w14:textId="22A9E6F4" w:rsidR="00902D4F" w:rsidRPr="00B85D62" w:rsidRDefault="00902D4F" w:rsidP="00581161">
            <w:pPr>
              <w:rPr>
                <w:rFonts w:cs="Arial"/>
                <w:highlight w:val="green"/>
                <w:lang w:eastAsia="en-GB"/>
              </w:rPr>
            </w:pPr>
            <w:r w:rsidRPr="00B85D62">
              <w:rPr>
                <w:rFonts w:cs="Arial"/>
                <w:highlight w:val="green"/>
                <w:lang w:eastAsia="en-GB"/>
              </w:rPr>
              <w:t>11 familial hypertriglycerid?emi$.tw.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305CC8AC" w14:textId="77777777" w:rsidTr="00B85D62">
        <w:trPr>
          <w:cantSplit/>
        </w:trPr>
        <w:tc>
          <w:tcPr>
            <w:tcW w:w="0" w:type="auto"/>
            <w:shd w:val="clear" w:color="auto" w:fill="auto"/>
          </w:tcPr>
          <w:p w14:paraId="0BFE284D" w14:textId="0C11BCC6" w:rsidR="00902D4F" w:rsidRPr="00B85D62" w:rsidRDefault="00902D4F" w:rsidP="00581161">
            <w:pPr>
              <w:rPr>
                <w:rFonts w:cs="Arial"/>
                <w:highlight w:val="green"/>
                <w:lang w:eastAsia="en-GB"/>
              </w:rPr>
            </w:pPr>
            <w:r w:rsidRPr="00B85D62">
              <w:rPr>
                <w:rFonts w:cs="Arial"/>
                <w:highlight w:val="green"/>
                <w:lang w:eastAsia="en-GB"/>
              </w:rPr>
              <w:t>12 familial hyperlip?emi$.tw.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62124477" w14:textId="77777777" w:rsidTr="00B85D62">
        <w:trPr>
          <w:cantSplit/>
        </w:trPr>
        <w:tc>
          <w:tcPr>
            <w:tcW w:w="0" w:type="auto"/>
            <w:shd w:val="clear" w:color="auto" w:fill="auto"/>
          </w:tcPr>
          <w:p w14:paraId="728B38E3" w14:textId="1845529D" w:rsidR="00902D4F" w:rsidRPr="00B85D62" w:rsidRDefault="00902D4F" w:rsidP="00581161">
            <w:pPr>
              <w:rPr>
                <w:rFonts w:cs="Arial"/>
                <w:highlight w:val="green"/>
                <w:lang w:eastAsia="en-GB"/>
              </w:rPr>
            </w:pPr>
            <w:r w:rsidRPr="00B85D62">
              <w:rPr>
                <w:rFonts w:cs="Arial"/>
                <w:highlight w:val="green"/>
                <w:lang w:eastAsia="en-GB"/>
              </w:rPr>
              <w:t>13 familial hyperbetalipoprotein?emi$.tw.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3C66F374" w14:textId="77777777" w:rsidTr="00B85D62">
        <w:trPr>
          <w:cantSplit/>
        </w:trPr>
        <w:tc>
          <w:tcPr>
            <w:tcW w:w="0" w:type="auto"/>
            <w:shd w:val="clear" w:color="auto" w:fill="auto"/>
          </w:tcPr>
          <w:p w14:paraId="71D96790" w14:textId="425B6192" w:rsidR="00902D4F" w:rsidRPr="00B85D62" w:rsidRDefault="00902D4F" w:rsidP="00581161">
            <w:pPr>
              <w:rPr>
                <w:rFonts w:cs="Arial"/>
                <w:highlight w:val="green"/>
                <w:lang w:eastAsia="en-GB"/>
              </w:rPr>
            </w:pPr>
            <w:r w:rsidRPr="00B85D62">
              <w:rPr>
                <w:rFonts w:cs="Arial"/>
                <w:highlight w:val="green"/>
                <w:lang w:eastAsia="en-GB"/>
              </w:rPr>
              <w:t>14 dysbetalipoprotein?emi$.tw.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2A90C6DC" w14:textId="77777777" w:rsidTr="00B85D62">
        <w:trPr>
          <w:cantSplit/>
        </w:trPr>
        <w:tc>
          <w:tcPr>
            <w:tcW w:w="0" w:type="auto"/>
            <w:shd w:val="clear" w:color="auto" w:fill="auto"/>
          </w:tcPr>
          <w:p w14:paraId="54967198" w14:textId="0F457315" w:rsidR="00902D4F" w:rsidRPr="00B85D62" w:rsidRDefault="00902D4F" w:rsidP="00581161">
            <w:pPr>
              <w:rPr>
                <w:rFonts w:cs="Arial"/>
                <w:highlight w:val="green"/>
                <w:lang w:eastAsia="en-GB"/>
              </w:rPr>
            </w:pPr>
            <w:r w:rsidRPr="00B85D62">
              <w:rPr>
                <w:rFonts w:cs="Arial"/>
                <w:highlight w:val="green"/>
                <w:lang w:eastAsia="en-GB"/>
              </w:rPr>
              <w:t>15 familial hyperprebetalipoprotein?emi$.tw.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4F2A3376" w14:textId="77777777" w:rsidTr="00B85D62">
        <w:trPr>
          <w:cantSplit/>
        </w:trPr>
        <w:tc>
          <w:tcPr>
            <w:tcW w:w="0" w:type="auto"/>
            <w:shd w:val="clear" w:color="auto" w:fill="auto"/>
          </w:tcPr>
          <w:p w14:paraId="0F29BC51" w14:textId="241215F7" w:rsidR="00902D4F" w:rsidRPr="00B85D62" w:rsidRDefault="00902D4F" w:rsidP="00581161">
            <w:pPr>
              <w:rPr>
                <w:rFonts w:cs="Arial"/>
                <w:highlight w:val="green"/>
                <w:lang w:eastAsia="en-GB"/>
              </w:rPr>
            </w:pPr>
            <w:r w:rsidRPr="00B85D62">
              <w:rPr>
                <w:rFonts w:cs="Arial"/>
                <w:highlight w:val="green"/>
                <w:lang w:eastAsia="en-GB"/>
              </w:rPr>
              <w:t>16 broad</w:t>
            </w:r>
            <w:r w:rsidR="00B85D62" w:rsidRPr="00B85D62">
              <w:rPr>
                <w:rFonts w:cs="Arial"/>
                <w:highlight w:val="green"/>
                <w:lang w:eastAsia="en-GB"/>
              </w:rPr>
              <w:t xml:space="preserve"> </w:t>
            </w:r>
            <w:r w:rsidRPr="00B85D62">
              <w:rPr>
                <w:rFonts w:cs="Arial"/>
                <w:highlight w:val="green"/>
                <w:lang w:eastAsia="en-GB"/>
              </w:rPr>
              <w:t>beta</w:t>
            </w:r>
            <w:r w:rsidR="00B85D62" w:rsidRPr="00B85D62">
              <w:rPr>
                <w:rFonts w:cs="Arial"/>
                <w:highlight w:val="green"/>
                <w:lang w:eastAsia="en-GB"/>
              </w:rPr>
              <w:t xml:space="preserve"> </w:t>
            </w:r>
            <w:r w:rsidRPr="00B85D62">
              <w:rPr>
                <w:rFonts w:cs="Arial"/>
                <w:highlight w:val="green"/>
                <w:lang w:eastAsia="en-GB"/>
              </w:rPr>
              <w:t>disease.tw.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59D0E915" w14:textId="77777777" w:rsidTr="00B85D62">
        <w:trPr>
          <w:cantSplit/>
        </w:trPr>
        <w:tc>
          <w:tcPr>
            <w:tcW w:w="0" w:type="auto"/>
            <w:shd w:val="clear" w:color="auto" w:fill="auto"/>
          </w:tcPr>
          <w:p w14:paraId="21050D03" w14:textId="38DB830F" w:rsidR="00902D4F" w:rsidRPr="00B85D62" w:rsidRDefault="00902D4F" w:rsidP="00581161">
            <w:pPr>
              <w:rPr>
                <w:rFonts w:cs="Arial"/>
                <w:highlight w:val="green"/>
                <w:lang w:eastAsia="en-GB"/>
              </w:rPr>
            </w:pPr>
            <w:r w:rsidRPr="00B85D62">
              <w:rPr>
                <w:rFonts w:cs="Arial"/>
                <w:highlight w:val="green"/>
                <w:lang w:eastAsia="en-GB"/>
              </w:rPr>
              <w:t>17 broad beta band disease.tw.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66FFAAD5" w14:textId="77777777" w:rsidTr="00B85D62">
        <w:trPr>
          <w:cantSplit/>
        </w:trPr>
        <w:tc>
          <w:tcPr>
            <w:tcW w:w="0" w:type="auto"/>
            <w:shd w:val="clear" w:color="auto" w:fill="auto"/>
          </w:tcPr>
          <w:p w14:paraId="3E8A9EEC" w14:textId="1BF3B43C" w:rsidR="00902D4F" w:rsidRPr="00B85D62" w:rsidRDefault="00902D4F" w:rsidP="00581161">
            <w:pPr>
              <w:rPr>
                <w:rFonts w:cs="Arial"/>
                <w:highlight w:val="green"/>
                <w:lang w:eastAsia="en-GB"/>
              </w:rPr>
            </w:pPr>
            <w:r w:rsidRPr="00B85D62">
              <w:rPr>
                <w:rFonts w:cs="Arial"/>
                <w:highlight w:val="green"/>
                <w:lang w:eastAsia="en-GB"/>
              </w:rPr>
              <w:t>18 fused beta band disease.tw.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1A3902F1" w14:textId="77777777" w:rsidTr="00B85D62">
        <w:trPr>
          <w:cantSplit/>
        </w:trPr>
        <w:tc>
          <w:tcPr>
            <w:tcW w:w="0" w:type="auto"/>
            <w:shd w:val="clear" w:color="auto" w:fill="auto"/>
          </w:tcPr>
          <w:p w14:paraId="7949AB2E" w14:textId="050E8C6B" w:rsidR="00902D4F" w:rsidRPr="00B85D62" w:rsidRDefault="00902D4F" w:rsidP="00581161">
            <w:pPr>
              <w:rPr>
                <w:rFonts w:cs="Arial"/>
                <w:highlight w:val="green"/>
                <w:lang w:eastAsia="en-GB"/>
              </w:rPr>
            </w:pPr>
            <w:r w:rsidRPr="00B85D62">
              <w:rPr>
                <w:rFonts w:cs="Arial"/>
                <w:highlight w:val="green"/>
                <w:lang w:eastAsia="en-GB"/>
              </w:rPr>
              <w:t>19 remnant</w:t>
            </w:r>
            <w:r w:rsidR="00B85D62" w:rsidRPr="00B85D62">
              <w:rPr>
                <w:rFonts w:cs="Arial"/>
                <w:highlight w:val="green"/>
                <w:lang w:eastAsia="en-GB"/>
              </w:rPr>
              <w:t xml:space="preserve"> </w:t>
            </w:r>
            <w:r w:rsidRPr="00B85D62">
              <w:rPr>
                <w:rFonts w:cs="Arial"/>
                <w:highlight w:val="green"/>
                <w:lang w:eastAsia="en-GB"/>
              </w:rPr>
              <w:t>removal</w:t>
            </w:r>
            <w:r w:rsidR="00B85D62" w:rsidRPr="00B85D62">
              <w:rPr>
                <w:rFonts w:cs="Arial"/>
                <w:highlight w:val="green"/>
                <w:lang w:eastAsia="en-GB"/>
              </w:rPr>
              <w:t xml:space="preserve"> </w:t>
            </w:r>
            <w:r w:rsidRPr="00B85D62">
              <w:rPr>
                <w:rFonts w:cs="Arial"/>
                <w:highlight w:val="green"/>
                <w:lang w:eastAsia="en-GB"/>
              </w:rPr>
              <w:t>disease.tw.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6884C0C3" w14:textId="77777777" w:rsidTr="00B85D62">
        <w:trPr>
          <w:cantSplit/>
        </w:trPr>
        <w:tc>
          <w:tcPr>
            <w:tcW w:w="0" w:type="auto"/>
            <w:shd w:val="clear" w:color="auto" w:fill="auto"/>
          </w:tcPr>
          <w:p w14:paraId="18329B83" w14:textId="5FE75AC6" w:rsidR="00902D4F" w:rsidRPr="00B85D62" w:rsidRDefault="00902D4F" w:rsidP="00581161">
            <w:pPr>
              <w:rPr>
                <w:rFonts w:cs="Arial"/>
                <w:highlight w:val="green"/>
                <w:lang w:eastAsia="en-GB"/>
              </w:rPr>
            </w:pPr>
            <w:r w:rsidRPr="00B85D62">
              <w:rPr>
                <w:rFonts w:cs="Arial"/>
                <w:highlight w:val="green"/>
                <w:lang w:eastAsia="en-GB"/>
              </w:rPr>
              <w:t>20 familial apolipoprotein C-II defici$.tw.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0C215759" w14:textId="77777777" w:rsidTr="00B85D62">
        <w:trPr>
          <w:cantSplit/>
        </w:trPr>
        <w:tc>
          <w:tcPr>
            <w:tcW w:w="0" w:type="auto"/>
            <w:shd w:val="clear" w:color="auto" w:fill="auto"/>
          </w:tcPr>
          <w:p w14:paraId="47E3E051" w14:textId="0ABCE35F" w:rsidR="00902D4F" w:rsidRPr="00B85D62" w:rsidRDefault="00902D4F" w:rsidP="00581161">
            <w:pPr>
              <w:rPr>
                <w:rFonts w:cs="Arial"/>
                <w:highlight w:val="green"/>
                <w:lang w:eastAsia="en-GB"/>
              </w:rPr>
            </w:pPr>
            <w:r w:rsidRPr="00B85D62">
              <w:rPr>
                <w:rFonts w:cs="Arial"/>
                <w:highlight w:val="green"/>
                <w:lang w:eastAsia="en-GB"/>
              </w:rPr>
              <w:t>21 apoprotein C defici$.tw.</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5FE34DE7" w14:textId="77777777" w:rsidTr="00B85D62">
        <w:trPr>
          <w:cantSplit/>
        </w:trPr>
        <w:tc>
          <w:tcPr>
            <w:tcW w:w="0" w:type="auto"/>
            <w:shd w:val="clear" w:color="auto" w:fill="auto"/>
          </w:tcPr>
          <w:p w14:paraId="7620B597" w14:textId="304141C4" w:rsidR="00902D4F" w:rsidRPr="00B85D62" w:rsidRDefault="00902D4F" w:rsidP="00581161">
            <w:pPr>
              <w:rPr>
                <w:rFonts w:cs="Arial"/>
                <w:highlight w:val="green"/>
                <w:lang w:eastAsia="en-GB"/>
              </w:rPr>
            </w:pPr>
            <w:r w:rsidRPr="00B85D62">
              <w:rPr>
                <w:rFonts w:cs="Arial"/>
                <w:highlight w:val="green"/>
                <w:lang w:eastAsia="en-GB"/>
              </w:rPr>
              <w:t>22 or/1-21</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12FB18CF" w14:textId="77777777" w:rsidTr="00B85D62">
        <w:trPr>
          <w:cantSplit/>
        </w:trPr>
        <w:tc>
          <w:tcPr>
            <w:tcW w:w="0" w:type="auto"/>
            <w:shd w:val="clear" w:color="auto" w:fill="auto"/>
          </w:tcPr>
          <w:p w14:paraId="2E306E10" w14:textId="29AF39B9" w:rsidR="00902D4F" w:rsidRPr="00B85D62" w:rsidRDefault="00902D4F" w:rsidP="00581161">
            <w:pPr>
              <w:rPr>
                <w:rFonts w:cs="Arial"/>
                <w:highlight w:val="green"/>
                <w:lang w:eastAsia="en-GB"/>
              </w:rPr>
            </w:pPr>
            <w:r w:rsidRPr="00B85D62">
              <w:rPr>
                <w:rFonts w:cs="Arial"/>
                <w:highlight w:val="green"/>
                <w:lang w:eastAsia="en-GB"/>
              </w:rPr>
              <w:t>23 *Mass Screening/mt</w:t>
            </w:r>
            <w:r w:rsidR="00B85D62" w:rsidRPr="00B85D62">
              <w:rPr>
                <w:rFonts w:cs="Arial"/>
                <w:highlight w:val="green"/>
                <w:lang w:eastAsia="en-GB"/>
              </w:rPr>
              <w:t xml:space="preserve"> </w:t>
            </w:r>
            <w:r w:rsidRPr="00B85D62">
              <w:rPr>
                <w:rFonts w:cs="Arial"/>
                <w:highlight w:val="green"/>
                <w:lang w:eastAsia="en-GB"/>
              </w:rPr>
              <w:t>[Methods]</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2661B817" w14:textId="77777777" w:rsidTr="00B85D62">
        <w:trPr>
          <w:cantSplit/>
        </w:trPr>
        <w:tc>
          <w:tcPr>
            <w:tcW w:w="0" w:type="auto"/>
            <w:shd w:val="clear" w:color="auto" w:fill="auto"/>
          </w:tcPr>
          <w:p w14:paraId="45F36B21" w14:textId="1D94628B" w:rsidR="00902D4F" w:rsidRPr="00B85D62" w:rsidRDefault="00902D4F" w:rsidP="00581161">
            <w:pPr>
              <w:rPr>
                <w:rFonts w:cs="Arial"/>
                <w:highlight w:val="green"/>
                <w:lang w:eastAsia="en-GB"/>
              </w:rPr>
            </w:pPr>
            <w:r w:rsidRPr="00B85D62">
              <w:rPr>
                <w:rFonts w:cs="Arial"/>
                <w:highlight w:val="green"/>
                <w:lang w:eastAsia="en-GB"/>
              </w:rPr>
              <w:t>24 (Cascade adj3 (test$ or screen$)).ti,ab.</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6A7D67F9" w14:textId="77777777" w:rsidTr="00B85D62">
        <w:trPr>
          <w:cantSplit/>
        </w:trPr>
        <w:tc>
          <w:tcPr>
            <w:tcW w:w="0" w:type="auto"/>
            <w:shd w:val="clear" w:color="auto" w:fill="auto"/>
          </w:tcPr>
          <w:p w14:paraId="0DE021CD" w14:textId="54C6794F" w:rsidR="00902D4F" w:rsidRPr="00B85D62" w:rsidRDefault="00902D4F" w:rsidP="00581161">
            <w:pPr>
              <w:rPr>
                <w:rFonts w:cs="Arial"/>
                <w:highlight w:val="green"/>
                <w:lang w:eastAsia="en-GB"/>
              </w:rPr>
            </w:pPr>
            <w:r w:rsidRPr="00B85D62">
              <w:rPr>
                <w:rFonts w:cs="Arial"/>
                <w:highlight w:val="green"/>
                <w:lang w:eastAsia="en-GB"/>
              </w:rPr>
              <w:t>25 ($direct$ adj3 contact).ti,ab.</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7B80FA16" w14:textId="77777777" w:rsidTr="00B85D62">
        <w:trPr>
          <w:cantSplit/>
        </w:trPr>
        <w:tc>
          <w:tcPr>
            <w:tcW w:w="0" w:type="auto"/>
            <w:shd w:val="clear" w:color="auto" w:fill="auto"/>
          </w:tcPr>
          <w:p w14:paraId="680AA5A1" w14:textId="7C468696" w:rsidR="00902D4F" w:rsidRPr="00B85D62" w:rsidRDefault="00902D4F" w:rsidP="00581161">
            <w:pPr>
              <w:rPr>
                <w:rFonts w:cs="Arial"/>
                <w:highlight w:val="green"/>
                <w:lang w:eastAsia="en-GB"/>
              </w:rPr>
            </w:pPr>
            <w:r w:rsidRPr="00B85D62">
              <w:rPr>
                <w:rFonts w:cs="Arial"/>
                <w:highlight w:val="green"/>
                <w:lang w:eastAsia="en-GB"/>
              </w:rPr>
              <w:t>26 ((clinic or physician or practitioner) adj3 contact).ti,ab.</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0FA5D25E" w14:textId="77777777" w:rsidTr="00B85D62">
        <w:trPr>
          <w:cantSplit/>
        </w:trPr>
        <w:tc>
          <w:tcPr>
            <w:tcW w:w="0" w:type="auto"/>
            <w:shd w:val="clear" w:color="auto" w:fill="auto"/>
          </w:tcPr>
          <w:p w14:paraId="1E070DB6" w14:textId="5AE9335F" w:rsidR="00902D4F" w:rsidRPr="00B85D62" w:rsidRDefault="00902D4F" w:rsidP="00581161">
            <w:pPr>
              <w:rPr>
                <w:rFonts w:cs="Arial"/>
                <w:highlight w:val="green"/>
                <w:lang w:eastAsia="en-GB"/>
              </w:rPr>
            </w:pPr>
            <w:r w:rsidRPr="00B85D62">
              <w:rPr>
                <w:rFonts w:cs="Arial"/>
                <w:highlight w:val="green"/>
                <w:lang w:eastAsia="en-GB"/>
              </w:rPr>
              <w:t>27 contact</w:t>
            </w:r>
            <w:r w:rsidR="00B85D62" w:rsidRPr="00B85D62">
              <w:rPr>
                <w:rFonts w:cs="Arial"/>
                <w:highlight w:val="green"/>
                <w:lang w:eastAsia="en-GB"/>
              </w:rPr>
              <w:t xml:space="preserve"> </w:t>
            </w:r>
            <w:r w:rsidRPr="00B85D62">
              <w:rPr>
                <w:rFonts w:cs="Arial"/>
                <w:highlight w:val="green"/>
                <w:lang w:eastAsia="en-GB"/>
              </w:rPr>
              <w:t>tracing.ti,ab.</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4FCF5FDC" w14:textId="77777777" w:rsidTr="00B85D62">
        <w:trPr>
          <w:cantSplit/>
        </w:trPr>
        <w:tc>
          <w:tcPr>
            <w:tcW w:w="0" w:type="auto"/>
            <w:shd w:val="clear" w:color="auto" w:fill="auto"/>
          </w:tcPr>
          <w:p w14:paraId="67840C0E" w14:textId="12349486" w:rsidR="00902D4F" w:rsidRPr="00B85D62" w:rsidRDefault="00902D4F" w:rsidP="00581161">
            <w:pPr>
              <w:rPr>
                <w:rFonts w:cs="Arial"/>
                <w:highlight w:val="green"/>
                <w:lang w:eastAsia="en-GB"/>
              </w:rPr>
            </w:pPr>
            <w:r w:rsidRPr="00B85D62">
              <w:rPr>
                <w:rFonts w:cs="Arial"/>
                <w:highlight w:val="green"/>
                <w:lang w:eastAsia="en-GB"/>
              </w:rPr>
              <w:t>28 proband$.ti,ab.</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6ADAF93E" w14:textId="77777777" w:rsidTr="00B85D62">
        <w:trPr>
          <w:cantSplit/>
        </w:trPr>
        <w:tc>
          <w:tcPr>
            <w:tcW w:w="0" w:type="auto"/>
            <w:shd w:val="clear" w:color="auto" w:fill="auto"/>
          </w:tcPr>
          <w:p w14:paraId="619D4E8A" w14:textId="5FCF82D1" w:rsidR="00902D4F" w:rsidRPr="00B85D62" w:rsidRDefault="00902D4F" w:rsidP="00581161">
            <w:pPr>
              <w:rPr>
                <w:rFonts w:cs="Arial"/>
                <w:highlight w:val="green"/>
                <w:lang w:eastAsia="en-GB"/>
              </w:rPr>
            </w:pPr>
            <w:r w:rsidRPr="00B85D62">
              <w:rPr>
                <w:rFonts w:cs="Arial"/>
                <w:highlight w:val="green"/>
                <w:lang w:eastAsia="en-GB"/>
              </w:rPr>
              <w:t>29 index patient$.ti,ab.</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17733ABB" w14:textId="77777777" w:rsidTr="00B85D62">
        <w:trPr>
          <w:cantSplit/>
        </w:trPr>
        <w:tc>
          <w:tcPr>
            <w:tcW w:w="0" w:type="auto"/>
            <w:shd w:val="clear" w:color="auto" w:fill="auto"/>
          </w:tcPr>
          <w:p w14:paraId="6D98BC0D" w14:textId="56A8D80B" w:rsidR="00902D4F" w:rsidRPr="00B85D62" w:rsidRDefault="00902D4F" w:rsidP="00581161">
            <w:pPr>
              <w:rPr>
                <w:rFonts w:cs="Arial"/>
                <w:highlight w:val="green"/>
                <w:lang w:eastAsia="en-GB"/>
              </w:rPr>
            </w:pPr>
            <w:r w:rsidRPr="00B85D62">
              <w:rPr>
                <w:rFonts w:cs="Arial"/>
                <w:highlight w:val="green"/>
                <w:lang w:eastAsia="en-GB"/>
              </w:rPr>
              <w:t>30 ((famil$ or</w:t>
            </w:r>
            <w:r w:rsidR="00B85D62" w:rsidRPr="00B85D62">
              <w:rPr>
                <w:rFonts w:cs="Arial"/>
                <w:highlight w:val="green"/>
                <w:lang w:eastAsia="en-GB"/>
              </w:rPr>
              <w:t xml:space="preserve"> </w:t>
            </w:r>
            <w:r w:rsidRPr="00B85D62">
              <w:rPr>
                <w:rFonts w:cs="Arial"/>
                <w:highlight w:val="green"/>
                <w:lang w:eastAsia="en-GB"/>
              </w:rPr>
              <w:t>relativ$ or patient$ or people or at-risk) adj3 (contact$ or trac$ or</w:t>
            </w:r>
            <w:r w:rsidR="00B85D62" w:rsidRPr="00B85D62">
              <w:rPr>
                <w:rFonts w:cs="Arial"/>
                <w:highlight w:val="green"/>
                <w:lang w:eastAsia="en-GB"/>
              </w:rPr>
              <w:t xml:space="preserve"> </w:t>
            </w:r>
            <w:r w:rsidRPr="00B85D62">
              <w:rPr>
                <w:rFonts w:cs="Arial"/>
                <w:highlight w:val="green"/>
                <w:lang w:eastAsia="en-GB"/>
              </w:rPr>
              <w:t>invit$ or refer$ or approach$ or</w:t>
            </w:r>
            <w:r w:rsidR="00B85D62" w:rsidRPr="00B85D62">
              <w:rPr>
                <w:rFonts w:cs="Arial"/>
                <w:highlight w:val="green"/>
                <w:lang w:eastAsia="en-GB"/>
              </w:rPr>
              <w:t xml:space="preserve"> </w:t>
            </w:r>
            <w:r w:rsidRPr="00B85D62">
              <w:rPr>
                <w:rFonts w:cs="Arial"/>
                <w:highlight w:val="green"/>
                <w:lang w:eastAsia="en-GB"/>
              </w:rPr>
              <w:t>identif$ or</w:t>
            </w:r>
            <w:r w:rsidR="00B85D62" w:rsidRPr="00B85D62">
              <w:rPr>
                <w:rFonts w:cs="Arial"/>
                <w:highlight w:val="green"/>
                <w:lang w:eastAsia="en-GB"/>
              </w:rPr>
              <w:t xml:space="preserve"> </w:t>
            </w:r>
            <w:r w:rsidRPr="00B85D62">
              <w:rPr>
                <w:rFonts w:cs="Arial"/>
                <w:highlight w:val="green"/>
                <w:lang w:eastAsia="en-GB"/>
              </w:rPr>
              <w:t>notif$ or</w:t>
            </w:r>
            <w:r w:rsidR="00B85D62" w:rsidRPr="00B85D62">
              <w:rPr>
                <w:rFonts w:cs="Arial"/>
                <w:highlight w:val="green"/>
                <w:lang w:eastAsia="en-GB"/>
              </w:rPr>
              <w:t xml:space="preserve"> </w:t>
            </w:r>
            <w:r w:rsidRPr="00B85D62">
              <w:rPr>
                <w:rFonts w:cs="Arial"/>
                <w:highlight w:val="green"/>
                <w:lang w:eastAsia="en-GB"/>
              </w:rPr>
              <w:t>communicat$)).ti,ab.</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4934A3F3" w14:textId="77777777" w:rsidTr="00B85D62">
        <w:trPr>
          <w:cantSplit/>
        </w:trPr>
        <w:tc>
          <w:tcPr>
            <w:tcW w:w="0" w:type="auto"/>
            <w:shd w:val="clear" w:color="auto" w:fill="auto"/>
          </w:tcPr>
          <w:p w14:paraId="3AA0E316" w14:textId="7296646B" w:rsidR="00902D4F" w:rsidRPr="00B85D62" w:rsidRDefault="00902D4F" w:rsidP="00581161">
            <w:pPr>
              <w:rPr>
                <w:rFonts w:cs="Arial"/>
                <w:highlight w:val="green"/>
                <w:lang w:eastAsia="en-GB"/>
              </w:rPr>
            </w:pPr>
            <w:r w:rsidRPr="00B85D62">
              <w:rPr>
                <w:rFonts w:cs="Arial"/>
                <w:highlight w:val="green"/>
                <w:lang w:eastAsia="en-GB"/>
              </w:rPr>
              <w:t>31 or/23-30</w:t>
            </w:r>
            <w:r w:rsidR="006A155D" w:rsidRPr="00B85D62">
              <w:rPr>
                <w:rFonts w:cs="Arial"/>
                <w:highlight w:val="green"/>
                <w:lang w:eastAsia="en-GB"/>
              </w:rPr>
              <w:t xml:space="preserve">  </w:t>
            </w:r>
            <w:r w:rsidR="00B85D62" w:rsidRPr="00B85D62">
              <w:rPr>
                <w:rFonts w:cs="Arial"/>
                <w:highlight w:val="green"/>
                <w:lang w:eastAsia="en-GB"/>
              </w:rPr>
              <w:t xml:space="preserve"> </w:t>
            </w:r>
          </w:p>
        </w:tc>
      </w:tr>
      <w:tr w:rsidR="00902D4F" w:rsidRPr="00B85D62" w14:paraId="3FF93CBA" w14:textId="77777777" w:rsidTr="00B85D62">
        <w:trPr>
          <w:cantSplit/>
        </w:trPr>
        <w:tc>
          <w:tcPr>
            <w:tcW w:w="0" w:type="auto"/>
            <w:shd w:val="clear" w:color="auto" w:fill="auto"/>
          </w:tcPr>
          <w:p w14:paraId="03827CC5" w14:textId="5C623BAF" w:rsidR="00902D4F" w:rsidRPr="00B85D62" w:rsidRDefault="00902D4F" w:rsidP="00581161">
            <w:pPr>
              <w:rPr>
                <w:rFonts w:cs="Arial"/>
                <w:lang w:eastAsia="en-GB"/>
              </w:rPr>
            </w:pPr>
            <w:r w:rsidRPr="00B85D62">
              <w:rPr>
                <w:rFonts w:cs="Arial"/>
                <w:highlight w:val="green"/>
                <w:lang w:eastAsia="en-GB"/>
              </w:rPr>
              <w:t>32 22 and 31</w:t>
            </w:r>
            <w:r w:rsidR="00B85D62" w:rsidRPr="00B85D62">
              <w:rPr>
                <w:rFonts w:cs="Arial"/>
                <w:lang w:eastAsia="en-GB"/>
              </w:rPr>
              <w:t xml:space="preserve"> </w:t>
            </w:r>
          </w:p>
        </w:tc>
      </w:tr>
    </w:tbl>
    <w:p w14:paraId="4F65A61D" w14:textId="77777777" w:rsidR="009C790E" w:rsidRPr="00B85D62" w:rsidRDefault="009C790E" w:rsidP="00902D4F">
      <w:pPr>
        <w:rPr>
          <w:rFonts w:cs="Arial"/>
          <w:b/>
          <w:bCs/>
        </w:rPr>
      </w:pPr>
    </w:p>
    <w:p w14:paraId="0D7BF7AD" w14:textId="52AAAECE" w:rsidR="00902D4F" w:rsidRPr="00B85D62" w:rsidRDefault="00B85D62" w:rsidP="00E06F79">
      <w:pPr>
        <w:pStyle w:val="Caption"/>
        <w:rPr>
          <w:rFonts w:cs="Arial"/>
          <w:bCs/>
        </w:rPr>
      </w:pPr>
      <w:bookmarkStart w:id="320" w:name="_Toc107157379"/>
      <w:r w:rsidRPr="00B85D62">
        <w:rPr>
          <w:i/>
          <w:color w:val="FF0000"/>
        </w:rPr>
        <w:t>T</w:t>
      </w:r>
      <w:r w:rsidRPr="00B85D62">
        <w:rPr>
          <w:i/>
          <w:color w:val="FF0000"/>
        </w:rPr>
        <w:t>able</w:t>
      </w:r>
      <w:r w:rsidRPr="00B85D62">
        <w:rPr>
          <w:i/>
          <w:color w:val="FF0000"/>
        </w:rPr>
        <w:t xml:space="preserve"> </w:t>
      </w:r>
      <w:r w:rsidRPr="00B85D62">
        <w:rPr>
          <w:i/>
          <w:noProof/>
          <w:color w:val="FF0000"/>
        </w:rPr>
        <w:t>25</w:t>
      </w:r>
      <w:r w:rsidR="00902D4F" w:rsidRPr="00B85D62">
        <w:rPr>
          <w:rFonts w:cs="Arial"/>
          <w:b w:val="0"/>
          <w:bCs/>
        </w:rPr>
        <w:t>:</w:t>
      </w:r>
      <w:r w:rsidR="006A155D" w:rsidRPr="00B85D62">
        <w:rPr>
          <w:rFonts w:cs="Arial"/>
          <w:b w:val="0"/>
          <w:bCs/>
        </w:rPr>
        <w:t xml:space="preserve"> </w:t>
      </w:r>
      <w:r w:rsidR="00902D4F" w:rsidRPr="00B85D62">
        <w:rPr>
          <w:rFonts w:cs="Arial"/>
          <w:b w:val="0"/>
          <w:bCs/>
        </w:rPr>
        <w:t>Quality assessment for Systematic Review 1</w:t>
      </w:r>
      <w:bookmarkEnd w:id="320"/>
    </w:p>
    <w:p w14:paraId="67D96E81" w14:textId="5BF1EA19" w:rsidR="00902D4F" w:rsidRPr="00B85D62" w:rsidRDefault="00902D4F" w:rsidP="00902D4F">
      <w:pPr>
        <w:rPr>
          <w:rFonts w:cs="Arial"/>
          <w:b/>
          <w:bCs/>
          <w:lang w:eastAsia="en-GB"/>
        </w:rPr>
      </w:pPr>
      <w:r w:rsidRPr="00B85D62">
        <w:rPr>
          <w:rFonts w:cs="Arial"/>
          <w:b/>
          <w:bCs/>
          <w:lang w:eastAsia="en-GB"/>
        </w:rPr>
        <w:t>Methodological Quality of Included Studies</w:t>
      </w:r>
      <w:r w:rsidR="00B85D62" w:rsidRPr="00B85D62">
        <w:rPr>
          <w:rFonts w:cs="Arial"/>
          <w:b/>
          <w:bCs/>
          <w:lang w:eastAsia="en-GB"/>
        </w:rPr>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2210"/>
        <w:gridCol w:w="690"/>
        <w:gridCol w:w="451"/>
        <w:gridCol w:w="690"/>
        <w:gridCol w:w="690"/>
        <w:gridCol w:w="690"/>
        <w:gridCol w:w="690"/>
        <w:gridCol w:w="690"/>
        <w:gridCol w:w="690"/>
        <w:gridCol w:w="690"/>
        <w:gridCol w:w="690"/>
      </w:tblGrid>
      <w:tr w:rsidR="00B85D62" w:rsidRPr="00B85D62" w14:paraId="5DF1FF35" w14:textId="77777777" w:rsidTr="00B85D62">
        <w:trPr>
          <w:cantSplit/>
        </w:trPr>
        <w:tc>
          <w:tcPr>
            <w:tcW w:w="0" w:type="auto"/>
            <w:shd w:val="clear" w:color="auto" w:fill="D9D9D9" w:themeFill="background1" w:themeFillShade="D9"/>
            <w:hideMark/>
          </w:tcPr>
          <w:p w14:paraId="1B712FB8" w14:textId="4794003E" w:rsidR="00902D4F" w:rsidRPr="00B85D62" w:rsidRDefault="00902D4F" w:rsidP="00902D4F">
            <w:pPr>
              <w:jc w:val="both"/>
              <w:textAlignment w:val="baseline"/>
              <w:rPr>
                <w:rFonts w:cs="Arial"/>
                <w:b/>
                <w:bCs/>
                <w:sz w:val="18"/>
                <w:szCs w:val="18"/>
                <w:lang w:eastAsia="en-GB"/>
              </w:rPr>
            </w:pPr>
            <w:r w:rsidRPr="00B85D62">
              <w:rPr>
                <w:rFonts w:cs="Arial"/>
                <w:b/>
                <w:bCs/>
                <w:sz w:val="18"/>
                <w:szCs w:val="18"/>
                <w:lang w:eastAsia="en-GB"/>
              </w:rPr>
              <w:t>Study, year</w:t>
            </w:r>
            <w:r w:rsidR="00B85D62" w:rsidRPr="00B85D62">
              <w:rPr>
                <w:rFonts w:cs="Arial"/>
                <w:b/>
                <w:bCs/>
                <w:sz w:val="18"/>
                <w:szCs w:val="18"/>
                <w:lang w:eastAsia="en-GB"/>
              </w:rPr>
              <w:t xml:space="preserve"> </w:t>
            </w:r>
          </w:p>
        </w:tc>
        <w:tc>
          <w:tcPr>
            <w:tcW w:w="0" w:type="auto"/>
            <w:shd w:val="clear" w:color="auto" w:fill="D9D9D9" w:themeFill="background1" w:themeFillShade="D9"/>
            <w:hideMark/>
          </w:tcPr>
          <w:p w14:paraId="60406C0D" w14:textId="32D17409" w:rsidR="00902D4F" w:rsidRPr="00B85D62" w:rsidRDefault="00902D4F" w:rsidP="00902D4F">
            <w:pPr>
              <w:jc w:val="center"/>
              <w:textAlignment w:val="baseline"/>
              <w:rPr>
                <w:rFonts w:cs="Arial"/>
                <w:b/>
                <w:bCs/>
                <w:sz w:val="18"/>
                <w:szCs w:val="18"/>
                <w:lang w:eastAsia="en-GB"/>
              </w:rPr>
            </w:pPr>
            <w:r w:rsidRPr="00B85D62">
              <w:rPr>
                <w:rFonts w:cs="Arial"/>
                <w:b/>
                <w:bCs/>
                <w:sz w:val="18"/>
                <w:szCs w:val="18"/>
                <w:lang w:eastAsia="en-GB"/>
              </w:rPr>
              <w:t>Qu 1</w:t>
            </w:r>
            <w:r w:rsidR="00B85D62" w:rsidRPr="00B85D62">
              <w:rPr>
                <w:rFonts w:cs="Arial"/>
                <w:b/>
                <w:bCs/>
                <w:sz w:val="18"/>
                <w:szCs w:val="18"/>
                <w:lang w:eastAsia="en-GB"/>
              </w:rPr>
              <w:t xml:space="preserve"> </w:t>
            </w:r>
          </w:p>
        </w:tc>
        <w:tc>
          <w:tcPr>
            <w:tcW w:w="0" w:type="auto"/>
            <w:shd w:val="clear" w:color="auto" w:fill="D9D9D9" w:themeFill="background1" w:themeFillShade="D9"/>
            <w:hideMark/>
          </w:tcPr>
          <w:p w14:paraId="227E1022" w14:textId="1EC70BA6" w:rsidR="00902D4F" w:rsidRPr="00B85D62" w:rsidRDefault="00902D4F" w:rsidP="00902D4F">
            <w:pPr>
              <w:jc w:val="center"/>
              <w:textAlignment w:val="baseline"/>
              <w:rPr>
                <w:rFonts w:cs="Arial"/>
                <w:b/>
                <w:bCs/>
                <w:sz w:val="18"/>
                <w:szCs w:val="18"/>
                <w:lang w:eastAsia="en-GB"/>
              </w:rPr>
            </w:pPr>
            <w:r w:rsidRPr="00B85D62">
              <w:rPr>
                <w:rFonts w:cs="Arial"/>
                <w:b/>
                <w:bCs/>
                <w:sz w:val="18"/>
                <w:szCs w:val="18"/>
                <w:lang w:eastAsia="en-GB"/>
              </w:rPr>
              <w:t>Qu2</w:t>
            </w:r>
            <w:r w:rsidR="00B85D62" w:rsidRPr="00B85D62">
              <w:rPr>
                <w:rFonts w:cs="Arial"/>
                <w:b/>
                <w:bCs/>
                <w:sz w:val="18"/>
                <w:szCs w:val="18"/>
                <w:lang w:eastAsia="en-GB"/>
              </w:rPr>
              <w:t xml:space="preserve"> </w:t>
            </w:r>
          </w:p>
        </w:tc>
        <w:tc>
          <w:tcPr>
            <w:tcW w:w="0" w:type="auto"/>
            <w:shd w:val="clear" w:color="auto" w:fill="D9D9D9" w:themeFill="background1" w:themeFillShade="D9"/>
            <w:hideMark/>
          </w:tcPr>
          <w:p w14:paraId="593DA0EC" w14:textId="619ECB12" w:rsidR="00902D4F" w:rsidRPr="00B85D62" w:rsidRDefault="00902D4F" w:rsidP="00902D4F">
            <w:pPr>
              <w:jc w:val="center"/>
              <w:textAlignment w:val="baseline"/>
              <w:rPr>
                <w:rFonts w:cs="Arial"/>
                <w:b/>
                <w:bCs/>
                <w:sz w:val="18"/>
                <w:szCs w:val="18"/>
                <w:lang w:eastAsia="en-GB"/>
              </w:rPr>
            </w:pPr>
            <w:r w:rsidRPr="00B85D62">
              <w:rPr>
                <w:rFonts w:cs="Arial"/>
                <w:b/>
                <w:bCs/>
                <w:sz w:val="18"/>
                <w:szCs w:val="18"/>
                <w:lang w:eastAsia="en-GB"/>
              </w:rPr>
              <w:t>Qu3</w:t>
            </w:r>
            <w:r w:rsidR="00B85D62" w:rsidRPr="00B85D62">
              <w:rPr>
                <w:rFonts w:cs="Arial"/>
                <w:b/>
                <w:bCs/>
                <w:sz w:val="18"/>
                <w:szCs w:val="18"/>
                <w:lang w:eastAsia="en-GB"/>
              </w:rPr>
              <w:t xml:space="preserve"> </w:t>
            </w:r>
          </w:p>
        </w:tc>
        <w:tc>
          <w:tcPr>
            <w:tcW w:w="0" w:type="auto"/>
            <w:shd w:val="clear" w:color="auto" w:fill="D9D9D9" w:themeFill="background1" w:themeFillShade="D9"/>
            <w:hideMark/>
          </w:tcPr>
          <w:p w14:paraId="2C535CE5" w14:textId="193A4A31" w:rsidR="00902D4F" w:rsidRPr="00B85D62" w:rsidRDefault="00902D4F" w:rsidP="00902D4F">
            <w:pPr>
              <w:jc w:val="center"/>
              <w:textAlignment w:val="baseline"/>
              <w:rPr>
                <w:rFonts w:cs="Arial"/>
                <w:b/>
                <w:bCs/>
                <w:sz w:val="18"/>
                <w:szCs w:val="18"/>
                <w:lang w:eastAsia="en-GB"/>
              </w:rPr>
            </w:pPr>
            <w:r w:rsidRPr="00B85D62">
              <w:rPr>
                <w:rFonts w:cs="Arial"/>
                <w:b/>
                <w:bCs/>
                <w:sz w:val="18"/>
                <w:szCs w:val="18"/>
                <w:lang w:eastAsia="en-GB"/>
              </w:rPr>
              <w:t>Qu4</w:t>
            </w:r>
            <w:r w:rsidR="00B85D62" w:rsidRPr="00B85D62">
              <w:rPr>
                <w:rFonts w:cs="Arial"/>
                <w:b/>
                <w:bCs/>
                <w:sz w:val="18"/>
                <w:szCs w:val="18"/>
                <w:lang w:eastAsia="en-GB"/>
              </w:rPr>
              <w:t xml:space="preserve"> </w:t>
            </w:r>
          </w:p>
        </w:tc>
        <w:tc>
          <w:tcPr>
            <w:tcW w:w="0" w:type="auto"/>
            <w:shd w:val="clear" w:color="auto" w:fill="D9D9D9" w:themeFill="background1" w:themeFillShade="D9"/>
            <w:hideMark/>
          </w:tcPr>
          <w:p w14:paraId="151F8AE5" w14:textId="7A6A1750" w:rsidR="00902D4F" w:rsidRPr="00B85D62" w:rsidRDefault="00902D4F" w:rsidP="00902D4F">
            <w:pPr>
              <w:jc w:val="center"/>
              <w:textAlignment w:val="baseline"/>
              <w:rPr>
                <w:rFonts w:cs="Arial"/>
                <w:b/>
                <w:bCs/>
                <w:sz w:val="18"/>
                <w:szCs w:val="18"/>
                <w:lang w:eastAsia="en-GB"/>
              </w:rPr>
            </w:pPr>
            <w:r w:rsidRPr="00B85D62">
              <w:rPr>
                <w:rFonts w:cs="Arial"/>
                <w:b/>
                <w:bCs/>
                <w:sz w:val="18"/>
                <w:szCs w:val="18"/>
                <w:lang w:eastAsia="en-GB"/>
              </w:rPr>
              <w:t>Qu5</w:t>
            </w:r>
            <w:r w:rsidR="00B85D62" w:rsidRPr="00B85D62">
              <w:rPr>
                <w:rFonts w:cs="Arial"/>
                <w:b/>
                <w:bCs/>
                <w:sz w:val="18"/>
                <w:szCs w:val="18"/>
                <w:lang w:eastAsia="en-GB"/>
              </w:rPr>
              <w:t xml:space="preserve"> </w:t>
            </w:r>
          </w:p>
        </w:tc>
        <w:tc>
          <w:tcPr>
            <w:tcW w:w="0" w:type="auto"/>
            <w:shd w:val="clear" w:color="auto" w:fill="D9D9D9" w:themeFill="background1" w:themeFillShade="D9"/>
            <w:hideMark/>
          </w:tcPr>
          <w:p w14:paraId="76203487" w14:textId="40A14A3A" w:rsidR="00902D4F" w:rsidRPr="00B85D62" w:rsidRDefault="00902D4F" w:rsidP="00902D4F">
            <w:pPr>
              <w:jc w:val="center"/>
              <w:textAlignment w:val="baseline"/>
              <w:rPr>
                <w:rFonts w:cs="Arial"/>
                <w:b/>
                <w:bCs/>
                <w:sz w:val="18"/>
                <w:szCs w:val="18"/>
                <w:lang w:eastAsia="en-GB"/>
              </w:rPr>
            </w:pPr>
            <w:r w:rsidRPr="00B85D62">
              <w:rPr>
                <w:rFonts w:cs="Arial"/>
                <w:b/>
                <w:bCs/>
                <w:sz w:val="18"/>
                <w:szCs w:val="18"/>
                <w:lang w:eastAsia="en-GB"/>
              </w:rPr>
              <w:t>Qu6</w:t>
            </w:r>
            <w:r w:rsidR="00B85D62" w:rsidRPr="00B85D62">
              <w:rPr>
                <w:rFonts w:cs="Arial"/>
                <w:b/>
                <w:bCs/>
                <w:sz w:val="18"/>
                <w:szCs w:val="18"/>
                <w:lang w:eastAsia="en-GB"/>
              </w:rPr>
              <w:t xml:space="preserve"> </w:t>
            </w:r>
          </w:p>
        </w:tc>
        <w:tc>
          <w:tcPr>
            <w:tcW w:w="0" w:type="auto"/>
            <w:shd w:val="clear" w:color="auto" w:fill="D9D9D9" w:themeFill="background1" w:themeFillShade="D9"/>
            <w:hideMark/>
          </w:tcPr>
          <w:p w14:paraId="4C8C07DE" w14:textId="2E594615" w:rsidR="00902D4F" w:rsidRPr="00B85D62" w:rsidRDefault="00902D4F" w:rsidP="00902D4F">
            <w:pPr>
              <w:jc w:val="center"/>
              <w:textAlignment w:val="baseline"/>
              <w:rPr>
                <w:rFonts w:cs="Arial"/>
                <w:b/>
                <w:bCs/>
                <w:sz w:val="18"/>
                <w:szCs w:val="18"/>
                <w:lang w:eastAsia="en-GB"/>
              </w:rPr>
            </w:pPr>
            <w:r w:rsidRPr="00B85D62">
              <w:rPr>
                <w:rFonts w:cs="Arial"/>
                <w:b/>
                <w:bCs/>
                <w:sz w:val="18"/>
                <w:szCs w:val="18"/>
                <w:lang w:eastAsia="en-GB"/>
              </w:rPr>
              <w:t>Qu7</w:t>
            </w:r>
            <w:r w:rsidR="00B85D62" w:rsidRPr="00B85D62">
              <w:rPr>
                <w:rFonts w:cs="Arial"/>
                <w:b/>
                <w:bCs/>
                <w:sz w:val="18"/>
                <w:szCs w:val="18"/>
                <w:lang w:eastAsia="en-GB"/>
              </w:rPr>
              <w:t xml:space="preserve"> </w:t>
            </w:r>
          </w:p>
        </w:tc>
        <w:tc>
          <w:tcPr>
            <w:tcW w:w="0" w:type="auto"/>
            <w:shd w:val="clear" w:color="auto" w:fill="D9D9D9" w:themeFill="background1" w:themeFillShade="D9"/>
            <w:hideMark/>
          </w:tcPr>
          <w:p w14:paraId="3316ADFC" w14:textId="55A590BD" w:rsidR="00902D4F" w:rsidRPr="00B85D62" w:rsidRDefault="00902D4F" w:rsidP="00902D4F">
            <w:pPr>
              <w:jc w:val="center"/>
              <w:textAlignment w:val="baseline"/>
              <w:rPr>
                <w:rFonts w:cs="Arial"/>
                <w:b/>
                <w:bCs/>
                <w:sz w:val="18"/>
                <w:szCs w:val="18"/>
                <w:lang w:eastAsia="en-GB"/>
              </w:rPr>
            </w:pPr>
            <w:r w:rsidRPr="00B85D62">
              <w:rPr>
                <w:rFonts w:cs="Arial"/>
                <w:b/>
                <w:bCs/>
                <w:sz w:val="18"/>
                <w:szCs w:val="18"/>
                <w:lang w:eastAsia="en-GB"/>
              </w:rPr>
              <w:t>Qu8</w:t>
            </w:r>
            <w:r w:rsidR="00B85D62" w:rsidRPr="00B85D62">
              <w:rPr>
                <w:rFonts w:cs="Arial"/>
                <w:b/>
                <w:bCs/>
                <w:sz w:val="18"/>
                <w:szCs w:val="18"/>
                <w:lang w:eastAsia="en-GB"/>
              </w:rPr>
              <w:t xml:space="preserve"> </w:t>
            </w:r>
          </w:p>
        </w:tc>
        <w:tc>
          <w:tcPr>
            <w:tcW w:w="0" w:type="auto"/>
            <w:shd w:val="clear" w:color="auto" w:fill="D9D9D9" w:themeFill="background1" w:themeFillShade="D9"/>
            <w:hideMark/>
          </w:tcPr>
          <w:p w14:paraId="081D6A54" w14:textId="03E1BE86" w:rsidR="00902D4F" w:rsidRPr="00B85D62" w:rsidRDefault="00902D4F" w:rsidP="00902D4F">
            <w:pPr>
              <w:jc w:val="center"/>
              <w:textAlignment w:val="baseline"/>
              <w:rPr>
                <w:rFonts w:cs="Arial"/>
                <w:b/>
                <w:bCs/>
                <w:sz w:val="18"/>
                <w:szCs w:val="18"/>
                <w:lang w:eastAsia="en-GB"/>
              </w:rPr>
            </w:pPr>
            <w:r w:rsidRPr="00B85D62">
              <w:rPr>
                <w:rFonts w:cs="Arial"/>
                <w:b/>
                <w:bCs/>
                <w:sz w:val="18"/>
                <w:szCs w:val="18"/>
                <w:lang w:eastAsia="en-GB"/>
              </w:rPr>
              <w:t>Qu9</w:t>
            </w:r>
            <w:r w:rsidR="00B85D62" w:rsidRPr="00B85D62">
              <w:rPr>
                <w:rFonts w:cs="Arial"/>
                <w:b/>
                <w:bCs/>
                <w:sz w:val="18"/>
                <w:szCs w:val="18"/>
                <w:lang w:eastAsia="en-GB"/>
              </w:rPr>
              <w:t xml:space="preserve"> </w:t>
            </w:r>
          </w:p>
        </w:tc>
        <w:tc>
          <w:tcPr>
            <w:tcW w:w="0" w:type="auto"/>
            <w:shd w:val="clear" w:color="auto" w:fill="D9D9D9" w:themeFill="background1" w:themeFillShade="D9"/>
            <w:hideMark/>
          </w:tcPr>
          <w:p w14:paraId="6B84BA75" w14:textId="4B9441AD" w:rsidR="00902D4F" w:rsidRPr="00B85D62" w:rsidRDefault="00902D4F" w:rsidP="00902D4F">
            <w:pPr>
              <w:jc w:val="center"/>
              <w:textAlignment w:val="baseline"/>
              <w:rPr>
                <w:rFonts w:cs="Arial"/>
                <w:b/>
                <w:bCs/>
                <w:sz w:val="18"/>
                <w:szCs w:val="18"/>
                <w:lang w:eastAsia="en-GB"/>
              </w:rPr>
            </w:pPr>
            <w:r w:rsidRPr="00B85D62">
              <w:rPr>
                <w:rFonts w:cs="Arial"/>
                <w:b/>
                <w:bCs/>
                <w:sz w:val="18"/>
                <w:szCs w:val="18"/>
                <w:lang w:eastAsia="en-GB"/>
              </w:rPr>
              <w:t>Qu10</w:t>
            </w:r>
            <w:r w:rsidR="00B85D62" w:rsidRPr="00B85D62">
              <w:rPr>
                <w:rFonts w:cs="Arial"/>
                <w:b/>
                <w:bCs/>
                <w:sz w:val="18"/>
                <w:szCs w:val="18"/>
                <w:lang w:eastAsia="en-GB"/>
              </w:rPr>
              <w:t xml:space="preserve"> </w:t>
            </w:r>
          </w:p>
        </w:tc>
      </w:tr>
      <w:tr w:rsidR="00902D4F" w:rsidRPr="00B85D62" w14:paraId="4F24ED38" w14:textId="77777777" w:rsidTr="00B85D62">
        <w:trPr>
          <w:cantSplit/>
        </w:trPr>
        <w:tc>
          <w:tcPr>
            <w:tcW w:w="0" w:type="auto"/>
            <w:shd w:val="clear" w:color="auto" w:fill="D9D9D9" w:themeFill="background1" w:themeFillShade="D9"/>
            <w:hideMark/>
          </w:tcPr>
          <w:p w14:paraId="27D872E4" w14:textId="4FFB0D45" w:rsidR="00902D4F" w:rsidRPr="00B85D62" w:rsidRDefault="00902D4F" w:rsidP="00EF36E4">
            <w:pPr>
              <w:textAlignment w:val="baseline"/>
              <w:rPr>
                <w:rFonts w:cs="Arial"/>
                <w:sz w:val="18"/>
                <w:szCs w:val="18"/>
                <w:lang w:eastAsia="en-GB"/>
              </w:rPr>
            </w:pPr>
            <w:r w:rsidRPr="00B85D62">
              <w:rPr>
                <w:rFonts w:cs="Arial"/>
                <w:sz w:val="18"/>
                <w:szCs w:val="18"/>
                <w:lang w:eastAsia="en-GB"/>
              </w:rPr>
              <w:t>Alver, 2019</w:t>
            </w:r>
            <w:r w:rsidR="00EF36E4" w:rsidRPr="00B85D62">
              <w:rPr>
                <w:rFonts w:cs="Arial"/>
                <w:noProof/>
                <w:sz w:val="18"/>
                <w:szCs w:val="18"/>
                <w:vertAlign w:val="superscript"/>
                <w:lang w:eastAsia="en-GB"/>
              </w:rPr>
              <w:t>33</w:t>
            </w:r>
            <w:r w:rsidR="006A155D" w:rsidRPr="00B85D62">
              <w:rPr>
                <w:rFonts w:cs="Arial"/>
                <w:sz w:val="18"/>
                <w:szCs w:val="18"/>
                <w:lang w:eastAsia="en-GB"/>
              </w:rPr>
              <w:t xml:space="preserve"> </w:t>
            </w:r>
          </w:p>
        </w:tc>
        <w:tc>
          <w:tcPr>
            <w:tcW w:w="0" w:type="auto"/>
            <w:shd w:val="clear" w:color="auto" w:fill="auto"/>
            <w:hideMark/>
          </w:tcPr>
          <w:p w14:paraId="35BC581D" w14:textId="0555797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58D2EB9" w14:textId="284955C3"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4462F0B" w14:textId="67D212F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387AFE8" w14:textId="19ADB2D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37743B3D" w14:textId="688C00B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011152A1" w14:textId="06D9A41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09B9833" w14:textId="1B5BFDB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C2A885D" w14:textId="3376363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6BE20BA" w14:textId="065C1F9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6FA65ED" w14:textId="6731562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78DF2B12" w14:textId="77777777" w:rsidTr="00B85D62">
        <w:trPr>
          <w:cantSplit/>
        </w:trPr>
        <w:tc>
          <w:tcPr>
            <w:tcW w:w="0" w:type="auto"/>
            <w:shd w:val="clear" w:color="auto" w:fill="D9D9D9" w:themeFill="background1" w:themeFillShade="D9"/>
            <w:hideMark/>
          </w:tcPr>
          <w:p w14:paraId="56AD590E" w14:textId="75F4217F" w:rsidR="00902D4F" w:rsidRPr="00B85D62" w:rsidRDefault="00902D4F" w:rsidP="00EF36E4">
            <w:pPr>
              <w:textAlignment w:val="baseline"/>
              <w:rPr>
                <w:rFonts w:cs="Arial"/>
                <w:sz w:val="18"/>
                <w:szCs w:val="18"/>
                <w:lang w:eastAsia="en-GB"/>
              </w:rPr>
            </w:pPr>
            <w:r w:rsidRPr="00B85D62">
              <w:rPr>
                <w:rFonts w:cs="Arial"/>
                <w:sz w:val="18"/>
                <w:szCs w:val="18"/>
                <w:lang w:eastAsia="en-GB"/>
              </w:rPr>
              <w:t>Andersen, 1997</w:t>
            </w:r>
            <w:r w:rsidR="00EF36E4" w:rsidRPr="00B85D62">
              <w:rPr>
                <w:rFonts w:cs="Arial"/>
                <w:noProof/>
                <w:sz w:val="18"/>
                <w:szCs w:val="18"/>
                <w:vertAlign w:val="superscript"/>
                <w:lang w:eastAsia="en-GB"/>
              </w:rPr>
              <w:t>34</w:t>
            </w:r>
            <w:r w:rsidR="00B85D62" w:rsidRPr="00B85D62">
              <w:rPr>
                <w:rFonts w:cs="Arial"/>
                <w:sz w:val="18"/>
                <w:szCs w:val="18"/>
                <w:lang w:eastAsia="en-GB"/>
              </w:rPr>
              <w:t xml:space="preserve"> </w:t>
            </w:r>
          </w:p>
        </w:tc>
        <w:tc>
          <w:tcPr>
            <w:tcW w:w="0" w:type="auto"/>
            <w:shd w:val="clear" w:color="auto" w:fill="auto"/>
            <w:hideMark/>
          </w:tcPr>
          <w:p w14:paraId="533E5483" w14:textId="2B00FA1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93D0B0C" w14:textId="4DEE8A8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5DD7C96" w14:textId="7F2C374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D016D4C" w14:textId="2990852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2ACAB82E" w14:textId="3D5943B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3E087FB3" w14:textId="7F7A9DA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717B856" w14:textId="7F3046C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1407B1EE" w14:textId="3CD4AF18"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641C684" w14:textId="3A7D0D8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4695B45" w14:textId="420F944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3307B4FE" w14:textId="77777777" w:rsidTr="00B85D62">
        <w:trPr>
          <w:cantSplit/>
        </w:trPr>
        <w:tc>
          <w:tcPr>
            <w:tcW w:w="0" w:type="auto"/>
            <w:shd w:val="clear" w:color="auto" w:fill="D9D9D9" w:themeFill="background1" w:themeFillShade="D9"/>
            <w:hideMark/>
          </w:tcPr>
          <w:p w14:paraId="24845CE8" w14:textId="1F746426" w:rsidR="00902D4F" w:rsidRPr="00B85D62" w:rsidRDefault="00902D4F" w:rsidP="00EF36E4">
            <w:pPr>
              <w:textAlignment w:val="baseline"/>
              <w:rPr>
                <w:rFonts w:cs="Arial"/>
                <w:sz w:val="18"/>
                <w:szCs w:val="18"/>
                <w:lang w:eastAsia="en-GB"/>
              </w:rPr>
            </w:pPr>
            <w:r w:rsidRPr="00B85D62">
              <w:rPr>
                <w:rFonts w:cs="Arial"/>
                <w:sz w:val="18"/>
                <w:szCs w:val="18"/>
                <w:lang w:eastAsia="en-GB"/>
              </w:rPr>
              <w:t>Bell, 2015</w:t>
            </w:r>
            <w:r w:rsidR="00EF36E4" w:rsidRPr="00B85D62">
              <w:rPr>
                <w:rFonts w:cs="Arial"/>
                <w:noProof/>
                <w:sz w:val="18"/>
                <w:szCs w:val="18"/>
                <w:vertAlign w:val="superscript"/>
                <w:lang w:eastAsia="en-GB"/>
              </w:rPr>
              <w:t>35</w:t>
            </w:r>
            <w:r w:rsidR="00B85D62" w:rsidRPr="00B85D62">
              <w:rPr>
                <w:rFonts w:cs="Arial"/>
                <w:sz w:val="18"/>
                <w:szCs w:val="18"/>
                <w:lang w:eastAsia="en-GB"/>
              </w:rPr>
              <w:t xml:space="preserve"> </w:t>
            </w:r>
          </w:p>
        </w:tc>
        <w:tc>
          <w:tcPr>
            <w:tcW w:w="0" w:type="auto"/>
            <w:shd w:val="clear" w:color="auto" w:fill="auto"/>
            <w:hideMark/>
          </w:tcPr>
          <w:p w14:paraId="04ED046E" w14:textId="6A05F94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3CFA2C4" w14:textId="71841EE8"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FA3F287" w14:textId="1F0604A3"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F9BD6CB" w14:textId="47DF649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88C1AF6" w14:textId="606F81D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1F33AE4" w14:textId="75D974D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B270968" w14:textId="32F01A1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3A0A6B0" w14:textId="01074C7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527617E" w14:textId="6D8C2F1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2D3D10D" w14:textId="73C740D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413A4EF4" w14:textId="77777777" w:rsidTr="00B85D62">
        <w:trPr>
          <w:cantSplit/>
        </w:trPr>
        <w:tc>
          <w:tcPr>
            <w:tcW w:w="0" w:type="auto"/>
            <w:shd w:val="clear" w:color="auto" w:fill="D9D9D9" w:themeFill="background1" w:themeFillShade="D9"/>
            <w:hideMark/>
          </w:tcPr>
          <w:p w14:paraId="49B742DF" w14:textId="7F684C2E" w:rsidR="00902D4F" w:rsidRPr="00B85D62" w:rsidRDefault="00902D4F" w:rsidP="00EF36E4">
            <w:pPr>
              <w:textAlignment w:val="baseline"/>
              <w:rPr>
                <w:rFonts w:cs="Arial"/>
                <w:sz w:val="18"/>
                <w:szCs w:val="18"/>
                <w:lang w:eastAsia="en-GB"/>
              </w:rPr>
            </w:pPr>
            <w:r w:rsidRPr="00B85D62">
              <w:rPr>
                <w:rFonts w:cs="Arial"/>
                <w:sz w:val="18"/>
                <w:szCs w:val="18"/>
                <w:lang w:eastAsia="en-GB"/>
              </w:rPr>
              <w:t>Bhatnagar, 2000</w:t>
            </w:r>
            <w:r w:rsidR="00EF36E4" w:rsidRPr="00B85D62">
              <w:rPr>
                <w:rFonts w:cs="Arial"/>
                <w:noProof/>
                <w:sz w:val="18"/>
                <w:szCs w:val="18"/>
                <w:vertAlign w:val="superscript"/>
                <w:lang w:eastAsia="en-GB"/>
              </w:rPr>
              <w:t>36</w:t>
            </w:r>
            <w:r w:rsidR="00B85D62" w:rsidRPr="00B85D62">
              <w:rPr>
                <w:rFonts w:cs="Arial"/>
                <w:sz w:val="18"/>
                <w:szCs w:val="18"/>
                <w:lang w:eastAsia="en-GB"/>
              </w:rPr>
              <w:t xml:space="preserve"> </w:t>
            </w:r>
          </w:p>
        </w:tc>
        <w:tc>
          <w:tcPr>
            <w:tcW w:w="0" w:type="auto"/>
            <w:shd w:val="clear" w:color="auto" w:fill="auto"/>
            <w:hideMark/>
          </w:tcPr>
          <w:p w14:paraId="168D539C" w14:textId="230D79A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6CD3F0B" w14:textId="4EB6A25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AF86BC0" w14:textId="587C62B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74A8E06" w14:textId="79706C7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2375DE3" w14:textId="5AE8B848"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6119A1E8" w14:textId="70B932B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F653652" w14:textId="745288F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8E1B6FD" w14:textId="1C45FAC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635E186" w14:textId="0B79075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C19B4CF" w14:textId="6596017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74F33698" w14:textId="77777777" w:rsidTr="00B85D62">
        <w:trPr>
          <w:cantSplit/>
        </w:trPr>
        <w:tc>
          <w:tcPr>
            <w:tcW w:w="0" w:type="auto"/>
            <w:shd w:val="clear" w:color="auto" w:fill="D9D9D9" w:themeFill="background1" w:themeFillShade="D9"/>
            <w:hideMark/>
          </w:tcPr>
          <w:p w14:paraId="74F3B3BD" w14:textId="4851955F" w:rsidR="00902D4F" w:rsidRPr="00B85D62" w:rsidRDefault="00902D4F" w:rsidP="00EF36E4">
            <w:pPr>
              <w:textAlignment w:val="baseline"/>
              <w:rPr>
                <w:rFonts w:cs="Arial"/>
                <w:sz w:val="18"/>
                <w:szCs w:val="18"/>
                <w:lang w:eastAsia="en-GB"/>
              </w:rPr>
            </w:pPr>
            <w:r w:rsidRPr="00B85D62">
              <w:rPr>
                <w:rFonts w:cs="Arial"/>
                <w:sz w:val="18"/>
                <w:szCs w:val="18"/>
                <w:lang w:eastAsia="en-GB"/>
              </w:rPr>
              <w:t>Breen, 2011</w:t>
            </w:r>
            <w:r w:rsidR="00EF36E4" w:rsidRPr="00B85D62">
              <w:rPr>
                <w:rFonts w:cs="Arial"/>
                <w:noProof/>
                <w:sz w:val="18"/>
                <w:szCs w:val="18"/>
                <w:vertAlign w:val="superscript"/>
                <w:lang w:eastAsia="en-GB"/>
              </w:rPr>
              <w:t>37</w:t>
            </w:r>
          </w:p>
        </w:tc>
        <w:tc>
          <w:tcPr>
            <w:tcW w:w="0" w:type="auto"/>
            <w:shd w:val="clear" w:color="auto" w:fill="auto"/>
            <w:hideMark/>
          </w:tcPr>
          <w:p w14:paraId="44435657" w14:textId="4661E14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6542B09" w14:textId="787F686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603D388" w14:textId="7A7FD07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BD6EB64" w14:textId="33D8FD7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1F110CC8" w14:textId="02CE519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6C2429FF" w14:textId="4999A1D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426C1791" w14:textId="6F1129B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47D1004C" w14:textId="4C888C5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8054FA8" w14:textId="1EA247E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ECDB706" w14:textId="0555C0F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r>
      <w:tr w:rsidR="00902D4F" w:rsidRPr="00B85D62" w14:paraId="6B1796E3" w14:textId="77777777" w:rsidTr="00B85D62">
        <w:trPr>
          <w:cantSplit/>
        </w:trPr>
        <w:tc>
          <w:tcPr>
            <w:tcW w:w="0" w:type="auto"/>
            <w:shd w:val="clear" w:color="auto" w:fill="D9D9D9" w:themeFill="background1" w:themeFillShade="D9"/>
            <w:hideMark/>
          </w:tcPr>
          <w:p w14:paraId="3182681F" w14:textId="77992598" w:rsidR="00902D4F" w:rsidRPr="00B85D62" w:rsidRDefault="00902D4F" w:rsidP="00EF36E4">
            <w:pPr>
              <w:textAlignment w:val="baseline"/>
              <w:rPr>
                <w:rFonts w:cs="Arial"/>
                <w:sz w:val="18"/>
                <w:szCs w:val="18"/>
                <w:lang w:eastAsia="en-GB"/>
              </w:rPr>
            </w:pPr>
            <w:r w:rsidRPr="00B85D62">
              <w:rPr>
                <w:rFonts w:cs="Arial"/>
                <w:sz w:val="18"/>
                <w:szCs w:val="18"/>
                <w:lang w:eastAsia="en-GB"/>
              </w:rPr>
              <w:t>Chan, 2018</w:t>
            </w:r>
            <w:r w:rsidR="00EF36E4" w:rsidRPr="00B85D62">
              <w:rPr>
                <w:rFonts w:cs="Arial"/>
                <w:noProof/>
                <w:sz w:val="18"/>
                <w:szCs w:val="18"/>
                <w:vertAlign w:val="superscript"/>
                <w:lang w:eastAsia="en-GB"/>
              </w:rPr>
              <w:t>38</w:t>
            </w:r>
            <w:r w:rsidR="00B85D62" w:rsidRPr="00B85D62">
              <w:rPr>
                <w:rFonts w:cs="Arial"/>
                <w:sz w:val="18"/>
                <w:szCs w:val="18"/>
                <w:lang w:eastAsia="en-GB"/>
              </w:rPr>
              <w:t xml:space="preserve"> </w:t>
            </w:r>
          </w:p>
        </w:tc>
        <w:tc>
          <w:tcPr>
            <w:tcW w:w="0" w:type="auto"/>
            <w:shd w:val="clear" w:color="auto" w:fill="auto"/>
            <w:hideMark/>
          </w:tcPr>
          <w:p w14:paraId="72E12D53" w14:textId="58A59F7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394AE9B" w14:textId="6AF9757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9FB480D" w14:textId="7303472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807E918" w14:textId="1A86CFF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62863DC5" w14:textId="55D5604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52FC98BD" w14:textId="6F35D0A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F7C7343" w14:textId="0626AF4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45E9AB2" w14:textId="37B2E48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C6171D5" w14:textId="375E824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2158EA0C" w14:textId="4A5EBA7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r>
      <w:tr w:rsidR="00902D4F" w:rsidRPr="00B85D62" w14:paraId="67157063" w14:textId="77777777" w:rsidTr="00B85D62">
        <w:trPr>
          <w:cantSplit/>
        </w:trPr>
        <w:tc>
          <w:tcPr>
            <w:tcW w:w="0" w:type="auto"/>
            <w:shd w:val="clear" w:color="auto" w:fill="D9D9D9" w:themeFill="background1" w:themeFillShade="D9"/>
            <w:hideMark/>
          </w:tcPr>
          <w:p w14:paraId="03047C14" w14:textId="36193EBF" w:rsidR="00902D4F" w:rsidRPr="00B85D62" w:rsidRDefault="00902D4F" w:rsidP="00EF36E4">
            <w:pPr>
              <w:textAlignment w:val="baseline"/>
              <w:rPr>
                <w:rFonts w:cs="Arial"/>
                <w:sz w:val="18"/>
                <w:szCs w:val="18"/>
                <w:lang w:eastAsia="en-GB"/>
              </w:rPr>
            </w:pPr>
            <w:r w:rsidRPr="00B85D62">
              <w:rPr>
                <w:rFonts w:cs="Arial"/>
                <w:sz w:val="18"/>
                <w:szCs w:val="18"/>
                <w:lang w:eastAsia="en-GB"/>
              </w:rPr>
              <w:t>Davis, 2016</w:t>
            </w:r>
            <w:r w:rsidR="00EF36E4" w:rsidRPr="00B85D62">
              <w:rPr>
                <w:rFonts w:cs="Arial"/>
                <w:noProof/>
                <w:sz w:val="18"/>
                <w:szCs w:val="18"/>
                <w:vertAlign w:val="superscript"/>
                <w:lang w:eastAsia="en-GB"/>
              </w:rPr>
              <w:t>59</w:t>
            </w:r>
            <w:r w:rsidR="00B85D62" w:rsidRPr="00B85D62">
              <w:rPr>
                <w:rFonts w:cs="Arial"/>
                <w:sz w:val="18"/>
                <w:szCs w:val="18"/>
                <w:lang w:eastAsia="en-GB"/>
              </w:rPr>
              <w:t xml:space="preserve"> </w:t>
            </w:r>
          </w:p>
        </w:tc>
        <w:tc>
          <w:tcPr>
            <w:tcW w:w="0" w:type="auto"/>
            <w:shd w:val="clear" w:color="auto" w:fill="auto"/>
            <w:hideMark/>
          </w:tcPr>
          <w:p w14:paraId="5E18B73F" w14:textId="7E16385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53ADDA1" w14:textId="1F20762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E554FFD" w14:textId="2327503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9EA8955" w14:textId="7281246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15A3556D" w14:textId="6C78B7A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3610FE61" w14:textId="45C39DA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44FBA987" w14:textId="5BA4AA0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05A3752A" w14:textId="08DBFA2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AD28CEB" w14:textId="09170FF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A750A36" w14:textId="626C166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r>
      <w:tr w:rsidR="00902D4F" w:rsidRPr="00B85D62" w14:paraId="339C1406" w14:textId="77777777" w:rsidTr="00B85D62">
        <w:trPr>
          <w:cantSplit/>
        </w:trPr>
        <w:tc>
          <w:tcPr>
            <w:tcW w:w="0" w:type="auto"/>
            <w:shd w:val="clear" w:color="auto" w:fill="D9D9D9" w:themeFill="background1" w:themeFillShade="D9"/>
            <w:hideMark/>
          </w:tcPr>
          <w:p w14:paraId="3C857DB3" w14:textId="08C07E05" w:rsidR="00902D4F" w:rsidRPr="00B85D62" w:rsidRDefault="00902D4F" w:rsidP="00EF36E4">
            <w:pPr>
              <w:textAlignment w:val="baseline"/>
              <w:rPr>
                <w:rFonts w:cs="Arial"/>
                <w:sz w:val="18"/>
                <w:szCs w:val="18"/>
                <w:lang w:eastAsia="en-GB"/>
              </w:rPr>
            </w:pPr>
            <w:r w:rsidRPr="00B85D62">
              <w:rPr>
                <w:rFonts w:cs="Arial"/>
                <w:sz w:val="18"/>
                <w:szCs w:val="18"/>
                <w:lang w:eastAsia="en-GB"/>
              </w:rPr>
              <w:t>Descamps 2020</w:t>
            </w:r>
            <w:r w:rsidR="00EF36E4" w:rsidRPr="00B85D62">
              <w:rPr>
                <w:rFonts w:cs="Arial"/>
                <w:noProof/>
                <w:sz w:val="18"/>
                <w:szCs w:val="18"/>
                <w:vertAlign w:val="superscript"/>
                <w:lang w:eastAsia="en-GB"/>
              </w:rPr>
              <w:t>60</w:t>
            </w:r>
            <w:r w:rsidR="00B85D62" w:rsidRPr="00B85D62">
              <w:rPr>
                <w:rFonts w:cs="Arial"/>
                <w:sz w:val="18"/>
                <w:szCs w:val="18"/>
                <w:lang w:eastAsia="en-GB"/>
              </w:rPr>
              <w:t xml:space="preserve"> </w:t>
            </w:r>
          </w:p>
        </w:tc>
        <w:tc>
          <w:tcPr>
            <w:tcW w:w="0" w:type="auto"/>
            <w:shd w:val="clear" w:color="auto" w:fill="auto"/>
            <w:hideMark/>
          </w:tcPr>
          <w:p w14:paraId="68341FE8" w14:textId="69EB5E4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2B8E5FE" w14:textId="215D08B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A5C0B86" w14:textId="3723C28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833141C" w14:textId="4A00393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A97368A" w14:textId="0B03E55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61400BC" w14:textId="05102F7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86CF368" w14:textId="04E6CC8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6C29EB8" w14:textId="71FA63D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34FCCB1" w14:textId="3ABA33D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76C5F98" w14:textId="2A1A733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74AB7B81" w14:textId="77777777" w:rsidTr="00B85D62">
        <w:trPr>
          <w:cantSplit/>
        </w:trPr>
        <w:tc>
          <w:tcPr>
            <w:tcW w:w="0" w:type="auto"/>
            <w:shd w:val="clear" w:color="auto" w:fill="D9D9D9" w:themeFill="background1" w:themeFillShade="D9"/>
            <w:hideMark/>
          </w:tcPr>
          <w:p w14:paraId="05B900CD" w14:textId="21E65565" w:rsidR="00902D4F" w:rsidRPr="00B85D62" w:rsidRDefault="00902D4F" w:rsidP="00EF36E4">
            <w:pPr>
              <w:textAlignment w:val="baseline"/>
              <w:rPr>
                <w:rFonts w:cs="Arial"/>
                <w:sz w:val="18"/>
                <w:szCs w:val="18"/>
                <w:lang w:eastAsia="en-GB"/>
              </w:rPr>
            </w:pPr>
            <w:r w:rsidRPr="00B85D62">
              <w:rPr>
                <w:rFonts w:cs="Arial"/>
                <w:sz w:val="18"/>
                <w:szCs w:val="18"/>
                <w:lang w:eastAsia="en-GB"/>
              </w:rPr>
              <w:t>Edwards, 2013</w:t>
            </w:r>
            <w:r w:rsidR="00EF36E4" w:rsidRPr="00B85D62">
              <w:rPr>
                <w:rFonts w:cs="Arial"/>
                <w:noProof/>
                <w:sz w:val="18"/>
                <w:szCs w:val="18"/>
                <w:vertAlign w:val="superscript"/>
                <w:lang w:eastAsia="en-GB"/>
              </w:rPr>
              <w:t>40</w:t>
            </w:r>
            <w:r w:rsidR="00B85D62" w:rsidRPr="00B85D62">
              <w:rPr>
                <w:rFonts w:cs="Arial"/>
                <w:sz w:val="18"/>
                <w:szCs w:val="18"/>
                <w:lang w:eastAsia="en-GB"/>
              </w:rPr>
              <w:t xml:space="preserve"> </w:t>
            </w:r>
          </w:p>
        </w:tc>
        <w:tc>
          <w:tcPr>
            <w:tcW w:w="0" w:type="auto"/>
            <w:shd w:val="clear" w:color="auto" w:fill="auto"/>
            <w:hideMark/>
          </w:tcPr>
          <w:p w14:paraId="25606B0D" w14:textId="2CCCCFF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EF79C7F" w14:textId="0DD02DF3"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C3BBEFA" w14:textId="65881E6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B1A6CFE" w14:textId="652F736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5FD3FC9A" w14:textId="676DF57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628E7FDA" w14:textId="1070CFC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0FCBBB38" w14:textId="78CF445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15DA11D6" w14:textId="5E2F096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9EB04F3" w14:textId="20B9EED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7829BFAE" w14:textId="112A0F4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r>
      <w:tr w:rsidR="00902D4F" w:rsidRPr="00B85D62" w14:paraId="10FEFAFB" w14:textId="77777777" w:rsidTr="00B85D62">
        <w:trPr>
          <w:cantSplit/>
        </w:trPr>
        <w:tc>
          <w:tcPr>
            <w:tcW w:w="0" w:type="auto"/>
            <w:shd w:val="clear" w:color="auto" w:fill="D9D9D9" w:themeFill="background1" w:themeFillShade="D9"/>
            <w:hideMark/>
          </w:tcPr>
          <w:p w14:paraId="71AE0975" w14:textId="450D1233" w:rsidR="00902D4F" w:rsidRPr="00B85D62" w:rsidRDefault="00902D4F" w:rsidP="00EF36E4">
            <w:pPr>
              <w:textAlignment w:val="baseline"/>
              <w:rPr>
                <w:rFonts w:cs="Arial"/>
                <w:sz w:val="18"/>
                <w:szCs w:val="18"/>
                <w:lang w:eastAsia="en-GB"/>
              </w:rPr>
            </w:pPr>
            <w:r w:rsidRPr="00B85D62">
              <w:rPr>
                <w:rFonts w:cs="Arial"/>
                <w:sz w:val="18"/>
                <w:szCs w:val="18"/>
                <w:lang w:eastAsia="en-GB"/>
              </w:rPr>
              <w:t>Ellis, 2019</w:t>
            </w:r>
            <w:r w:rsidR="00EF36E4" w:rsidRPr="00B85D62">
              <w:rPr>
                <w:rFonts w:cs="Arial"/>
                <w:noProof/>
                <w:sz w:val="18"/>
                <w:szCs w:val="18"/>
                <w:vertAlign w:val="superscript"/>
                <w:lang w:eastAsia="en-GB"/>
              </w:rPr>
              <w:t>41</w:t>
            </w:r>
            <w:r w:rsidR="00B85D62" w:rsidRPr="00B85D62">
              <w:rPr>
                <w:rFonts w:cs="Arial"/>
                <w:sz w:val="18"/>
                <w:szCs w:val="18"/>
                <w:lang w:eastAsia="en-GB"/>
              </w:rPr>
              <w:t xml:space="preserve"> </w:t>
            </w:r>
          </w:p>
        </w:tc>
        <w:tc>
          <w:tcPr>
            <w:tcW w:w="0" w:type="auto"/>
            <w:shd w:val="clear" w:color="auto" w:fill="auto"/>
            <w:hideMark/>
          </w:tcPr>
          <w:p w14:paraId="3CADC89D" w14:textId="45BFC77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1F5F34B" w14:textId="7623805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383704C" w14:textId="33D2E82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477C463" w14:textId="30D1423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61B5ED51" w14:textId="7D050F9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1B5E3716" w14:textId="3A0E420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87407BC" w14:textId="57C511F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659685F" w14:textId="6CF2C35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F0603BE" w14:textId="2682F0F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74CA53D5" w14:textId="457A842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6BAE916B" w14:textId="77777777" w:rsidTr="00B85D62">
        <w:trPr>
          <w:cantSplit/>
        </w:trPr>
        <w:tc>
          <w:tcPr>
            <w:tcW w:w="0" w:type="auto"/>
            <w:shd w:val="clear" w:color="auto" w:fill="D9D9D9" w:themeFill="background1" w:themeFillShade="D9"/>
            <w:hideMark/>
          </w:tcPr>
          <w:p w14:paraId="20EF388A" w14:textId="2A66B9F0" w:rsidR="00902D4F" w:rsidRPr="00B85D62" w:rsidRDefault="00902D4F" w:rsidP="00EF36E4">
            <w:pPr>
              <w:textAlignment w:val="baseline"/>
              <w:rPr>
                <w:rFonts w:cs="Arial"/>
                <w:sz w:val="18"/>
                <w:szCs w:val="18"/>
                <w:lang w:eastAsia="en-GB"/>
              </w:rPr>
            </w:pPr>
            <w:r w:rsidRPr="00B85D62">
              <w:rPr>
                <w:rFonts w:cs="Arial"/>
                <w:sz w:val="18"/>
                <w:szCs w:val="18"/>
                <w:lang w:eastAsia="en-GB"/>
              </w:rPr>
              <w:t>Hadfield, 2009</w:t>
            </w:r>
            <w:r w:rsidR="00EF36E4" w:rsidRPr="00B85D62">
              <w:rPr>
                <w:rFonts w:cs="Arial"/>
                <w:noProof/>
                <w:sz w:val="18"/>
                <w:szCs w:val="18"/>
                <w:vertAlign w:val="superscript"/>
                <w:lang w:eastAsia="en-GB"/>
              </w:rPr>
              <w:t>42</w:t>
            </w:r>
            <w:r w:rsidR="00B85D62" w:rsidRPr="00B85D62">
              <w:rPr>
                <w:rFonts w:cs="Arial"/>
                <w:sz w:val="18"/>
                <w:szCs w:val="18"/>
                <w:lang w:eastAsia="en-GB"/>
              </w:rPr>
              <w:t xml:space="preserve"> </w:t>
            </w:r>
          </w:p>
        </w:tc>
        <w:tc>
          <w:tcPr>
            <w:tcW w:w="0" w:type="auto"/>
            <w:shd w:val="clear" w:color="auto" w:fill="auto"/>
            <w:hideMark/>
          </w:tcPr>
          <w:p w14:paraId="1458D94E" w14:textId="62E6ADE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F9550A4" w14:textId="059FBF1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E436C1D" w14:textId="46F747B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B97416B" w14:textId="1FD90CF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4B57825" w14:textId="2C310BE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40CEE7DA" w14:textId="3403663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CA169D0" w14:textId="282D33E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76545AD" w14:textId="5C8C795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32ED404" w14:textId="1C7F93C8"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68872F1" w14:textId="0B2DB82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r>
      <w:tr w:rsidR="00902D4F" w:rsidRPr="00B85D62" w14:paraId="40CD8A82" w14:textId="77777777" w:rsidTr="00B85D62">
        <w:trPr>
          <w:cantSplit/>
        </w:trPr>
        <w:tc>
          <w:tcPr>
            <w:tcW w:w="0" w:type="auto"/>
            <w:shd w:val="clear" w:color="auto" w:fill="D9D9D9" w:themeFill="background1" w:themeFillShade="D9"/>
            <w:hideMark/>
          </w:tcPr>
          <w:p w14:paraId="230D981B" w14:textId="6F69F01C" w:rsidR="00902D4F" w:rsidRPr="00B85D62" w:rsidRDefault="00902D4F" w:rsidP="00EF36E4">
            <w:pPr>
              <w:textAlignment w:val="baseline"/>
              <w:rPr>
                <w:rFonts w:cs="Arial"/>
                <w:sz w:val="18"/>
                <w:szCs w:val="18"/>
                <w:lang w:eastAsia="en-GB"/>
              </w:rPr>
            </w:pPr>
            <w:r w:rsidRPr="00B85D62">
              <w:rPr>
                <w:rFonts w:cs="Arial"/>
                <w:sz w:val="18"/>
                <w:szCs w:val="18"/>
                <w:lang w:eastAsia="en-GB"/>
              </w:rPr>
              <w:t>Jannes, 2015</w:t>
            </w:r>
            <w:r w:rsidR="00EF36E4" w:rsidRPr="00B85D62">
              <w:rPr>
                <w:rFonts w:cs="Arial"/>
                <w:noProof/>
                <w:sz w:val="18"/>
                <w:szCs w:val="18"/>
                <w:vertAlign w:val="superscript"/>
                <w:lang w:eastAsia="en-GB"/>
              </w:rPr>
              <w:t>43</w:t>
            </w:r>
            <w:r w:rsidR="00B85D62" w:rsidRPr="00B85D62">
              <w:rPr>
                <w:rFonts w:cs="Arial"/>
                <w:sz w:val="18"/>
                <w:szCs w:val="18"/>
                <w:lang w:eastAsia="en-GB"/>
              </w:rPr>
              <w:t xml:space="preserve"> </w:t>
            </w:r>
          </w:p>
        </w:tc>
        <w:tc>
          <w:tcPr>
            <w:tcW w:w="0" w:type="auto"/>
            <w:shd w:val="clear" w:color="auto" w:fill="auto"/>
            <w:hideMark/>
          </w:tcPr>
          <w:p w14:paraId="5B90FC61" w14:textId="3C522393"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42EF465" w14:textId="3F06D08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862BAC1" w14:textId="04C9086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EA365CF" w14:textId="502E31E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5D85C563" w14:textId="1615DE5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6FF2454C" w14:textId="5DEE8ED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C5968C0" w14:textId="74213DD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D145635" w14:textId="577FB12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03BFB88" w14:textId="2168B88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82D66CD" w14:textId="09DD9CB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23F28CB1" w14:textId="77777777" w:rsidTr="00B85D62">
        <w:trPr>
          <w:cantSplit/>
        </w:trPr>
        <w:tc>
          <w:tcPr>
            <w:tcW w:w="0" w:type="auto"/>
            <w:shd w:val="clear" w:color="auto" w:fill="D9D9D9" w:themeFill="background1" w:themeFillShade="D9"/>
            <w:hideMark/>
          </w:tcPr>
          <w:p w14:paraId="2847745F" w14:textId="1C452312" w:rsidR="00902D4F" w:rsidRPr="00B85D62" w:rsidRDefault="00902D4F" w:rsidP="00EF36E4">
            <w:pPr>
              <w:textAlignment w:val="baseline"/>
              <w:rPr>
                <w:rFonts w:cs="Arial"/>
                <w:sz w:val="18"/>
                <w:szCs w:val="18"/>
                <w:lang w:eastAsia="en-GB"/>
              </w:rPr>
            </w:pPr>
            <w:r w:rsidRPr="00B85D62">
              <w:rPr>
                <w:rFonts w:cs="Arial"/>
                <w:sz w:val="18"/>
                <w:szCs w:val="18"/>
                <w:lang w:eastAsia="en-GB"/>
              </w:rPr>
              <w:t>Latkovskis, 2018</w:t>
            </w:r>
            <w:r w:rsidR="00EF36E4" w:rsidRPr="00B85D62">
              <w:rPr>
                <w:rFonts w:cs="Arial"/>
                <w:noProof/>
                <w:sz w:val="18"/>
                <w:szCs w:val="18"/>
                <w:vertAlign w:val="superscript"/>
                <w:lang w:eastAsia="en-GB"/>
              </w:rPr>
              <w:t>44</w:t>
            </w:r>
            <w:r w:rsidR="00B85D62" w:rsidRPr="00B85D62">
              <w:rPr>
                <w:rFonts w:cs="Arial"/>
                <w:sz w:val="18"/>
                <w:szCs w:val="18"/>
                <w:lang w:eastAsia="en-GB"/>
              </w:rPr>
              <w:t xml:space="preserve"> </w:t>
            </w:r>
          </w:p>
        </w:tc>
        <w:tc>
          <w:tcPr>
            <w:tcW w:w="0" w:type="auto"/>
            <w:shd w:val="clear" w:color="auto" w:fill="auto"/>
            <w:hideMark/>
          </w:tcPr>
          <w:p w14:paraId="58481D81" w14:textId="169AA99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1A0B228" w14:textId="2D12FF6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CDF8FA1" w14:textId="3DDCBDE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796114B" w14:textId="37D7067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3224330" w14:textId="686FA80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4785337" w14:textId="5718D24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71D4975" w14:textId="02F6985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997FD99" w14:textId="02D0881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6E8A63A" w14:textId="202583D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63E027E" w14:textId="4DAA4C08"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53692C16" w14:textId="77777777" w:rsidTr="00B85D62">
        <w:trPr>
          <w:cantSplit/>
        </w:trPr>
        <w:tc>
          <w:tcPr>
            <w:tcW w:w="0" w:type="auto"/>
            <w:shd w:val="clear" w:color="auto" w:fill="D9D9D9" w:themeFill="background1" w:themeFillShade="D9"/>
            <w:hideMark/>
          </w:tcPr>
          <w:p w14:paraId="2B0C31E0" w14:textId="6C4B0B29" w:rsidR="00902D4F" w:rsidRPr="00B85D62" w:rsidRDefault="00902D4F" w:rsidP="00EF36E4">
            <w:pPr>
              <w:textAlignment w:val="baseline"/>
              <w:rPr>
                <w:rFonts w:cs="Arial"/>
                <w:sz w:val="18"/>
                <w:szCs w:val="18"/>
                <w:lang w:eastAsia="en-GB"/>
              </w:rPr>
            </w:pPr>
            <w:r w:rsidRPr="00B85D62">
              <w:rPr>
                <w:rFonts w:cs="Arial"/>
                <w:sz w:val="18"/>
                <w:szCs w:val="18"/>
                <w:lang w:eastAsia="en-GB"/>
              </w:rPr>
              <w:t>Leren, 2008</w:t>
            </w:r>
            <w:r w:rsidR="00EF36E4" w:rsidRPr="00B85D62">
              <w:rPr>
                <w:rFonts w:cs="Arial"/>
                <w:noProof/>
                <w:sz w:val="18"/>
                <w:szCs w:val="18"/>
                <w:vertAlign w:val="superscript"/>
                <w:lang w:eastAsia="en-GB"/>
              </w:rPr>
              <w:t>61</w:t>
            </w:r>
            <w:r w:rsidR="00B85D62" w:rsidRPr="00B85D62">
              <w:rPr>
                <w:rFonts w:cs="Arial"/>
                <w:sz w:val="18"/>
                <w:szCs w:val="18"/>
                <w:lang w:eastAsia="en-GB"/>
              </w:rPr>
              <w:t xml:space="preserve"> </w:t>
            </w:r>
          </w:p>
        </w:tc>
        <w:tc>
          <w:tcPr>
            <w:tcW w:w="0" w:type="auto"/>
            <w:shd w:val="clear" w:color="auto" w:fill="auto"/>
            <w:hideMark/>
          </w:tcPr>
          <w:p w14:paraId="0DE23479" w14:textId="6BB5E30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A03AE1F" w14:textId="294744D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A3B9C86" w14:textId="4CCE3C3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BF0A28A" w14:textId="5DDF0F88"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79984426" w14:textId="7CEBE15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617B5299" w14:textId="5F77A16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531CADE5" w14:textId="1AFE30C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0E47FCC4" w14:textId="6857C2B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AB8A51F" w14:textId="1674674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8A37FC3" w14:textId="64DD3F9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3EA35063" w14:textId="77777777" w:rsidTr="00B85D62">
        <w:trPr>
          <w:cantSplit/>
        </w:trPr>
        <w:tc>
          <w:tcPr>
            <w:tcW w:w="0" w:type="auto"/>
            <w:shd w:val="clear" w:color="auto" w:fill="D9D9D9" w:themeFill="background1" w:themeFillShade="D9"/>
            <w:hideMark/>
          </w:tcPr>
          <w:p w14:paraId="04CD3671" w14:textId="3EFCB0EC" w:rsidR="00902D4F" w:rsidRPr="00B85D62" w:rsidRDefault="00902D4F" w:rsidP="00EF36E4">
            <w:pPr>
              <w:textAlignment w:val="baseline"/>
              <w:rPr>
                <w:rFonts w:cs="Arial"/>
                <w:sz w:val="18"/>
                <w:szCs w:val="18"/>
                <w:lang w:eastAsia="en-GB"/>
              </w:rPr>
            </w:pPr>
            <w:r w:rsidRPr="00B85D62">
              <w:rPr>
                <w:rFonts w:cs="Arial"/>
                <w:sz w:val="18"/>
                <w:szCs w:val="18"/>
                <w:lang w:eastAsia="en-GB"/>
              </w:rPr>
              <w:t>Marks, 2006</w:t>
            </w:r>
            <w:r w:rsidR="00EF36E4" w:rsidRPr="00B85D62">
              <w:rPr>
                <w:rFonts w:cs="Arial"/>
                <w:noProof/>
                <w:sz w:val="18"/>
                <w:szCs w:val="18"/>
                <w:vertAlign w:val="superscript"/>
                <w:lang w:eastAsia="en-GB"/>
              </w:rPr>
              <w:t>45</w:t>
            </w:r>
            <w:r w:rsidR="00B85D62" w:rsidRPr="00B85D62">
              <w:rPr>
                <w:rFonts w:cs="Arial"/>
                <w:sz w:val="18"/>
                <w:szCs w:val="18"/>
                <w:lang w:eastAsia="en-GB"/>
              </w:rPr>
              <w:t xml:space="preserve"> </w:t>
            </w:r>
          </w:p>
        </w:tc>
        <w:tc>
          <w:tcPr>
            <w:tcW w:w="0" w:type="auto"/>
            <w:shd w:val="clear" w:color="auto" w:fill="auto"/>
            <w:hideMark/>
          </w:tcPr>
          <w:p w14:paraId="4FAE367C" w14:textId="76CADCB3"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96D1E0B" w14:textId="0ECE94F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A267486" w14:textId="00BE2BD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050FB11" w14:textId="517A645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4DBC9277" w14:textId="56BC1FB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564BD085" w14:textId="35E6342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358B70BC" w14:textId="2DD899C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41709DC9" w14:textId="4A95E80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861F86C" w14:textId="7535F073"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183F6E5" w14:textId="57CA785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2B421640" w14:textId="77777777" w:rsidTr="00B85D62">
        <w:trPr>
          <w:cantSplit/>
        </w:trPr>
        <w:tc>
          <w:tcPr>
            <w:tcW w:w="0" w:type="auto"/>
            <w:shd w:val="clear" w:color="auto" w:fill="D9D9D9" w:themeFill="background1" w:themeFillShade="D9"/>
            <w:hideMark/>
          </w:tcPr>
          <w:p w14:paraId="1A4FAB5A" w14:textId="499A16E3" w:rsidR="00902D4F" w:rsidRPr="00B85D62" w:rsidRDefault="00902D4F" w:rsidP="00EF36E4">
            <w:pPr>
              <w:textAlignment w:val="baseline"/>
              <w:rPr>
                <w:rFonts w:cs="Arial"/>
                <w:sz w:val="18"/>
                <w:szCs w:val="18"/>
                <w:lang w:eastAsia="en-GB"/>
              </w:rPr>
            </w:pPr>
            <w:r w:rsidRPr="00B85D62">
              <w:rPr>
                <w:rFonts w:cs="Arial"/>
                <w:sz w:val="18"/>
                <w:szCs w:val="18"/>
                <w:lang w:eastAsia="en-GB"/>
              </w:rPr>
              <w:t>Marteau, 2004</w:t>
            </w:r>
            <w:r w:rsidR="00EF36E4" w:rsidRPr="00B85D62">
              <w:rPr>
                <w:rFonts w:cs="Arial"/>
                <w:noProof/>
                <w:sz w:val="18"/>
                <w:szCs w:val="18"/>
                <w:vertAlign w:val="superscript"/>
                <w:lang w:eastAsia="en-GB"/>
              </w:rPr>
              <w:t>46</w:t>
            </w:r>
            <w:r w:rsidR="00B85D62" w:rsidRPr="00B85D62">
              <w:rPr>
                <w:rFonts w:cs="Arial"/>
                <w:sz w:val="18"/>
                <w:szCs w:val="18"/>
                <w:lang w:eastAsia="en-GB"/>
              </w:rPr>
              <w:t xml:space="preserve"> </w:t>
            </w:r>
          </w:p>
        </w:tc>
        <w:tc>
          <w:tcPr>
            <w:tcW w:w="0" w:type="auto"/>
            <w:shd w:val="clear" w:color="auto" w:fill="auto"/>
            <w:hideMark/>
          </w:tcPr>
          <w:p w14:paraId="7D6D6246" w14:textId="64DF5E6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8601BAD" w14:textId="10D8AF6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A12AC9D" w14:textId="3F36001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974EB09" w14:textId="6613889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2569969B" w14:textId="26E3C663"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5EC38615" w14:textId="791C7D5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DFBC24D" w14:textId="20E6787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E59C251" w14:textId="7B94EFA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48055B3" w14:textId="45CF959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A647750" w14:textId="0CE9729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1F87F92E" w14:textId="77777777" w:rsidTr="00B85D62">
        <w:trPr>
          <w:cantSplit/>
        </w:trPr>
        <w:tc>
          <w:tcPr>
            <w:tcW w:w="0" w:type="auto"/>
            <w:shd w:val="clear" w:color="auto" w:fill="D9D9D9" w:themeFill="background1" w:themeFillShade="D9"/>
            <w:hideMark/>
          </w:tcPr>
          <w:p w14:paraId="215C5517" w14:textId="2CDECF3E" w:rsidR="00902D4F" w:rsidRPr="00B85D62" w:rsidRDefault="00902D4F" w:rsidP="00EF36E4">
            <w:pPr>
              <w:textAlignment w:val="baseline"/>
              <w:rPr>
                <w:rFonts w:cs="Arial"/>
                <w:sz w:val="18"/>
                <w:szCs w:val="18"/>
                <w:lang w:eastAsia="en-GB"/>
              </w:rPr>
            </w:pPr>
            <w:r w:rsidRPr="00B85D62">
              <w:rPr>
                <w:rFonts w:cs="Arial"/>
                <w:sz w:val="18"/>
                <w:szCs w:val="18"/>
                <w:lang w:eastAsia="en-GB"/>
              </w:rPr>
              <w:t>Muir, 2010</w:t>
            </w:r>
            <w:r w:rsidR="00EF36E4" w:rsidRPr="00B85D62">
              <w:rPr>
                <w:rFonts w:cs="Arial"/>
                <w:noProof/>
                <w:sz w:val="18"/>
                <w:szCs w:val="18"/>
                <w:vertAlign w:val="superscript"/>
                <w:lang w:eastAsia="en-GB"/>
              </w:rPr>
              <w:t>47</w:t>
            </w:r>
            <w:r w:rsidR="00B85D62" w:rsidRPr="00B85D62">
              <w:rPr>
                <w:rFonts w:cs="Arial"/>
                <w:sz w:val="18"/>
                <w:szCs w:val="18"/>
                <w:lang w:eastAsia="en-GB"/>
              </w:rPr>
              <w:t xml:space="preserve"> </w:t>
            </w:r>
          </w:p>
        </w:tc>
        <w:tc>
          <w:tcPr>
            <w:tcW w:w="0" w:type="auto"/>
            <w:shd w:val="clear" w:color="auto" w:fill="auto"/>
            <w:hideMark/>
          </w:tcPr>
          <w:p w14:paraId="6E3923E7" w14:textId="6430744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12338E0" w14:textId="4707B2D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F49A8D6" w14:textId="79D0ABB8"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7DF142D" w14:textId="46CA471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3415D48C" w14:textId="248F015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4487BC4D" w14:textId="5D3488B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264FADB7" w14:textId="7EBAA3E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59C813DB" w14:textId="16E3AE2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BAE923F" w14:textId="01DA96A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32D64FD" w14:textId="34A5D8D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44F66173" w14:textId="77777777" w:rsidTr="00B85D62">
        <w:trPr>
          <w:cantSplit/>
        </w:trPr>
        <w:tc>
          <w:tcPr>
            <w:tcW w:w="0" w:type="auto"/>
            <w:shd w:val="clear" w:color="auto" w:fill="D9D9D9" w:themeFill="background1" w:themeFillShade="D9"/>
            <w:hideMark/>
          </w:tcPr>
          <w:p w14:paraId="3E6F2730" w14:textId="79F28918" w:rsidR="00902D4F" w:rsidRPr="00B85D62" w:rsidRDefault="00902D4F" w:rsidP="00EF36E4">
            <w:pPr>
              <w:textAlignment w:val="baseline"/>
              <w:rPr>
                <w:rFonts w:cs="Arial"/>
                <w:sz w:val="18"/>
                <w:szCs w:val="18"/>
                <w:lang w:eastAsia="en-GB"/>
              </w:rPr>
            </w:pPr>
            <w:r w:rsidRPr="00B85D62">
              <w:rPr>
                <w:rFonts w:cs="Arial"/>
                <w:sz w:val="18"/>
                <w:szCs w:val="18"/>
                <w:lang w:eastAsia="en-GB"/>
              </w:rPr>
              <w:t>Neuer, 2019</w:t>
            </w:r>
            <w:r w:rsidR="00EF36E4" w:rsidRPr="00B85D62">
              <w:rPr>
                <w:rFonts w:cs="Arial"/>
                <w:noProof/>
                <w:sz w:val="18"/>
                <w:szCs w:val="18"/>
                <w:vertAlign w:val="superscript"/>
                <w:lang w:eastAsia="en-GB"/>
              </w:rPr>
              <w:t>62</w:t>
            </w:r>
            <w:r w:rsidR="00B85D62" w:rsidRPr="00B85D62">
              <w:rPr>
                <w:rFonts w:cs="Arial"/>
                <w:sz w:val="18"/>
                <w:szCs w:val="18"/>
                <w:lang w:eastAsia="en-GB"/>
              </w:rPr>
              <w:t xml:space="preserve"> </w:t>
            </w:r>
          </w:p>
        </w:tc>
        <w:tc>
          <w:tcPr>
            <w:tcW w:w="0" w:type="auto"/>
            <w:shd w:val="clear" w:color="auto" w:fill="auto"/>
            <w:hideMark/>
          </w:tcPr>
          <w:p w14:paraId="493F2F3C" w14:textId="69071EC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803DFA0" w14:textId="51A71F1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7A6B3E5" w14:textId="6DD1B38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1504FEE" w14:textId="1A9284D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01171AFB" w14:textId="22739DC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6E72C787" w14:textId="4BC9434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445D8229" w14:textId="1EC7A4D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525730A4" w14:textId="21FF127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75F1E3EF" w14:textId="45B77FC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5BC2384A" w14:textId="727E1BD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5BD56402" w14:textId="77777777" w:rsidTr="00B85D62">
        <w:trPr>
          <w:cantSplit/>
        </w:trPr>
        <w:tc>
          <w:tcPr>
            <w:tcW w:w="0" w:type="auto"/>
            <w:shd w:val="clear" w:color="auto" w:fill="D9D9D9" w:themeFill="background1" w:themeFillShade="D9"/>
            <w:hideMark/>
          </w:tcPr>
          <w:p w14:paraId="3B054834" w14:textId="6A45FBEA" w:rsidR="00902D4F" w:rsidRPr="00B85D62" w:rsidRDefault="00902D4F" w:rsidP="00EF36E4">
            <w:pPr>
              <w:textAlignment w:val="baseline"/>
              <w:rPr>
                <w:rFonts w:cs="Arial"/>
                <w:sz w:val="18"/>
                <w:szCs w:val="18"/>
                <w:lang w:eastAsia="en-GB"/>
              </w:rPr>
            </w:pPr>
            <w:r w:rsidRPr="00B85D62">
              <w:rPr>
                <w:rFonts w:cs="Arial"/>
                <w:sz w:val="18"/>
                <w:szCs w:val="18"/>
                <w:lang w:eastAsia="en-GB"/>
              </w:rPr>
              <w:t>Raal, 2020</w:t>
            </w:r>
            <w:r w:rsidR="00EF36E4" w:rsidRPr="00B85D62">
              <w:rPr>
                <w:rFonts w:cs="Arial"/>
                <w:noProof/>
                <w:sz w:val="18"/>
                <w:szCs w:val="18"/>
                <w:vertAlign w:val="superscript"/>
                <w:lang w:eastAsia="en-GB"/>
              </w:rPr>
              <w:t>55</w:t>
            </w:r>
            <w:r w:rsidR="00B85D62" w:rsidRPr="00B85D62">
              <w:rPr>
                <w:rFonts w:cs="Arial"/>
                <w:sz w:val="18"/>
                <w:szCs w:val="18"/>
                <w:lang w:eastAsia="en-GB"/>
              </w:rPr>
              <w:t xml:space="preserve"> </w:t>
            </w:r>
          </w:p>
        </w:tc>
        <w:tc>
          <w:tcPr>
            <w:tcW w:w="0" w:type="auto"/>
            <w:shd w:val="clear" w:color="auto" w:fill="auto"/>
            <w:hideMark/>
          </w:tcPr>
          <w:p w14:paraId="54AFBB0C" w14:textId="7BD405F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74A79220" w14:textId="12031FB8"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B9DBC80" w14:textId="079173A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D556379" w14:textId="3F04FE4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5FD60527" w14:textId="19120D88"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30908E19" w14:textId="146BEEB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4A82242" w14:textId="47AA67B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1371B43" w14:textId="35E1818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2A1DB8A6" w14:textId="7399BC7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14193F1" w14:textId="24214E3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357A1257" w14:textId="77777777" w:rsidTr="00B85D62">
        <w:trPr>
          <w:cantSplit/>
        </w:trPr>
        <w:tc>
          <w:tcPr>
            <w:tcW w:w="0" w:type="auto"/>
            <w:shd w:val="clear" w:color="auto" w:fill="D9D9D9" w:themeFill="background1" w:themeFillShade="D9"/>
            <w:hideMark/>
          </w:tcPr>
          <w:p w14:paraId="246A8A4D" w14:textId="5550682E" w:rsidR="00902D4F" w:rsidRPr="00B85D62" w:rsidRDefault="00902D4F" w:rsidP="00EF36E4">
            <w:pPr>
              <w:textAlignment w:val="baseline"/>
              <w:rPr>
                <w:rFonts w:cs="Arial"/>
                <w:sz w:val="18"/>
                <w:szCs w:val="18"/>
                <w:lang w:eastAsia="en-GB"/>
              </w:rPr>
            </w:pPr>
            <w:r w:rsidRPr="00B85D62">
              <w:rPr>
                <w:rFonts w:cs="Arial"/>
                <w:sz w:val="18"/>
                <w:szCs w:val="18"/>
                <w:lang w:eastAsia="en-GB"/>
              </w:rPr>
              <w:t>Setia, 2018</w:t>
            </w:r>
            <w:r w:rsidR="00EF36E4" w:rsidRPr="00B85D62">
              <w:rPr>
                <w:rFonts w:cs="Arial"/>
                <w:noProof/>
                <w:sz w:val="18"/>
                <w:szCs w:val="18"/>
                <w:vertAlign w:val="superscript"/>
                <w:lang w:eastAsia="en-GB"/>
              </w:rPr>
              <w:t>49</w:t>
            </w:r>
            <w:r w:rsidR="00B85D62" w:rsidRPr="00B85D62">
              <w:rPr>
                <w:rFonts w:cs="Arial"/>
                <w:sz w:val="18"/>
                <w:szCs w:val="18"/>
                <w:lang w:eastAsia="en-GB"/>
              </w:rPr>
              <w:t xml:space="preserve"> </w:t>
            </w:r>
          </w:p>
        </w:tc>
        <w:tc>
          <w:tcPr>
            <w:tcW w:w="0" w:type="auto"/>
            <w:shd w:val="clear" w:color="auto" w:fill="auto"/>
            <w:hideMark/>
          </w:tcPr>
          <w:p w14:paraId="26488331" w14:textId="536DFE3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6DDB2C3" w14:textId="6905FAB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21FB303" w14:textId="3BD11C7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5236191" w14:textId="4196C15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4962CB98" w14:textId="3981CEE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6E2970D7" w14:textId="62DD0DC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46DAD427" w14:textId="3710EB4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5409B34F" w14:textId="7427361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330C10F" w14:textId="2FF108D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06B0A61" w14:textId="0E9E210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3E5D0CF4" w14:textId="77777777" w:rsidTr="00B85D62">
        <w:trPr>
          <w:cantSplit/>
        </w:trPr>
        <w:tc>
          <w:tcPr>
            <w:tcW w:w="0" w:type="auto"/>
            <w:shd w:val="clear" w:color="auto" w:fill="D9D9D9" w:themeFill="background1" w:themeFillShade="D9"/>
            <w:hideMark/>
          </w:tcPr>
          <w:p w14:paraId="271E6B0C" w14:textId="476C0994" w:rsidR="00902D4F" w:rsidRPr="00B85D62" w:rsidRDefault="00902D4F" w:rsidP="00EF36E4">
            <w:pPr>
              <w:textAlignment w:val="baseline"/>
              <w:rPr>
                <w:rFonts w:cs="Arial"/>
                <w:sz w:val="18"/>
                <w:szCs w:val="18"/>
                <w:lang w:eastAsia="en-GB"/>
              </w:rPr>
            </w:pPr>
            <w:r w:rsidRPr="00B85D62">
              <w:rPr>
                <w:rFonts w:cs="Arial"/>
                <w:sz w:val="18"/>
                <w:szCs w:val="18"/>
                <w:lang w:eastAsia="en-GB"/>
              </w:rPr>
              <w:t>Skovby, 1991</w:t>
            </w:r>
            <w:r w:rsidR="00EF36E4" w:rsidRPr="00B85D62">
              <w:rPr>
                <w:rFonts w:cs="Arial"/>
                <w:noProof/>
                <w:sz w:val="18"/>
                <w:szCs w:val="18"/>
                <w:vertAlign w:val="superscript"/>
                <w:lang w:eastAsia="en-GB"/>
              </w:rPr>
              <w:t>53</w:t>
            </w:r>
            <w:r w:rsidR="00B85D62" w:rsidRPr="00B85D62">
              <w:rPr>
                <w:rFonts w:cs="Arial"/>
                <w:sz w:val="18"/>
                <w:szCs w:val="18"/>
                <w:lang w:eastAsia="en-GB"/>
              </w:rPr>
              <w:t xml:space="preserve"> </w:t>
            </w:r>
          </w:p>
        </w:tc>
        <w:tc>
          <w:tcPr>
            <w:tcW w:w="0" w:type="auto"/>
            <w:shd w:val="clear" w:color="auto" w:fill="auto"/>
            <w:hideMark/>
          </w:tcPr>
          <w:p w14:paraId="54FD8439" w14:textId="38E3B68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CC668E2" w14:textId="689F1E0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2B26858" w14:textId="5883FCD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11599AF7" w14:textId="4C767BB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359AA28A" w14:textId="5E69988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085A6A71" w14:textId="6FA4387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0FB23085" w14:textId="21DE376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41FC0C06" w14:textId="60BB913F"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D66145F" w14:textId="5D6FCDA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0288AAE" w14:textId="037CF00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r>
      <w:tr w:rsidR="00902D4F" w:rsidRPr="00B85D62" w14:paraId="0DA31A97" w14:textId="77777777" w:rsidTr="00B85D62">
        <w:trPr>
          <w:cantSplit/>
        </w:trPr>
        <w:tc>
          <w:tcPr>
            <w:tcW w:w="0" w:type="auto"/>
            <w:shd w:val="clear" w:color="auto" w:fill="D9D9D9" w:themeFill="background1" w:themeFillShade="D9"/>
            <w:hideMark/>
          </w:tcPr>
          <w:p w14:paraId="12C6BB05" w14:textId="6508043A" w:rsidR="00902D4F" w:rsidRPr="00B85D62" w:rsidRDefault="00902D4F" w:rsidP="00EF36E4">
            <w:pPr>
              <w:textAlignment w:val="baseline"/>
              <w:rPr>
                <w:rFonts w:cs="Arial"/>
                <w:sz w:val="18"/>
                <w:szCs w:val="18"/>
                <w:lang w:eastAsia="en-GB"/>
              </w:rPr>
            </w:pPr>
            <w:r w:rsidRPr="00B85D62">
              <w:rPr>
                <w:rFonts w:cs="Arial"/>
                <w:sz w:val="18"/>
                <w:szCs w:val="18"/>
                <w:lang w:eastAsia="en-GB"/>
              </w:rPr>
              <w:t>Tilney, 2019</w:t>
            </w:r>
            <w:r w:rsidR="00EF36E4" w:rsidRPr="00B85D62">
              <w:rPr>
                <w:rFonts w:cs="Arial"/>
                <w:noProof/>
                <w:sz w:val="18"/>
                <w:szCs w:val="18"/>
                <w:vertAlign w:val="superscript"/>
                <w:lang w:eastAsia="en-GB"/>
              </w:rPr>
              <w:t>50</w:t>
            </w:r>
            <w:r w:rsidR="00B85D62" w:rsidRPr="00B85D62">
              <w:rPr>
                <w:rFonts w:cs="Arial"/>
                <w:sz w:val="18"/>
                <w:szCs w:val="18"/>
                <w:lang w:eastAsia="en-GB"/>
              </w:rPr>
              <w:t xml:space="preserve"> </w:t>
            </w:r>
          </w:p>
        </w:tc>
        <w:tc>
          <w:tcPr>
            <w:tcW w:w="0" w:type="auto"/>
            <w:shd w:val="clear" w:color="auto" w:fill="auto"/>
            <w:hideMark/>
          </w:tcPr>
          <w:p w14:paraId="6D016224" w14:textId="6278576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91EE92D" w14:textId="184F013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61E444FA" w14:textId="35EE740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D371EAA" w14:textId="189DC5C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16A00C31" w14:textId="3D22AC2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150082A1" w14:textId="005C7451"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FA01143" w14:textId="361AE549"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4AC308B6" w14:textId="2BFB095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373211FF" w14:textId="3F71E59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16E94259" w14:textId="1F9BCA9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61D62D59" w14:textId="77777777" w:rsidTr="00B85D62">
        <w:trPr>
          <w:cantSplit/>
        </w:trPr>
        <w:tc>
          <w:tcPr>
            <w:tcW w:w="0" w:type="auto"/>
            <w:shd w:val="clear" w:color="auto" w:fill="D9D9D9" w:themeFill="background1" w:themeFillShade="D9"/>
            <w:hideMark/>
          </w:tcPr>
          <w:p w14:paraId="453FC68E" w14:textId="6BD63D7D" w:rsidR="00902D4F" w:rsidRPr="00B85D62" w:rsidRDefault="00902D4F" w:rsidP="00EF36E4">
            <w:pPr>
              <w:textAlignment w:val="baseline"/>
              <w:rPr>
                <w:rFonts w:cs="Arial"/>
                <w:sz w:val="18"/>
                <w:szCs w:val="18"/>
                <w:lang w:eastAsia="en-GB"/>
              </w:rPr>
            </w:pPr>
            <w:r w:rsidRPr="00B85D62">
              <w:rPr>
                <w:rFonts w:cs="Arial"/>
                <w:sz w:val="18"/>
                <w:szCs w:val="18"/>
                <w:lang w:eastAsia="en-GB"/>
              </w:rPr>
              <w:t>Umans-Eckenhausen, 2001</w:t>
            </w:r>
            <w:r w:rsidR="00EF36E4" w:rsidRPr="00B85D62">
              <w:rPr>
                <w:rFonts w:cs="Arial"/>
                <w:noProof/>
                <w:sz w:val="18"/>
                <w:szCs w:val="18"/>
                <w:vertAlign w:val="superscript"/>
                <w:lang w:eastAsia="en-GB"/>
              </w:rPr>
              <w:t>51</w:t>
            </w:r>
            <w:r w:rsidR="00B85D62" w:rsidRPr="00B85D62">
              <w:rPr>
                <w:rFonts w:cs="Arial"/>
                <w:sz w:val="18"/>
                <w:szCs w:val="18"/>
                <w:lang w:eastAsia="en-GB"/>
              </w:rPr>
              <w:t xml:space="preserve"> </w:t>
            </w:r>
          </w:p>
        </w:tc>
        <w:tc>
          <w:tcPr>
            <w:tcW w:w="0" w:type="auto"/>
            <w:shd w:val="clear" w:color="auto" w:fill="auto"/>
            <w:hideMark/>
          </w:tcPr>
          <w:p w14:paraId="3AB11C2A" w14:textId="03647B87"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7924449" w14:textId="79830D70"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015273DF" w14:textId="3CCCF28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333F333" w14:textId="06CAF3F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0B05C66C" w14:textId="7B04B3AC"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7799C278" w14:textId="544AD85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60C6805C" w14:textId="61568E6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3A37328C" w14:textId="684D2EB4"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29AF8A0" w14:textId="188D3323"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3E41152D" w14:textId="2D149DF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r>
      <w:tr w:rsidR="00902D4F" w:rsidRPr="00B85D62" w14:paraId="7E5DDC4E" w14:textId="77777777" w:rsidTr="00B85D62">
        <w:trPr>
          <w:cantSplit/>
        </w:trPr>
        <w:tc>
          <w:tcPr>
            <w:tcW w:w="0" w:type="auto"/>
            <w:shd w:val="clear" w:color="auto" w:fill="D9D9D9" w:themeFill="background1" w:themeFillShade="D9"/>
            <w:hideMark/>
          </w:tcPr>
          <w:p w14:paraId="70968C8A" w14:textId="1522E21D" w:rsidR="00902D4F" w:rsidRPr="00B85D62" w:rsidRDefault="00902D4F" w:rsidP="00EF36E4">
            <w:pPr>
              <w:textAlignment w:val="baseline"/>
              <w:rPr>
                <w:rFonts w:cs="Arial"/>
                <w:sz w:val="18"/>
                <w:szCs w:val="18"/>
                <w:lang w:eastAsia="en-GB"/>
              </w:rPr>
            </w:pPr>
            <w:r w:rsidRPr="00B85D62">
              <w:rPr>
                <w:rFonts w:cs="Arial"/>
                <w:sz w:val="18"/>
                <w:szCs w:val="18"/>
                <w:lang w:eastAsia="en-GB"/>
              </w:rPr>
              <w:t>Webster, 2019</w:t>
            </w:r>
            <w:r w:rsidR="00EF36E4" w:rsidRPr="00B85D62">
              <w:rPr>
                <w:rFonts w:cs="Arial"/>
                <w:noProof/>
                <w:sz w:val="18"/>
                <w:szCs w:val="18"/>
                <w:vertAlign w:val="superscript"/>
                <w:lang w:eastAsia="en-GB"/>
              </w:rPr>
              <w:t>52</w:t>
            </w:r>
            <w:r w:rsidR="00B85D62" w:rsidRPr="00B85D62">
              <w:rPr>
                <w:rFonts w:cs="Arial"/>
                <w:sz w:val="18"/>
                <w:szCs w:val="18"/>
                <w:lang w:eastAsia="en-GB"/>
              </w:rPr>
              <w:t xml:space="preserve"> </w:t>
            </w:r>
          </w:p>
        </w:tc>
        <w:tc>
          <w:tcPr>
            <w:tcW w:w="0" w:type="auto"/>
            <w:shd w:val="clear" w:color="auto" w:fill="auto"/>
            <w:hideMark/>
          </w:tcPr>
          <w:p w14:paraId="5A9A88D6" w14:textId="6F8ECF6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75805993" w14:textId="19867702"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57F94274" w14:textId="78B18F3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Yes</w:t>
            </w:r>
            <w:r w:rsidR="00B85D62" w:rsidRPr="00B85D62">
              <w:rPr>
                <w:rFonts w:cs="Arial"/>
                <w:sz w:val="18"/>
                <w:szCs w:val="18"/>
                <w:lang w:eastAsia="en-GB"/>
              </w:rPr>
              <w:t xml:space="preserve"> </w:t>
            </w:r>
          </w:p>
        </w:tc>
        <w:tc>
          <w:tcPr>
            <w:tcW w:w="0" w:type="auto"/>
            <w:shd w:val="clear" w:color="auto" w:fill="auto"/>
            <w:hideMark/>
          </w:tcPr>
          <w:p w14:paraId="10774545" w14:textId="4363A006"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4AA91579" w14:textId="4D3030A8"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53A99FA4" w14:textId="1A7302D5"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2D5E4ADE" w14:textId="48F6092E"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No</w:t>
            </w:r>
            <w:r w:rsidR="00B85D62" w:rsidRPr="00B85D62">
              <w:rPr>
                <w:rFonts w:cs="Arial"/>
                <w:sz w:val="18"/>
                <w:szCs w:val="18"/>
                <w:lang w:eastAsia="en-GB"/>
              </w:rPr>
              <w:t xml:space="preserve"> </w:t>
            </w:r>
          </w:p>
        </w:tc>
        <w:tc>
          <w:tcPr>
            <w:tcW w:w="0" w:type="auto"/>
            <w:shd w:val="clear" w:color="auto" w:fill="auto"/>
            <w:hideMark/>
          </w:tcPr>
          <w:p w14:paraId="156AFCE5" w14:textId="06B84E5A"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4474934A" w14:textId="61A0308B"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c>
          <w:tcPr>
            <w:tcW w:w="0" w:type="auto"/>
            <w:shd w:val="clear" w:color="auto" w:fill="auto"/>
            <w:hideMark/>
          </w:tcPr>
          <w:p w14:paraId="47435D44" w14:textId="30D5759D" w:rsidR="00902D4F" w:rsidRPr="00B85D62" w:rsidRDefault="00902D4F" w:rsidP="00902D4F">
            <w:pPr>
              <w:jc w:val="center"/>
              <w:textAlignment w:val="baseline"/>
              <w:rPr>
                <w:rFonts w:cs="Arial"/>
                <w:sz w:val="18"/>
                <w:szCs w:val="18"/>
                <w:lang w:eastAsia="en-GB"/>
              </w:rPr>
            </w:pPr>
            <w:r w:rsidRPr="00B85D62">
              <w:rPr>
                <w:rFonts w:cs="Arial"/>
                <w:sz w:val="18"/>
                <w:szCs w:val="18"/>
                <w:lang w:eastAsia="en-GB"/>
              </w:rPr>
              <w:t>Unclear</w:t>
            </w:r>
            <w:r w:rsidR="00B85D62" w:rsidRPr="00B85D62">
              <w:rPr>
                <w:rFonts w:cs="Arial"/>
                <w:sz w:val="18"/>
                <w:szCs w:val="18"/>
                <w:lang w:eastAsia="en-GB"/>
              </w:rPr>
              <w:t xml:space="preserve"> </w:t>
            </w:r>
          </w:p>
        </w:tc>
      </w:tr>
    </w:tbl>
    <w:p w14:paraId="6DC676F7" w14:textId="77777777" w:rsidR="00B85D62" w:rsidRPr="00B85D62" w:rsidRDefault="00902D4F" w:rsidP="00902D4F">
      <w:pPr>
        <w:textAlignment w:val="baseline"/>
        <w:rPr>
          <w:rFonts w:cs="Arial"/>
          <w:lang w:eastAsia="en-GB"/>
        </w:rPr>
      </w:pPr>
      <w:r w:rsidRPr="00B85D62">
        <w:rPr>
          <w:rFonts w:cs="Arial"/>
          <w:lang w:eastAsia="en-GB"/>
        </w:rPr>
        <w:t xml:space="preserve">Qu 1: Were there clear criteria for inclusion in the case series? Qu 2: Was the condition measured in a standard reliable way for all participants included in the case series? Qu 3: Were valid methods used for identification of the condition for all participants included in the case series? Qu 4: Did the case series have consecutive inclusion of participants? Qu 5: Did the case series have complete inclusion of participants? Qu 6: Was there clear reporting of the demographics of the participants in the study? Qu 7: Was there clear reporting of clinical information of the participants? Qu 8: Were the outcomes of </w:t>
      </w:r>
      <w:r w:rsidRPr="00B85D62">
        <w:rPr>
          <w:rFonts w:cs="Arial"/>
          <w:highlight w:val="magenta"/>
          <w:lang w:eastAsia="en-GB"/>
        </w:rPr>
        <w:t>follow up</w:t>
      </w:r>
      <w:r w:rsidRPr="00B85D62">
        <w:rPr>
          <w:rFonts w:cs="Arial"/>
          <w:lang w:eastAsia="en-GB"/>
        </w:rPr>
        <w:t xml:space="preserve"> results of cases clearly reported? Qu 9: Was there clear reporting of the presenting </w:t>
      </w:r>
      <w:r w:rsidRPr="00B85D62">
        <w:rPr>
          <w:rFonts w:cs="Arial"/>
          <w:highlight w:val="magenta"/>
          <w:lang w:eastAsia="en-GB"/>
        </w:rPr>
        <w:t>site</w:t>
      </w:r>
      <w:r w:rsidRPr="00B85D62">
        <w:rPr>
          <w:rFonts w:cs="Arial"/>
          <w:lang w:eastAsia="en-GB"/>
        </w:rPr>
        <w:t>(s)/clinic(s) demographics information? Qu 10: Was statistical analysis appropriate?</w:t>
      </w:r>
    </w:p>
    <w:p w14:paraId="3FB6A81D" w14:textId="7FBC51D5" w:rsidR="00902D4F" w:rsidRPr="00B85D62" w:rsidRDefault="00B85D62" w:rsidP="00E06F79">
      <w:pPr>
        <w:pStyle w:val="Caption"/>
        <w:rPr>
          <w:rFonts w:eastAsia="Calibri" w:cs="Arial"/>
        </w:rPr>
      </w:pPr>
      <w:bookmarkStart w:id="321" w:name="_Toc107157380"/>
      <w:r w:rsidRPr="00B85D62">
        <w:rPr>
          <w:i/>
          <w:color w:val="FF0000"/>
        </w:rPr>
        <w:t>T</w:t>
      </w:r>
      <w:r w:rsidRPr="00B85D62">
        <w:rPr>
          <w:i/>
          <w:color w:val="FF0000"/>
        </w:rPr>
        <w:t>able</w:t>
      </w:r>
      <w:r w:rsidRPr="00B85D62">
        <w:rPr>
          <w:i/>
          <w:color w:val="FF0000"/>
        </w:rPr>
        <w:t xml:space="preserve"> </w:t>
      </w:r>
      <w:r w:rsidRPr="00B85D62">
        <w:rPr>
          <w:i/>
          <w:noProof/>
          <w:color w:val="FF0000"/>
        </w:rPr>
        <w:t>26</w:t>
      </w:r>
      <w:r w:rsidR="00902D4F" w:rsidRPr="00B85D62">
        <w:rPr>
          <w:rFonts w:eastAsia="Calibri" w:cs="Arial"/>
          <w:b w:val="0"/>
        </w:rPr>
        <w:t>:</w:t>
      </w:r>
      <w:r w:rsidR="006A155D" w:rsidRPr="00B85D62">
        <w:rPr>
          <w:rFonts w:eastAsia="Calibri" w:cs="Arial"/>
          <w:b w:val="0"/>
        </w:rPr>
        <w:t xml:space="preserve"> </w:t>
      </w:r>
      <w:r w:rsidR="00902D4F" w:rsidRPr="00B85D62">
        <w:rPr>
          <w:rFonts w:eastAsia="Calibri" w:cs="Arial"/>
          <w:b w:val="0"/>
        </w:rPr>
        <w:t>MEDLINE search strategy for Systematic Review 2</w:t>
      </w:r>
      <w:bookmarkEnd w:id="321"/>
      <w:r w:rsidR="00902D4F" w:rsidRPr="00B85D62">
        <w:rPr>
          <w:rFonts w:eastAsia="Calibri" w:cs="Arial"/>
          <w:b w:val="0"/>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641"/>
      </w:tblGrid>
      <w:tr w:rsidR="00902D4F" w:rsidRPr="00B85D62" w14:paraId="34835A35" w14:textId="77777777" w:rsidTr="00B85D62">
        <w:trPr>
          <w:cantSplit/>
        </w:trPr>
        <w:tc>
          <w:tcPr>
            <w:tcW w:w="0" w:type="auto"/>
            <w:shd w:val="clear" w:color="auto" w:fill="auto"/>
            <w:hideMark/>
          </w:tcPr>
          <w:p w14:paraId="5D5C2EFC" w14:textId="440AE9C9" w:rsidR="00902D4F" w:rsidRPr="00B85D62" w:rsidRDefault="00B85D62" w:rsidP="00902D4F">
            <w:pPr>
              <w:rPr>
                <w:rFonts w:cs="Arial"/>
                <w:highlight w:val="green"/>
                <w:lang w:eastAsia="en-GB"/>
              </w:rPr>
            </w:pPr>
            <w:r w:rsidRPr="00B85D62">
              <w:rPr>
                <w:rFonts w:cs="Arial"/>
                <w:highlight w:val="green"/>
                <w:lang w:eastAsia="en-GB"/>
              </w:rPr>
              <w:t xml:space="preserve"> </w:t>
            </w:r>
          </w:p>
        </w:tc>
      </w:tr>
      <w:tr w:rsidR="00902D4F" w:rsidRPr="00B85D62" w14:paraId="5E65C0A7" w14:textId="77777777" w:rsidTr="00B85D62">
        <w:trPr>
          <w:cantSplit/>
        </w:trPr>
        <w:tc>
          <w:tcPr>
            <w:tcW w:w="0" w:type="auto"/>
            <w:shd w:val="clear" w:color="auto" w:fill="auto"/>
            <w:hideMark/>
          </w:tcPr>
          <w:p w14:paraId="2E2862DF" w14:textId="6FBD40A2" w:rsidR="00902D4F" w:rsidRPr="00B85D62" w:rsidRDefault="00902D4F" w:rsidP="00902D4F">
            <w:pPr>
              <w:rPr>
                <w:rFonts w:cs="Arial"/>
                <w:highlight w:val="green"/>
                <w:lang w:eastAsia="en-GB"/>
              </w:rPr>
            </w:pPr>
            <w:r w:rsidRPr="00B85D62">
              <w:rPr>
                <w:rFonts w:cs="Arial"/>
                <w:lang w:eastAsia="en-GB"/>
              </w:rPr>
              <w:t>exp hyperlipidemia</w:t>
            </w:r>
            <w:r w:rsidR="00B85D62" w:rsidRPr="00B85D62">
              <w:rPr>
                <w:rFonts w:cs="Arial"/>
                <w:color w:val="00B0F0"/>
                <w:lang w:eastAsia="en-GB"/>
              </w:rPr>
              <w:t>/</w:t>
            </w:r>
          </w:p>
        </w:tc>
      </w:tr>
      <w:tr w:rsidR="00902D4F" w:rsidRPr="00B85D62" w14:paraId="1724C61A" w14:textId="77777777" w:rsidTr="00B85D62">
        <w:trPr>
          <w:cantSplit/>
        </w:trPr>
        <w:tc>
          <w:tcPr>
            <w:tcW w:w="0" w:type="auto"/>
            <w:shd w:val="clear" w:color="auto" w:fill="auto"/>
            <w:hideMark/>
          </w:tcPr>
          <w:p w14:paraId="009CB6FD" w14:textId="27BFD408" w:rsidR="00902D4F" w:rsidRPr="00B85D62" w:rsidRDefault="00902D4F" w:rsidP="00902D4F">
            <w:pPr>
              <w:rPr>
                <w:rFonts w:cs="Arial"/>
                <w:highlight w:val="green"/>
                <w:lang w:eastAsia="en-GB"/>
              </w:rPr>
            </w:pPr>
            <w:r w:rsidRPr="00B85D62">
              <w:rPr>
                <w:rFonts w:cs="Arial"/>
                <w:lang w:eastAsia="en-GB"/>
              </w:rPr>
              <w:t>hyperlipid*.tw.</w:t>
            </w:r>
            <w:r w:rsidR="00B85D62" w:rsidRPr="00B85D62">
              <w:rPr>
                <w:rFonts w:cs="Arial"/>
                <w:lang w:eastAsia="en-GB"/>
              </w:rPr>
              <w:t xml:space="preserve"> </w:t>
            </w:r>
          </w:p>
        </w:tc>
      </w:tr>
      <w:tr w:rsidR="00902D4F" w:rsidRPr="00B85D62" w14:paraId="7735F678" w14:textId="77777777" w:rsidTr="00B85D62">
        <w:trPr>
          <w:cantSplit/>
        </w:trPr>
        <w:tc>
          <w:tcPr>
            <w:tcW w:w="0" w:type="auto"/>
            <w:shd w:val="clear" w:color="auto" w:fill="auto"/>
            <w:hideMark/>
          </w:tcPr>
          <w:p w14:paraId="78D0A424" w14:textId="050DCDFF" w:rsidR="00902D4F" w:rsidRPr="00B85D62" w:rsidRDefault="00902D4F" w:rsidP="00902D4F">
            <w:pPr>
              <w:rPr>
                <w:rFonts w:cs="Arial"/>
                <w:highlight w:val="green"/>
                <w:lang w:eastAsia="en-GB"/>
              </w:rPr>
            </w:pPr>
            <w:r w:rsidRPr="00B85D62">
              <w:rPr>
                <w:rFonts w:cs="Arial"/>
                <w:lang w:eastAsia="en-GB"/>
              </w:rPr>
              <w:t>hyperlip?emia*.tw.</w:t>
            </w:r>
            <w:r w:rsidR="00B85D62" w:rsidRPr="00B85D62">
              <w:rPr>
                <w:rFonts w:cs="Arial"/>
                <w:lang w:eastAsia="en-GB"/>
              </w:rPr>
              <w:t xml:space="preserve"> </w:t>
            </w:r>
          </w:p>
        </w:tc>
      </w:tr>
      <w:tr w:rsidR="00902D4F" w:rsidRPr="00B85D62" w14:paraId="05A85B85" w14:textId="77777777" w:rsidTr="00B85D62">
        <w:trPr>
          <w:cantSplit/>
        </w:trPr>
        <w:tc>
          <w:tcPr>
            <w:tcW w:w="0" w:type="auto"/>
            <w:shd w:val="clear" w:color="auto" w:fill="auto"/>
            <w:hideMark/>
          </w:tcPr>
          <w:p w14:paraId="6C3D45B7" w14:textId="24EE730E" w:rsidR="00902D4F" w:rsidRPr="00B85D62" w:rsidRDefault="00902D4F" w:rsidP="00902D4F">
            <w:pPr>
              <w:rPr>
                <w:rFonts w:cs="Arial"/>
                <w:highlight w:val="green"/>
                <w:lang w:eastAsia="en-GB"/>
              </w:rPr>
            </w:pPr>
            <w:r w:rsidRPr="00B85D62">
              <w:rPr>
                <w:rFonts w:cs="Arial"/>
                <w:lang w:eastAsia="en-GB"/>
              </w:rPr>
              <w:t>hypercholesterol*.tw.</w:t>
            </w:r>
            <w:r w:rsidR="00B85D62" w:rsidRPr="00B85D62">
              <w:rPr>
                <w:rFonts w:cs="Arial"/>
                <w:lang w:eastAsia="en-GB"/>
              </w:rPr>
              <w:t xml:space="preserve"> </w:t>
            </w:r>
          </w:p>
        </w:tc>
      </w:tr>
      <w:tr w:rsidR="00902D4F" w:rsidRPr="00B85D62" w14:paraId="6F10B000" w14:textId="77777777" w:rsidTr="00B85D62">
        <w:trPr>
          <w:cantSplit/>
        </w:trPr>
        <w:tc>
          <w:tcPr>
            <w:tcW w:w="0" w:type="auto"/>
            <w:shd w:val="clear" w:color="auto" w:fill="auto"/>
            <w:hideMark/>
          </w:tcPr>
          <w:p w14:paraId="26CBAF4C" w14:textId="7D95972E" w:rsidR="00902D4F" w:rsidRPr="00B85D62" w:rsidRDefault="00902D4F" w:rsidP="00902D4F">
            <w:pPr>
              <w:rPr>
                <w:rFonts w:cs="Arial"/>
                <w:highlight w:val="green"/>
                <w:lang w:eastAsia="en-GB"/>
              </w:rPr>
            </w:pPr>
            <w:r w:rsidRPr="00B85D62">
              <w:rPr>
                <w:rFonts w:cs="Arial"/>
                <w:lang w:eastAsia="en-GB"/>
              </w:rPr>
              <w:t>hypercholester?emia*.tw.</w:t>
            </w:r>
            <w:r w:rsidR="00B85D62" w:rsidRPr="00B85D62">
              <w:rPr>
                <w:rFonts w:cs="Arial"/>
                <w:lang w:eastAsia="en-GB"/>
              </w:rPr>
              <w:t xml:space="preserve"> </w:t>
            </w:r>
          </w:p>
        </w:tc>
      </w:tr>
      <w:tr w:rsidR="00902D4F" w:rsidRPr="00B85D62" w14:paraId="33A10396" w14:textId="77777777" w:rsidTr="00B85D62">
        <w:trPr>
          <w:cantSplit/>
        </w:trPr>
        <w:tc>
          <w:tcPr>
            <w:tcW w:w="0" w:type="auto"/>
            <w:shd w:val="clear" w:color="auto" w:fill="auto"/>
            <w:hideMark/>
          </w:tcPr>
          <w:p w14:paraId="6E3CF572" w14:textId="1AEAF1D7" w:rsidR="00902D4F" w:rsidRPr="00B85D62" w:rsidRDefault="00902D4F" w:rsidP="00902D4F">
            <w:pPr>
              <w:rPr>
                <w:rFonts w:cs="Arial"/>
                <w:highlight w:val="green"/>
                <w:lang w:eastAsia="en-GB"/>
              </w:rPr>
            </w:pPr>
            <w:r w:rsidRPr="00B85D62">
              <w:rPr>
                <w:rFonts w:cs="Arial"/>
                <w:lang w:eastAsia="en-GB"/>
              </w:rPr>
              <w:t>hyperlipoprotein?emia*.tw.</w:t>
            </w:r>
            <w:r w:rsidR="00B85D62" w:rsidRPr="00B85D62">
              <w:rPr>
                <w:rFonts w:cs="Arial"/>
                <w:lang w:eastAsia="en-GB"/>
              </w:rPr>
              <w:t xml:space="preserve"> </w:t>
            </w:r>
          </w:p>
        </w:tc>
      </w:tr>
      <w:tr w:rsidR="00902D4F" w:rsidRPr="00B85D62" w14:paraId="5909C492" w14:textId="77777777" w:rsidTr="00B85D62">
        <w:trPr>
          <w:cantSplit/>
        </w:trPr>
        <w:tc>
          <w:tcPr>
            <w:tcW w:w="0" w:type="auto"/>
            <w:shd w:val="clear" w:color="auto" w:fill="auto"/>
            <w:hideMark/>
          </w:tcPr>
          <w:p w14:paraId="43135DFE" w14:textId="1D09F30D" w:rsidR="00902D4F" w:rsidRPr="00B85D62" w:rsidRDefault="00902D4F" w:rsidP="00902D4F">
            <w:pPr>
              <w:rPr>
                <w:rFonts w:cs="Arial"/>
                <w:highlight w:val="green"/>
                <w:lang w:eastAsia="en-GB"/>
              </w:rPr>
            </w:pPr>
            <w:r w:rsidRPr="00B85D62">
              <w:rPr>
                <w:rFonts w:cs="Arial"/>
                <w:lang w:eastAsia="en-GB"/>
              </w:rPr>
              <w:t>exp Cholesterol</w:t>
            </w:r>
            <w:r w:rsidR="00B85D62" w:rsidRPr="00B85D62">
              <w:rPr>
                <w:rFonts w:cs="Arial"/>
                <w:color w:val="00B0F0"/>
                <w:lang w:eastAsia="en-GB"/>
              </w:rPr>
              <w:t>/</w:t>
            </w:r>
          </w:p>
        </w:tc>
      </w:tr>
      <w:tr w:rsidR="00902D4F" w:rsidRPr="00B85D62" w14:paraId="7967F82A" w14:textId="77777777" w:rsidTr="00B85D62">
        <w:trPr>
          <w:cantSplit/>
        </w:trPr>
        <w:tc>
          <w:tcPr>
            <w:tcW w:w="0" w:type="auto"/>
            <w:shd w:val="clear" w:color="auto" w:fill="auto"/>
            <w:hideMark/>
          </w:tcPr>
          <w:p w14:paraId="66C6F312" w14:textId="64ABDFCD" w:rsidR="00902D4F" w:rsidRPr="00B85D62" w:rsidRDefault="00902D4F" w:rsidP="00902D4F">
            <w:pPr>
              <w:rPr>
                <w:rFonts w:cs="Arial"/>
                <w:highlight w:val="green"/>
                <w:lang w:eastAsia="en-GB"/>
              </w:rPr>
            </w:pPr>
            <w:r w:rsidRPr="00B85D62">
              <w:rPr>
                <w:rFonts w:cs="Arial"/>
                <w:lang w:eastAsia="en-GB"/>
              </w:rPr>
              <w:t>cholesterol*.tw.</w:t>
            </w:r>
            <w:r w:rsidR="00B85D62" w:rsidRPr="00B85D62">
              <w:rPr>
                <w:rFonts w:cs="Arial"/>
                <w:lang w:eastAsia="en-GB"/>
              </w:rPr>
              <w:t xml:space="preserve"> </w:t>
            </w:r>
          </w:p>
        </w:tc>
      </w:tr>
      <w:tr w:rsidR="00902D4F" w:rsidRPr="00B85D62" w14:paraId="6AD4396C" w14:textId="77777777" w:rsidTr="00B85D62">
        <w:trPr>
          <w:cantSplit/>
        </w:trPr>
        <w:tc>
          <w:tcPr>
            <w:tcW w:w="0" w:type="auto"/>
            <w:shd w:val="clear" w:color="auto" w:fill="auto"/>
            <w:hideMark/>
          </w:tcPr>
          <w:p w14:paraId="24A8626A" w14:textId="7B3C2E45" w:rsidR="00902D4F" w:rsidRPr="00B85D62" w:rsidRDefault="00902D4F" w:rsidP="00902D4F">
            <w:pPr>
              <w:rPr>
                <w:rFonts w:cs="Arial"/>
                <w:highlight w:val="green"/>
                <w:lang w:eastAsia="en-GB"/>
              </w:rPr>
            </w:pPr>
            <w:r w:rsidRPr="00B85D62">
              <w:rPr>
                <w:rFonts w:cs="Arial"/>
                <w:lang w:eastAsia="en-GB"/>
              </w:rPr>
              <w:t>((familial or inherited) adj2</w:t>
            </w:r>
            <w:r w:rsidR="00B85D62" w:rsidRPr="00B85D62">
              <w:rPr>
                <w:rFonts w:cs="Arial"/>
                <w:lang w:eastAsia="en-GB"/>
              </w:rPr>
              <w:t xml:space="preserve"> </w:t>
            </w:r>
            <w:r w:rsidRPr="00B85D62">
              <w:rPr>
                <w:rFonts w:cs="Arial"/>
                <w:lang w:eastAsia="en-GB"/>
              </w:rPr>
              <w:t>hypercholesterol?emia*).tw.</w:t>
            </w:r>
            <w:r w:rsidR="00B85D62" w:rsidRPr="00B85D62">
              <w:rPr>
                <w:rFonts w:cs="Arial"/>
                <w:lang w:eastAsia="en-GB"/>
              </w:rPr>
              <w:t xml:space="preserve"> </w:t>
            </w:r>
          </w:p>
        </w:tc>
      </w:tr>
      <w:tr w:rsidR="00902D4F" w:rsidRPr="00B85D62" w14:paraId="5D8763F5" w14:textId="77777777" w:rsidTr="00B85D62">
        <w:trPr>
          <w:cantSplit/>
        </w:trPr>
        <w:tc>
          <w:tcPr>
            <w:tcW w:w="0" w:type="auto"/>
            <w:shd w:val="clear" w:color="auto" w:fill="auto"/>
            <w:hideMark/>
          </w:tcPr>
          <w:p w14:paraId="6AABD7EC" w14:textId="7FA2B002" w:rsidR="00902D4F" w:rsidRPr="00B85D62" w:rsidRDefault="00902D4F" w:rsidP="00902D4F">
            <w:pPr>
              <w:rPr>
                <w:rFonts w:cs="Arial"/>
                <w:highlight w:val="green"/>
                <w:lang w:eastAsia="en-GB"/>
              </w:rPr>
            </w:pPr>
            <w:r w:rsidRPr="00B85D62">
              <w:rPr>
                <w:rFonts w:cs="Arial"/>
                <w:lang w:eastAsia="en-GB"/>
              </w:rPr>
              <w:t>Hyperlipoproteinemia Type II</w:t>
            </w:r>
            <w:r w:rsidR="00B85D62" w:rsidRPr="00B85D62">
              <w:rPr>
                <w:rFonts w:cs="Arial"/>
                <w:color w:val="00B0F0"/>
                <w:lang w:eastAsia="en-GB"/>
              </w:rPr>
              <w:t>/</w:t>
            </w:r>
          </w:p>
        </w:tc>
      </w:tr>
      <w:tr w:rsidR="00902D4F" w:rsidRPr="00B85D62" w14:paraId="1787DFEE" w14:textId="77777777" w:rsidTr="00B85D62">
        <w:trPr>
          <w:cantSplit/>
        </w:trPr>
        <w:tc>
          <w:tcPr>
            <w:tcW w:w="0" w:type="auto"/>
            <w:shd w:val="clear" w:color="auto" w:fill="auto"/>
            <w:hideMark/>
          </w:tcPr>
          <w:p w14:paraId="2E128512" w14:textId="5F973D35" w:rsidR="00902D4F" w:rsidRPr="00B85D62" w:rsidRDefault="00902D4F" w:rsidP="00902D4F">
            <w:pPr>
              <w:rPr>
                <w:rFonts w:cs="Arial"/>
                <w:highlight w:val="green"/>
                <w:lang w:eastAsia="en-GB"/>
              </w:rPr>
            </w:pPr>
            <w:r w:rsidRPr="00B85D62">
              <w:rPr>
                <w:rFonts w:cs="Arial"/>
                <w:lang w:eastAsia="en-GB"/>
              </w:rPr>
              <w:t>or/1</w:t>
            </w:r>
            <w:r w:rsidR="00B85D62" w:rsidRPr="00B85D62">
              <w:rPr>
                <w:rFonts w:cs="Arial"/>
                <w:color w:val="00B0F0"/>
                <w:lang w:eastAsia="en-GB"/>
              </w:rPr>
              <w:t>–</w:t>
            </w:r>
            <w:r w:rsidR="00B85D62" w:rsidRPr="00B85D62">
              <w:rPr>
                <w:rFonts w:cs="Arial"/>
                <w:color w:val="00B0F0"/>
                <w:lang w:eastAsia="en-GB"/>
              </w:rPr>
              <w:t>1</w:t>
            </w:r>
            <w:r w:rsidRPr="00B85D62">
              <w:rPr>
                <w:rFonts w:cs="Arial"/>
                <w:lang w:eastAsia="en-GB"/>
              </w:rPr>
              <w:t>0</w:t>
            </w:r>
            <w:r w:rsidR="00B85D62" w:rsidRPr="00B85D62">
              <w:rPr>
                <w:rFonts w:cs="Arial"/>
                <w:lang w:eastAsia="en-GB"/>
              </w:rPr>
              <w:t xml:space="preserve"> </w:t>
            </w:r>
          </w:p>
        </w:tc>
      </w:tr>
      <w:tr w:rsidR="00902D4F" w:rsidRPr="00B85D62" w14:paraId="53AB0B51" w14:textId="77777777" w:rsidTr="00B85D62">
        <w:trPr>
          <w:cantSplit/>
        </w:trPr>
        <w:tc>
          <w:tcPr>
            <w:tcW w:w="0" w:type="auto"/>
            <w:shd w:val="clear" w:color="auto" w:fill="auto"/>
            <w:hideMark/>
          </w:tcPr>
          <w:p w14:paraId="52A65F83" w14:textId="773D1A26" w:rsidR="00902D4F" w:rsidRPr="00B85D62" w:rsidRDefault="00902D4F" w:rsidP="00902D4F">
            <w:pPr>
              <w:rPr>
                <w:rFonts w:cs="Arial"/>
                <w:highlight w:val="green"/>
                <w:lang w:eastAsia="en-GB"/>
              </w:rPr>
            </w:pPr>
            <w:r w:rsidRPr="00B85D62">
              <w:rPr>
                <w:rFonts w:cs="Arial"/>
                <w:lang w:eastAsia="en-GB"/>
              </w:rPr>
              <w:t>exp antibodies, monoclonal</w:t>
            </w:r>
            <w:r w:rsidR="00B85D62" w:rsidRPr="00B85D62">
              <w:rPr>
                <w:rFonts w:cs="Arial"/>
                <w:color w:val="00B0F0"/>
                <w:lang w:eastAsia="en-GB"/>
              </w:rPr>
              <w:t>/</w:t>
            </w:r>
          </w:p>
        </w:tc>
      </w:tr>
      <w:tr w:rsidR="00902D4F" w:rsidRPr="00B85D62" w14:paraId="564EAC6F" w14:textId="77777777" w:rsidTr="00B85D62">
        <w:trPr>
          <w:cantSplit/>
        </w:trPr>
        <w:tc>
          <w:tcPr>
            <w:tcW w:w="0" w:type="auto"/>
            <w:shd w:val="clear" w:color="auto" w:fill="auto"/>
            <w:hideMark/>
          </w:tcPr>
          <w:p w14:paraId="63DDFD63" w14:textId="748CABF9" w:rsidR="00902D4F" w:rsidRPr="00B85D62" w:rsidRDefault="00902D4F" w:rsidP="00902D4F">
            <w:pPr>
              <w:rPr>
                <w:rFonts w:cs="Arial"/>
                <w:highlight w:val="green"/>
                <w:lang w:eastAsia="en-GB"/>
              </w:rPr>
            </w:pPr>
            <w:r w:rsidRPr="00B85D62">
              <w:rPr>
                <w:rFonts w:cs="Arial"/>
                <w:lang w:eastAsia="en-GB"/>
              </w:rPr>
              <w:t>monoclonal</w:t>
            </w:r>
            <w:r w:rsidR="00B85D62" w:rsidRPr="00B85D62">
              <w:rPr>
                <w:rFonts w:cs="Arial"/>
                <w:lang w:eastAsia="en-GB"/>
              </w:rPr>
              <w:t xml:space="preserve"> </w:t>
            </w:r>
            <w:r w:rsidRPr="00B85D62">
              <w:rPr>
                <w:rFonts w:cs="Arial"/>
                <w:lang w:eastAsia="en-GB"/>
              </w:rPr>
              <w:t>antibod*.tw.</w:t>
            </w:r>
            <w:r w:rsidR="00B85D62" w:rsidRPr="00B85D62">
              <w:rPr>
                <w:rFonts w:cs="Arial"/>
                <w:lang w:eastAsia="en-GB"/>
              </w:rPr>
              <w:t xml:space="preserve"> </w:t>
            </w:r>
          </w:p>
        </w:tc>
      </w:tr>
      <w:tr w:rsidR="00902D4F" w:rsidRPr="00B85D62" w14:paraId="041CFBF9" w14:textId="77777777" w:rsidTr="00B85D62">
        <w:trPr>
          <w:cantSplit/>
        </w:trPr>
        <w:tc>
          <w:tcPr>
            <w:tcW w:w="0" w:type="auto"/>
            <w:shd w:val="clear" w:color="auto" w:fill="auto"/>
            <w:hideMark/>
          </w:tcPr>
          <w:p w14:paraId="233A06A0" w14:textId="65B97B3E" w:rsidR="00902D4F" w:rsidRPr="00B85D62" w:rsidRDefault="00902D4F" w:rsidP="00902D4F">
            <w:pPr>
              <w:rPr>
                <w:rFonts w:cs="Arial"/>
                <w:highlight w:val="green"/>
                <w:lang w:eastAsia="en-GB"/>
              </w:rPr>
            </w:pPr>
            <w:r w:rsidRPr="00B85D62">
              <w:rPr>
                <w:rFonts w:cs="Arial"/>
                <w:lang w:eastAsia="en-GB"/>
              </w:rPr>
              <w:t>MAB*.tw.</w:t>
            </w:r>
            <w:r w:rsidR="00B85D62" w:rsidRPr="00B85D62">
              <w:rPr>
                <w:rFonts w:cs="Arial"/>
                <w:lang w:eastAsia="en-GB"/>
              </w:rPr>
              <w:t xml:space="preserve"> </w:t>
            </w:r>
          </w:p>
        </w:tc>
      </w:tr>
      <w:tr w:rsidR="00902D4F" w:rsidRPr="00B85D62" w14:paraId="4F565B8E" w14:textId="77777777" w:rsidTr="00B85D62">
        <w:trPr>
          <w:cantSplit/>
        </w:trPr>
        <w:tc>
          <w:tcPr>
            <w:tcW w:w="0" w:type="auto"/>
            <w:shd w:val="clear" w:color="auto" w:fill="auto"/>
            <w:hideMark/>
          </w:tcPr>
          <w:p w14:paraId="66FB3CBF" w14:textId="533B56ED" w:rsidR="00902D4F" w:rsidRPr="00B85D62" w:rsidRDefault="00902D4F" w:rsidP="00902D4F">
            <w:pPr>
              <w:rPr>
                <w:rFonts w:cs="Arial"/>
                <w:highlight w:val="green"/>
                <w:lang w:eastAsia="en-GB"/>
              </w:rPr>
            </w:pPr>
            <w:r w:rsidRPr="00B85D62">
              <w:rPr>
                <w:rFonts w:cs="Arial"/>
                <w:lang w:eastAsia="en-GB"/>
              </w:rPr>
              <w:t>evolocumab.tw.</w:t>
            </w:r>
            <w:r w:rsidR="00B85D62" w:rsidRPr="00B85D62">
              <w:rPr>
                <w:rFonts w:cs="Arial"/>
                <w:lang w:eastAsia="en-GB"/>
              </w:rPr>
              <w:t xml:space="preserve"> </w:t>
            </w:r>
          </w:p>
        </w:tc>
      </w:tr>
      <w:tr w:rsidR="00902D4F" w:rsidRPr="00B85D62" w14:paraId="77E9FCD4" w14:textId="77777777" w:rsidTr="00B85D62">
        <w:trPr>
          <w:cantSplit/>
        </w:trPr>
        <w:tc>
          <w:tcPr>
            <w:tcW w:w="0" w:type="auto"/>
            <w:shd w:val="clear" w:color="auto" w:fill="auto"/>
            <w:hideMark/>
          </w:tcPr>
          <w:p w14:paraId="3F032D34" w14:textId="62D1076B" w:rsidR="00902D4F" w:rsidRPr="00B85D62" w:rsidRDefault="00902D4F" w:rsidP="00902D4F">
            <w:pPr>
              <w:rPr>
                <w:rFonts w:cs="Arial"/>
                <w:highlight w:val="green"/>
                <w:lang w:eastAsia="en-GB"/>
              </w:rPr>
            </w:pPr>
            <w:r w:rsidRPr="00B85D62">
              <w:rPr>
                <w:rFonts w:cs="Arial"/>
                <w:lang w:eastAsia="en-GB"/>
              </w:rPr>
              <w:t>amg</w:t>
            </w:r>
            <w:r w:rsidR="00B85D62" w:rsidRPr="00B85D62">
              <w:rPr>
                <w:rFonts w:cs="Arial"/>
                <w:lang w:eastAsia="en-GB"/>
              </w:rPr>
              <w:t xml:space="preserve"> </w:t>
            </w:r>
            <w:r w:rsidRPr="00B85D62">
              <w:rPr>
                <w:rFonts w:cs="Arial"/>
                <w:lang w:eastAsia="en-GB"/>
              </w:rPr>
              <w:t>145.tw.</w:t>
            </w:r>
            <w:r w:rsidR="00B85D62" w:rsidRPr="00B85D62">
              <w:rPr>
                <w:rFonts w:cs="Arial"/>
                <w:lang w:eastAsia="en-GB"/>
              </w:rPr>
              <w:t xml:space="preserve"> </w:t>
            </w:r>
          </w:p>
        </w:tc>
      </w:tr>
      <w:tr w:rsidR="00902D4F" w:rsidRPr="00B85D62" w14:paraId="0717DD2A" w14:textId="77777777" w:rsidTr="00B85D62">
        <w:trPr>
          <w:cantSplit/>
        </w:trPr>
        <w:tc>
          <w:tcPr>
            <w:tcW w:w="0" w:type="auto"/>
            <w:shd w:val="clear" w:color="auto" w:fill="auto"/>
            <w:hideMark/>
          </w:tcPr>
          <w:p w14:paraId="66954228" w14:textId="60EBA03C" w:rsidR="00902D4F" w:rsidRPr="00B85D62" w:rsidRDefault="00902D4F" w:rsidP="00902D4F">
            <w:pPr>
              <w:rPr>
                <w:rFonts w:cs="Arial"/>
                <w:highlight w:val="green"/>
                <w:lang w:eastAsia="en-GB"/>
              </w:rPr>
            </w:pPr>
            <w:r w:rsidRPr="00B85D62">
              <w:rPr>
                <w:rFonts w:cs="Arial"/>
                <w:lang w:eastAsia="en-GB"/>
              </w:rPr>
              <w:t>amg145.tw.</w:t>
            </w:r>
            <w:r w:rsidR="00B85D62" w:rsidRPr="00B85D62">
              <w:rPr>
                <w:rFonts w:cs="Arial"/>
                <w:lang w:eastAsia="en-GB"/>
              </w:rPr>
              <w:t xml:space="preserve"> </w:t>
            </w:r>
          </w:p>
        </w:tc>
      </w:tr>
      <w:tr w:rsidR="00902D4F" w:rsidRPr="00B85D62" w14:paraId="55556CB8" w14:textId="77777777" w:rsidTr="00B85D62">
        <w:trPr>
          <w:cantSplit/>
        </w:trPr>
        <w:tc>
          <w:tcPr>
            <w:tcW w:w="0" w:type="auto"/>
            <w:shd w:val="clear" w:color="auto" w:fill="auto"/>
            <w:hideMark/>
          </w:tcPr>
          <w:p w14:paraId="398C4590" w14:textId="1F7DAA1C" w:rsidR="00902D4F" w:rsidRPr="00B85D62" w:rsidRDefault="00902D4F" w:rsidP="00902D4F">
            <w:pPr>
              <w:rPr>
                <w:rFonts w:cs="Arial"/>
                <w:highlight w:val="green"/>
                <w:lang w:eastAsia="en-GB"/>
              </w:rPr>
            </w:pPr>
            <w:r w:rsidRPr="00B85D62">
              <w:rPr>
                <w:rFonts w:cs="Arial"/>
                <w:lang w:eastAsia="en-GB"/>
              </w:rPr>
              <w:t>alirocumab.tw.</w:t>
            </w:r>
            <w:r w:rsidR="00B85D62" w:rsidRPr="00B85D62">
              <w:rPr>
                <w:rFonts w:cs="Arial"/>
                <w:lang w:eastAsia="en-GB"/>
              </w:rPr>
              <w:t xml:space="preserve"> </w:t>
            </w:r>
          </w:p>
        </w:tc>
      </w:tr>
      <w:tr w:rsidR="00902D4F" w:rsidRPr="00B85D62" w14:paraId="1E446C65" w14:textId="77777777" w:rsidTr="00B85D62">
        <w:trPr>
          <w:cantSplit/>
        </w:trPr>
        <w:tc>
          <w:tcPr>
            <w:tcW w:w="0" w:type="auto"/>
            <w:shd w:val="clear" w:color="auto" w:fill="auto"/>
            <w:hideMark/>
          </w:tcPr>
          <w:p w14:paraId="4938ACA7" w14:textId="7878CD7D" w:rsidR="00902D4F" w:rsidRPr="00B85D62" w:rsidRDefault="00902D4F" w:rsidP="00902D4F">
            <w:pPr>
              <w:rPr>
                <w:rFonts w:cs="Arial"/>
                <w:highlight w:val="green"/>
                <w:lang w:eastAsia="en-GB"/>
              </w:rPr>
            </w:pPr>
            <w:r w:rsidRPr="00B85D62">
              <w:rPr>
                <w:rFonts w:cs="Arial"/>
                <w:lang w:eastAsia="en-GB"/>
              </w:rPr>
              <w:t>regn</w:t>
            </w:r>
            <w:r w:rsidR="00B85D62" w:rsidRPr="00B85D62">
              <w:rPr>
                <w:rFonts w:cs="Arial"/>
                <w:lang w:eastAsia="en-GB"/>
              </w:rPr>
              <w:t xml:space="preserve"> </w:t>
            </w:r>
            <w:r w:rsidRPr="00B85D62">
              <w:rPr>
                <w:rFonts w:cs="Arial"/>
                <w:lang w:eastAsia="en-GB"/>
              </w:rPr>
              <w:t>727.tw.</w:t>
            </w:r>
            <w:r w:rsidR="00B85D62" w:rsidRPr="00B85D62">
              <w:rPr>
                <w:rFonts w:cs="Arial"/>
                <w:lang w:eastAsia="en-GB"/>
              </w:rPr>
              <w:t xml:space="preserve"> </w:t>
            </w:r>
          </w:p>
        </w:tc>
      </w:tr>
      <w:tr w:rsidR="00902D4F" w:rsidRPr="00B85D62" w14:paraId="731AD9C3" w14:textId="77777777" w:rsidTr="00B85D62">
        <w:trPr>
          <w:cantSplit/>
        </w:trPr>
        <w:tc>
          <w:tcPr>
            <w:tcW w:w="0" w:type="auto"/>
            <w:shd w:val="clear" w:color="auto" w:fill="auto"/>
            <w:hideMark/>
          </w:tcPr>
          <w:p w14:paraId="41FF1D7B" w14:textId="656E3378" w:rsidR="00902D4F" w:rsidRPr="00B85D62" w:rsidRDefault="00902D4F" w:rsidP="00902D4F">
            <w:pPr>
              <w:rPr>
                <w:rFonts w:cs="Arial"/>
                <w:highlight w:val="green"/>
                <w:lang w:eastAsia="en-GB"/>
              </w:rPr>
            </w:pPr>
            <w:r w:rsidRPr="00B85D62">
              <w:rPr>
                <w:rFonts w:cs="Arial"/>
                <w:lang w:eastAsia="en-GB"/>
              </w:rPr>
              <w:t>regn727.tw.</w:t>
            </w:r>
            <w:r w:rsidR="00B85D62" w:rsidRPr="00B85D62">
              <w:rPr>
                <w:rFonts w:cs="Arial"/>
                <w:lang w:eastAsia="en-GB"/>
              </w:rPr>
              <w:t xml:space="preserve"> </w:t>
            </w:r>
          </w:p>
        </w:tc>
      </w:tr>
      <w:tr w:rsidR="00902D4F" w:rsidRPr="00B85D62" w14:paraId="55CE7D0F" w14:textId="77777777" w:rsidTr="00B85D62">
        <w:trPr>
          <w:cantSplit/>
        </w:trPr>
        <w:tc>
          <w:tcPr>
            <w:tcW w:w="0" w:type="auto"/>
            <w:shd w:val="clear" w:color="auto" w:fill="auto"/>
            <w:hideMark/>
          </w:tcPr>
          <w:p w14:paraId="68210520" w14:textId="77F99EFB" w:rsidR="00902D4F" w:rsidRPr="00B85D62" w:rsidRDefault="00902D4F" w:rsidP="00902D4F">
            <w:pPr>
              <w:rPr>
                <w:rFonts w:cs="Arial"/>
                <w:highlight w:val="green"/>
                <w:lang w:eastAsia="en-GB"/>
              </w:rPr>
            </w:pPr>
            <w:r w:rsidRPr="00B85D62">
              <w:rPr>
                <w:rFonts w:cs="Arial"/>
                <w:lang w:eastAsia="en-GB"/>
              </w:rPr>
              <w:t>sar</w:t>
            </w:r>
            <w:r w:rsidR="00B85D62" w:rsidRPr="00B85D62">
              <w:rPr>
                <w:rFonts w:cs="Arial"/>
                <w:lang w:eastAsia="en-GB"/>
              </w:rPr>
              <w:t xml:space="preserve"> </w:t>
            </w:r>
            <w:r w:rsidRPr="00B85D62">
              <w:rPr>
                <w:rFonts w:cs="Arial"/>
                <w:lang w:eastAsia="en-GB"/>
              </w:rPr>
              <w:t>236553.tw.</w:t>
            </w:r>
            <w:r w:rsidR="00B85D62" w:rsidRPr="00B85D62">
              <w:rPr>
                <w:rFonts w:cs="Arial"/>
                <w:lang w:eastAsia="en-GB"/>
              </w:rPr>
              <w:t xml:space="preserve"> </w:t>
            </w:r>
          </w:p>
        </w:tc>
      </w:tr>
      <w:tr w:rsidR="00902D4F" w:rsidRPr="00B85D62" w14:paraId="4062D1B0" w14:textId="77777777" w:rsidTr="00B85D62">
        <w:trPr>
          <w:cantSplit/>
        </w:trPr>
        <w:tc>
          <w:tcPr>
            <w:tcW w:w="0" w:type="auto"/>
            <w:shd w:val="clear" w:color="auto" w:fill="auto"/>
            <w:hideMark/>
          </w:tcPr>
          <w:p w14:paraId="6DA07985" w14:textId="5F6133D9" w:rsidR="00902D4F" w:rsidRPr="00B85D62" w:rsidRDefault="00902D4F" w:rsidP="00902D4F">
            <w:pPr>
              <w:rPr>
                <w:rFonts w:cs="Arial"/>
                <w:highlight w:val="green"/>
                <w:lang w:eastAsia="en-GB"/>
              </w:rPr>
            </w:pPr>
            <w:r w:rsidRPr="00B85D62">
              <w:rPr>
                <w:rFonts w:cs="Arial"/>
                <w:lang w:eastAsia="en-GB"/>
              </w:rPr>
              <w:t>sar236553.tw.</w:t>
            </w:r>
            <w:r w:rsidR="00B85D62" w:rsidRPr="00B85D62">
              <w:rPr>
                <w:rFonts w:cs="Arial"/>
                <w:lang w:eastAsia="en-GB"/>
              </w:rPr>
              <w:t xml:space="preserve"> </w:t>
            </w:r>
          </w:p>
        </w:tc>
      </w:tr>
      <w:tr w:rsidR="00902D4F" w:rsidRPr="00B85D62" w14:paraId="3939CF31" w14:textId="77777777" w:rsidTr="00B85D62">
        <w:trPr>
          <w:cantSplit/>
        </w:trPr>
        <w:tc>
          <w:tcPr>
            <w:tcW w:w="0" w:type="auto"/>
            <w:shd w:val="clear" w:color="auto" w:fill="auto"/>
            <w:hideMark/>
          </w:tcPr>
          <w:p w14:paraId="2A1315D8" w14:textId="6A655F74" w:rsidR="00902D4F" w:rsidRPr="00B85D62" w:rsidRDefault="00902D4F" w:rsidP="00902D4F">
            <w:pPr>
              <w:rPr>
                <w:rFonts w:cs="Arial"/>
                <w:highlight w:val="green"/>
                <w:lang w:eastAsia="en-GB"/>
              </w:rPr>
            </w:pPr>
            <w:r w:rsidRPr="00B85D62">
              <w:rPr>
                <w:rFonts w:cs="Arial"/>
                <w:lang w:eastAsia="en-GB"/>
              </w:rPr>
              <w:t>D05?IgG2.tw.</w:t>
            </w:r>
            <w:r w:rsidR="00B85D62" w:rsidRPr="00B85D62">
              <w:rPr>
                <w:rFonts w:cs="Arial"/>
                <w:lang w:eastAsia="en-GB"/>
              </w:rPr>
              <w:t xml:space="preserve"> </w:t>
            </w:r>
          </w:p>
        </w:tc>
      </w:tr>
      <w:tr w:rsidR="00902D4F" w:rsidRPr="00B85D62" w14:paraId="7F7EA7A8" w14:textId="77777777" w:rsidTr="00B85D62">
        <w:trPr>
          <w:cantSplit/>
        </w:trPr>
        <w:tc>
          <w:tcPr>
            <w:tcW w:w="0" w:type="auto"/>
            <w:shd w:val="clear" w:color="auto" w:fill="auto"/>
            <w:hideMark/>
          </w:tcPr>
          <w:p w14:paraId="79CE6ED4" w14:textId="3905972B" w:rsidR="00902D4F" w:rsidRPr="00B85D62" w:rsidRDefault="00902D4F" w:rsidP="00902D4F">
            <w:pPr>
              <w:rPr>
                <w:rFonts w:cs="Arial"/>
                <w:highlight w:val="green"/>
                <w:lang w:eastAsia="en-GB"/>
              </w:rPr>
            </w:pPr>
            <w:r w:rsidRPr="00B85D62">
              <w:rPr>
                <w:rFonts w:cs="Arial"/>
                <w:lang w:eastAsia="en-GB"/>
              </w:rPr>
              <w:t>LGT209.tw.</w:t>
            </w:r>
            <w:r w:rsidR="00B85D62" w:rsidRPr="00B85D62">
              <w:rPr>
                <w:rFonts w:cs="Arial"/>
                <w:lang w:eastAsia="en-GB"/>
              </w:rPr>
              <w:t xml:space="preserve"> </w:t>
            </w:r>
          </w:p>
        </w:tc>
      </w:tr>
      <w:tr w:rsidR="00902D4F" w:rsidRPr="00B85D62" w14:paraId="5991AE32" w14:textId="77777777" w:rsidTr="00B85D62">
        <w:trPr>
          <w:cantSplit/>
        </w:trPr>
        <w:tc>
          <w:tcPr>
            <w:tcW w:w="0" w:type="auto"/>
            <w:shd w:val="clear" w:color="auto" w:fill="auto"/>
            <w:hideMark/>
          </w:tcPr>
          <w:p w14:paraId="38F2E6EC" w14:textId="5BAE7F38" w:rsidR="00902D4F" w:rsidRPr="00B85D62" w:rsidRDefault="00902D4F" w:rsidP="00902D4F">
            <w:pPr>
              <w:rPr>
                <w:rFonts w:cs="Arial"/>
                <w:highlight w:val="green"/>
                <w:lang w:eastAsia="en-GB"/>
              </w:rPr>
            </w:pPr>
            <w:r w:rsidRPr="00B85D62">
              <w:rPr>
                <w:rFonts w:cs="Arial"/>
                <w:lang w:eastAsia="en-GB"/>
              </w:rPr>
              <w:t>RG7652.tw.</w:t>
            </w:r>
            <w:r w:rsidR="00B85D62" w:rsidRPr="00B85D62">
              <w:rPr>
                <w:rFonts w:cs="Arial"/>
                <w:lang w:eastAsia="en-GB"/>
              </w:rPr>
              <w:t xml:space="preserve"> </w:t>
            </w:r>
          </w:p>
        </w:tc>
      </w:tr>
      <w:tr w:rsidR="00902D4F" w:rsidRPr="00B85D62" w14:paraId="2A022668" w14:textId="77777777" w:rsidTr="00B85D62">
        <w:trPr>
          <w:cantSplit/>
        </w:trPr>
        <w:tc>
          <w:tcPr>
            <w:tcW w:w="0" w:type="auto"/>
            <w:shd w:val="clear" w:color="auto" w:fill="auto"/>
            <w:hideMark/>
          </w:tcPr>
          <w:p w14:paraId="44D4926D" w14:textId="2EA0C1C0" w:rsidR="00902D4F" w:rsidRPr="00B85D62" w:rsidRDefault="00902D4F" w:rsidP="00902D4F">
            <w:pPr>
              <w:rPr>
                <w:rFonts w:cs="Arial"/>
                <w:highlight w:val="green"/>
                <w:lang w:eastAsia="en-GB"/>
              </w:rPr>
            </w:pPr>
            <w:r w:rsidRPr="00B85D62">
              <w:rPr>
                <w:rFonts w:cs="Arial"/>
                <w:lang w:eastAsia="en-GB"/>
              </w:rPr>
              <w:t>Bococizumab.tw.</w:t>
            </w:r>
            <w:r w:rsidR="00B85D62" w:rsidRPr="00B85D62">
              <w:rPr>
                <w:rFonts w:cs="Arial"/>
                <w:lang w:eastAsia="en-GB"/>
              </w:rPr>
              <w:t xml:space="preserve"> </w:t>
            </w:r>
          </w:p>
        </w:tc>
      </w:tr>
      <w:tr w:rsidR="00902D4F" w:rsidRPr="00B85D62" w14:paraId="16AE4596" w14:textId="77777777" w:rsidTr="00B85D62">
        <w:trPr>
          <w:cantSplit/>
        </w:trPr>
        <w:tc>
          <w:tcPr>
            <w:tcW w:w="0" w:type="auto"/>
            <w:shd w:val="clear" w:color="auto" w:fill="auto"/>
            <w:hideMark/>
          </w:tcPr>
          <w:p w14:paraId="2F883036" w14:textId="0AD89FE0" w:rsidR="00902D4F" w:rsidRPr="00B85D62" w:rsidRDefault="00B85D62" w:rsidP="00902D4F">
            <w:pPr>
              <w:rPr>
                <w:rFonts w:cs="Arial"/>
                <w:highlight w:val="green"/>
                <w:lang w:eastAsia="en-GB"/>
              </w:rPr>
            </w:pPr>
            <w:r w:rsidRPr="00B85D62">
              <w:rPr>
                <w:rFonts w:cs="Arial"/>
                <w:lang w:eastAsia="en-GB"/>
              </w:rPr>
              <w:t>“</w:t>
            </w:r>
            <w:r w:rsidR="00902D4F" w:rsidRPr="00B85D62">
              <w:rPr>
                <w:rFonts w:cs="Arial"/>
                <w:lang w:eastAsia="en-GB"/>
              </w:rPr>
              <w:t>Pf</w:t>
            </w:r>
            <w:r w:rsidRPr="00B85D62">
              <w:rPr>
                <w:rFonts w:cs="Arial"/>
                <w:lang w:eastAsia="en-GB"/>
              </w:rPr>
              <w:t xml:space="preserve"> </w:t>
            </w:r>
            <w:r w:rsidR="00902D4F" w:rsidRPr="00B85D62">
              <w:rPr>
                <w:rFonts w:cs="Arial"/>
                <w:lang w:eastAsia="en-GB"/>
              </w:rPr>
              <w:t>04950615</w:t>
            </w:r>
            <w:r w:rsidRPr="00B85D62">
              <w:rPr>
                <w:rFonts w:cs="Arial"/>
                <w:lang w:eastAsia="en-GB"/>
              </w:rPr>
              <w:t>”</w:t>
            </w:r>
            <w:r w:rsidR="00902D4F" w:rsidRPr="00B85D62">
              <w:rPr>
                <w:rFonts w:cs="Arial"/>
                <w:lang w:eastAsia="en-GB"/>
              </w:rPr>
              <w:t>.tw.</w:t>
            </w:r>
            <w:r w:rsidRPr="00B85D62">
              <w:rPr>
                <w:rFonts w:cs="Arial"/>
                <w:lang w:eastAsia="en-GB"/>
              </w:rPr>
              <w:t xml:space="preserve"> </w:t>
            </w:r>
          </w:p>
        </w:tc>
      </w:tr>
      <w:tr w:rsidR="00902D4F" w:rsidRPr="00B85D62" w14:paraId="23AB936A" w14:textId="77777777" w:rsidTr="00B85D62">
        <w:trPr>
          <w:cantSplit/>
        </w:trPr>
        <w:tc>
          <w:tcPr>
            <w:tcW w:w="0" w:type="auto"/>
            <w:shd w:val="clear" w:color="auto" w:fill="auto"/>
            <w:hideMark/>
          </w:tcPr>
          <w:p w14:paraId="36B04749" w14:textId="3FC822F7" w:rsidR="00902D4F" w:rsidRPr="00B85D62" w:rsidRDefault="00902D4F" w:rsidP="00902D4F">
            <w:pPr>
              <w:rPr>
                <w:rFonts w:cs="Arial"/>
                <w:highlight w:val="green"/>
                <w:lang w:eastAsia="en-GB"/>
              </w:rPr>
            </w:pPr>
            <w:r w:rsidRPr="00B85D62">
              <w:rPr>
                <w:rFonts w:cs="Arial"/>
                <w:lang w:eastAsia="en-GB"/>
              </w:rPr>
              <w:t>pf04950615.tw.</w:t>
            </w:r>
            <w:r w:rsidR="00B85D62" w:rsidRPr="00B85D62">
              <w:rPr>
                <w:rFonts w:cs="Arial"/>
                <w:lang w:eastAsia="en-GB"/>
              </w:rPr>
              <w:t xml:space="preserve"> </w:t>
            </w:r>
          </w:p>
        </w:tc>
      </w:tr>
      <w:tr w:rsidR="00902D4F" w:rsidRPr="00B85D62" w14:paraId="0D4EFCF4" w14:textId="77777777" w:rsidTr="00B85D62">
        <w:trPr>
          <w:cantSplit/>
        </w:trPr>
        <w:tc>
          <w:tcPr>
            <w:tcW w:w="0" w:type="auto"/>
            <w:shd w:val="clear" w:color="auto" w:fill="auto"/>
            <w:hideMark/>
          </w:tcPr>
          <w:p w14:paraId="0842FF76" w14:textId="751F1663" w:rsidR="00902D4F" w:rsidRPr="00B85D62" w:rsidRDefault="00902D4F" w:rsidP="00902D4F">
            <w:pPr>
              <w:rPr>
                <w:rFonts w:cs="Arial"/>
                <w:highlight w:val="green"/>
                <w:lang w:eastAsia="en-GB"/>
              </w:rPr>
            </w:pPr>
            <w:r w:rsidRPr="00B85D62">
              <w:rPr>
                <w:rFonts w:cs="Arial"/>
                <w:lang w:eastAsia="en-GB"/>
              </w:rPr>
              <w:t>rn</w:t>
            </w:r>
            <w:r w:rsidR="00B85D62" w:rsidRPr="00B85D62">
              <w:rPr>
                <w:rFonts w:cs="Arial"/>
                <w:lang w:eastAsia="en-GB"/>
              </w:rPr>
              <w:t xml:space="preserve"> </w:t>
            </w:r>
            <w:r w:rsidRPr="00B85D62">
              <w:rPr>
                <w:rFonts w:cs="Arial"/>
                <w:lang w:eastAsia="en-GB"/>
              </w:rPr>
              <w:t>316.tw.</w:t>
            </w:r>
            <w:r w:rsidR="00B85D62" w:rsidRPr="00B85D62">
              <w:rPr>
                <w:rFonts w:cs="Arial"/>
                <w:lang w:eastAsia="en-GB"/>
              </w:rPr>
              <w:t xml:space="preserve"> </w:t>
            </w:r>
          </w:p>
        </w:tc>
      </w:tr>
      <w:tr w:rsidR="00902D4F" w:rsidRPr="00B85D62" w14:paraId="15AB6337" w14:textId="77777777" w:rsidTr="00B85D62">
        <w:trPr>
          <w:cantSplit/>
        </w:trPr>
        <w:tc>
          <w:tcPr>
            <w:tcW w:w="0" w:type="auto"/>
            <w:shd w:val="clear" w:color="auto" w:fill="auto"/>
            <w:hideMark/>
          </w:tcPr>
          <w:p w14:paraId="2A4AE120" w14:textId="7A295A41" w:rsidR="00902D4F" w:rsidRPr="00B85D62" w:rsidRDefault="00902D4F" w:rsidP="00902D4F">
            <w:pPr>
              <w:rPr>
                <w:rFonts w:cs="Arial"/>
                <w:highlight w:val="green"/>
                <w:lang w:eastAsia="en-GB"/>
              </w:rPr>
            </w:pPr>
            <w:r w:rsidRPr="00B85D62">
              <w:rPr>
                <w:rFonts w:cs="Arial"/>
                <w:lang w:eastAsia="en-GB"/>
              </w:rPr>
              <w:t>PCSK9</w:t>
            </w:r>
            <w:r w:rsidR="00B85D62" w:rsidRPr="00B85D62">
              <w:rPr>
                <w:rFonts w:cs="Arial"/>
                <w:lang w:eastAsia="en-GB"/>
              </w:rPr>
              <w:t xml:space="preserve"> </w:t>
            </w:r>
            <w:r w:rsidRPr="00B85D62">
              <w:rPr>
                <w:rFonts w:cs="Arial"/>
                <w:lang w:eastAsia="en-GB"/>
              </w:rPr>
              <w:t>antibod*.tw.</w:t>
            </w:r>
            <w:r w:rsidR="00B85D62" w:rsidRPr="00B85D62">
              <w:rPr>
                <w:rFonts w:cs="Arial"/>
                <w:lang w:eastAsia="en-GB"/>
              </w:rPr>
              <w:t xml:space="preserve"> </w:t>
            </w:r>
          </w:p>
        </w:tc>
      </w:tr>
      <w:tr w:rsidR="00902D4F" w:rsidRPr="00B85D62" w14:paraId="799FDA36" w14:textId="77777777" w:rsidTr="00B85D62">
        <w:trPr>
          <w:cantSplit/>
        </w:trPr>
        <w:tc>
          <w:tcPr>
            <w:tcW w:w="0" w:type="auto"/>
            <w:shd w:val="clear" w:color="auto" w:fill="auto"/>
            <w:hideMark/>
          </w:tcPr>
          <w:p w14:paraId="6B09FF9B" w14:textId="70FB6856" w:rsidR="00902D4F" w:rsidRPr="00B85D62" w:rsidRDefault="00902D4F" w:rsidP="00902D4F">
            <w:pPr>
              <w:rPr>
                <w:rFonts w:cs="Arial"/>
                <w:highlight w:val="green"/>
                <w:lang w:eastAsia="en-GB"/>
              </w:rPr>
            </w:pPr>
            <w:r w:rsidRPr="00B85D62">
              <w:rPr>
                <w:rFonts w:cs="Arial"/>
                <w:lang w:eastAsia="en-GB"/>
              </w:rPr>
              <w:t>Proprotein Convertases</w:t>
            </w:r>
            <w:r w:rsidR="00B85D62" w:rsidRPr="00B85D62">
              <w:rPr>
                <w:rFonts w:cs="Arial"/>
                <w:color w:val="00B0F0"/>
                <w:lang w:eastAsia="en-GB"/>
              </w:rPr>
              <w:t>/</w:t>
            </w:r>
          </w:p>
        </w:tc>
      </w:tr>
      <w:tr w:rsidR="00902D4F" w:rsidRPr="00B85D62" w14:paraId="3A88DC7D" w14:textId="77777777" w:rsidTr="00B85D62">
        <w:trPr>
          <w:cantSplit/>
        </w:trPr>
        <w:tc>
          <w:tcPr>
            <w:tcW w:w="0" w:type="auto"/>
            <w:shd w:val="clear" w:color="auto" w:fill="auto"/>
            <w:hideMark/>
          </w:tcPr>
          <w:p w14:paraId="04834208" w14:textId="1CC822CC" w:rsidR="00902D4F" w:rsidRPr="00B85D62" w:rsidRDefault="00902D4F" w:rsidP="00902D4F">
            <w:pPr>
              <w:rPr>
                <w:rFonts w:cs="Arial"/>
                <w:highlight w:val="green"/>
                <w:lang w:eastAsia="en-GB"/>
              </w:rPr>
            </w:pPr>
            <w:r w:rsidRPr="00B85D62">
              <w:rPr>
                <w:rFonts w:cs="Arial"/>
                <w:lang w:eastAsia="en-GB"/>
              </w:rPr>
              <w:t>proprotein convertase*.tw.</w:t>
            </w:r>
            <w:r w:rsidR="00B85D62" w:rsidRPr="00B85D62">
              <w:rPr>
                <w:rFonts w:cs="Arial"/>
                <w:lang w:eastAsia="en-GB"/>
              </w:rPr>
              <w:t xml:space="preserve"> </w:t>
            </w:r>
          </w:p>
        </w:tc>
      </w:tr>
      <w:tr w:rsidR="00902D4F" w:rsidRPr="00B85D62" w14:paraId="45C59181" w14:textId="77777777" w:rsidTr="00B85D62">
        <w:trPr>
          <w:cantSplit/>
        </w:trPr>
        <w:tc>
          <w:tcPr>
            <w:tcW w:w="0" w:type="auto"/>
            <w:shd w:val="clear" w:color="auto" w:fill="auto"/>
            <w:hideMark/>
          </w:tcPr>
          <w:p w14:paraId="2F7F6800" w14:textId="21894A4F" w:rsidR="00902D4F" w:rsidRPr="00B85D62" w:rsidRDefault="00902D4F" w:rsidP="00902D4F">
            <w:pPr>
              <w:rPr>
                <w:rFonts w:cs="Arial"/>
                <w:highlight w:val="green"/>
                <w:lang w:eastAsia="en-GB"/>
              </w:rPr>
            </w:pPr>
            <w:r w:rsidRPr="00B85D62">
              <w:rPr>
                <w:rFonts w:cs="Arial"/>
                <w:lang w:eastAsia="en-GB"/>
              </w:rPr>
              <w:t>pro-protein convertase*.tw.</w:t>
            </w:r>
            <w:r w:rsidR="00B85D62" w:rsidRPr="00B85D62">
              <w:rPr>
                <w:rFonts w:cs="Arial"/>
                <w:lang w:eastAsia="en-GB"/>
              </w:rPr>
              <w:t xml:space="preserve"> </w:t>
            </w:r>
          </w:p>
        </w:tc>
      </w:tr>
      <w:tr w:rsidR="00902D4F" w:rsidRPr="00B85D62" w14:paraId="10EF2D85" w14:textId="77777777" w:rsidTr="00B85D62">
        <w:trPr>
          <w:cantSplit/>
        </w:trPr>
        <w:tc>
          <w:tcPr>
            <w:tcW w:w="0" w:type="auto"/>
            <w:shd w:val="clear" w:color="auto" w:fill="auto"/>
            <w:hideMark/>
          </w:tcPr>
          <w:p w14:paraId="476BE2F8" w14:textId="000BD353" w:rsidR="00902D4F" w:rsidRPr="00B85D62" w:rsidRDefault="00902D4F" w:rsidP="00902D4F">
            <w:pPr>
              <w:rPr>
                <w:rFonts w:cs="Arial"/>
                <w:highlight w:val="green"/>
                <w:lang w:eastAsia="en-GB"/>
              </w:rPr>
            </w:pPr>
            <w:r w:rsidRPr="00B85D62">
              <w:rPr>
                <w:rFonts w:cs="Arial"/>
                <w:lang w:eastAsia="en-GB"/>
              </w:rPr>
              <w:t>pcsk9*.tw.</w:t>
            </w:r>
            <w:r w:rsidR="00B85D62" w:rsidRPr="00B85D62">
              <w:rPr>
                <w:rFonts w:cs="Arial"/>
                <w:lang w:eastAsia="en-GB"/>
              </w:rPr>
              <w:t xml:space="preserve"> </w:t>
            </w:r>
          </w:p>
        </w:tc>
      </w:tr>
      <w:tr w:rsidR="00902D4F" w:rsidRPr="00B85D62" w14:paraId="443389C9" w14:textId="77777777" w:rsidTr="00B85D62">
        <w:trPr>
          <w:cantSplit/>
        </w:trPr>
        <w:tc>
          <w:tcPr>
            <w:tcW w:w="0" w:type="auto"/>
            <w:shd w:val="clear" w:color="auto" w:fill="auto"/>
            <w:hideMark/>
          </w:tcPr>
          <w:p w14:paraId="42B21099" w14:textId="5C7D5735" w:rsidR="00902D4F" w:rsidRPr="00B85D62" w:rsidRDefault="00902D4F" w:rsidP="00902D4F">
            <w:pPr>
              <w:rPr>
                <w:rFonts w:cs="Arial"/>
                <w:highlight w:val="green"/>
                <w:lang w:eastAsia="en-GB"/>
              </w:rPr>
            </w:pPr>
            <w:r w:rsidRPr="00B85D62">
              <w:rPr>
                <w:rFonts w:cs="Arial"/>
                <w:lang w:eastAsia="en-GB"/>
              </w:rPr>
              <w:t>serine proteinase*.tw.</w:t>
            </w:r>
            <w:r w:rsidR="00B85D62" w:rsidRPr="00B85D62">
              <w:rPr>
                <w:rFonts w:cs="Arial"/>
                <w:lang w:eastAsia="en-GB"/>
              </w:rPr>
              <w:t xml:space="preserve"> </w:t>
            </w:r>
          </w:p>
        </w:tc>
      </w:tr>
      <w:tr w:rsidR="00902D4F" w:rsidRPr="00B85D62" w14:paraId="28A5E492" w14:textId="77777777" w:rsidTr="00B85D62">
        <w:trPr>
          <w:cantSplit/>
        </w:trPr>
        <w:tc>
          <w:tcPr>
            <w:tcW w:w="0" w:type="auto"/>
            <w:shd w:val="clear" w:color="auto" w:fill="auto"/>
            <w:hideMark/>
          </w:tcPr>
          <w:p w14:paraId="0839B372" w14:textId="0BF6343B" w:rsidR="00902D4F" w:rsidRPr="00B85D62" w:rsidRDefault="00902D4F" w:rsidP="00902D4F">
            <w:pPr>
              <w:rPr>
                <w:rFonts w:cs="Arial"/>
                <w:highlight w:val="green"/>
                <w:lang w:eastAsia="en-GB"/>
              </w:rPr>
            </w:pPr>
            <w:r w:rsidRPr="00B85D62">
              <w:rPr>
                <w:rFonts w:cs="Arial"/>
                <w:lang w:eastAsia="en-GB"/>
              </w:rPr>
              <w:t>exp</w:t>
            </w:r>
            <w:r w:rsidR="00B85D62" w:rsidRPr="00B85D62">
              <w:rPr>
                <w:rFonts w:cs="Arial"/>
                <w:lang w:eastAsia="en-GB"/>
              </w:rPr>
              <w:t xml:space="preserve"> </w:t>
            </w:r>
            <w:r w:rsidRPr="00B85D62">
              <w:rPr>
                <w:rFonts w:cs="Arial"/>
                <w:lang w:eastAsia="en-GB"/>
              </w:rPr>
              <w:t>Hydroxymethylglutaryl-CoA Reductase Inhibitors</w:t>
            </w:r>
            <w:r w:rsidR="00B85D62" w:rsidRPr="00B85D62">
              <w:rPr>
                <w:rFonts w:cs="Arial"/>
                <w:color w:val="00B0F0"/>
                <w:lang w:eastAsia="en-GB"/>
              </w:rPr>
              <w:t>/</w:t>
            </w:r>
          </w:p>
        </w:tc>
      </w:tr>
      <w:tr w:rsidR="00902D4F" w:rsidRPr="00B85D62" w14:paraId="1D8644B7" w14:textId="77777777" w:rsidTr="00B85D62">
        <w:trPr>
          <w:cantSplit/>
        </w:trPr>
        <w:tc>
          <w:tcPr>
            <w:tcW w:w="0" w:type="auto"/>
            <w:shd w:val="clear" w:color="auto" w:fill="auto"/>
            <w:hideMark/>
          </w:tcPr>
          <w:p w14:paraId="7F3E8BCD" w14:textId="5DD15875" w:rsidR="00902D4F" w:rsidRPr="00B85D62" w:rsidRDefault="00902D4F" w:rsidP="00902D4F">
            <w:pPr>
              <w:rPr>
                <w:rFonts w:cs="Arial"/>
                <w:highlight w:val="green"/>
                <w:lang w:eastAsia="en-GB"/>
              </w:rPr>
            </w:pPr>
            <w:r w:rsidRPr="00B85D62">
              <w:rPr>
                <w:rFonts w:cs="Arial"/>
                <w:lang w:eastAsia="en-GB"/>
              </w:rPr>
              <w:t>(statin</w:t>
            </w:r>
            <w:r w:rsidR="00B85D62" w:rsidRPr="00B85D62">
              <w:rPr>
                <w:rFonts w:cs="Arial"/>
                <w:lang w:eastAsia="en-GB"/>
              </w:rPr>
              <w:t xml:space="preserve"> </w:t>
            </w:r>
            <w:r w:rsidRPr="00B85D62">
              <w:rPr>
                <w:rFonts w:cs="Arial"/>
                <w:lang w:eastAsia="en-GB"/>
              </w:rPr>
              <w:t>or statins).tw.</w:t>
            </w:r>
            <w:r w:rsidR="00B85D62" w:rsidRPr="00B85D62">
              <w:rPr>
                <w:rFonts w:cs="Arial"/>
                <w:lang w:eastAsia="en-GB"/>
              </w:rPr>
              <w:t xml:space="preserve"> </w:t>
            </w:r>
          </w:p>
        </w:tc>
      </w:tr>
      <w:tr w:rsidR="00902D4F" w:rsidRPr="00B85D62" w14:paraId="7A42D58C" w14:textId="77777777" w:rsidTr="00B85D62">
        <w:trPr>
          <w:cantSplit/>
        </w:trPr>
        <w:tc>
          <w:tcPr>
            <w:tcW w:w="0" w:type="auto"/>
            <w:shd w:val="clear" w:color="auto" w:fill="auto"/>
            <w:hideMark/>
          </w:tcPr>
          <w:p w14:paraId="4306E318" w14:textId="57EE892A" w:rsidR="00902D4F" w:rsidRPr="00B85D62" w:rsidRDefault="00902D4F" w:rsidP="00902D4F">
            <w:pPr>
              <w:rPr>
                <w:rFonts w:cs="Arial"/>
                <w:highlight w:val="green"/>
                <w:lang w:eastAsia="en-GB"/>
              </w:rPr>
            </w:pPr>
            <w:r w:rsidRPr="00B85D62">
              <w:rPr>
                <w:rFonts w:cs="Arial"/>
                <w:lang w:eastAsia="en-GB"/>
              </w:rPr>
              <w:t>atorvastatin.tw.</w:t>
            </w:r>
            <w:r w:rsidR="00B85D62" w:rsidRPr="00B85D62">
              <w:rPr>
                <w:rFonts w:cs="Arial"/>
                <w:lang w:eastAsia="en-GB"/>
              </w:rPr>
              <w:t xml:space="preserve"> </w:t>
            </w:r>
          </w:p>
        </w:tc>
      </w:tr>
      <w:tr w:rsidR="00902D4F" w:rsidRPr="00B85D62" w14:paraId="440D106B" w14:textId="77777777" w:rsidTr="00B85D62">
        <w:trPr>
          <w:cantSplit/>
        </w:trPr>
        <w:tc>
          <w:tcPr>
            <w:tcW w:w="0" w:type="auto"/>
            <w:shd w:val="clear" w:color="auto" w:fill="auto"/>
            <w:hideMark/>
          </w:tcPr>
          <w:p w14:paraId="71076726" w14:textId="26981FBF" w:rsidR="00902D4F" w:rsidRPr="00B85D62" w:rsidRDefault="00902D4F" w:rsidP="00902D4F">
            <w:pPr>
              <w:rPr>
                <w:rFonts w:cs="Arial"/>
                <w:highlight w:val="green"/>
                <w:lang w:eastAsia="en-GB"/>
              </w:rPr>
            </w:pPr>
            <w:r w:rsidRPr="00B85D62">
              <w:rPr>
                <w:rFonts w:cs="Arial"/>
                <w:lang w:eastAsia="en-GB"/>
              </w:rPr>
              <w:t>cerivastatin.tw.</w:t>
            </w:r>
            <w:r w:rsidR="00B85D62" w:rsidRPr="00B85D62">
              <w:rPr>
                <w:rFonts w:cs="Arial"/>
                <w:lang w:eastAsia="en-GB"/>
              </w:rPr>
              <w:t xml:space="preserve"> </w:t>
            </w:r>
          </w:p>
        </w:tc>
      </w:tr>
      <w:tr w:rsidR="00902D4F" w:rsidRPr="00B85D62" w14:paraId="42D62FAF" w14:textId="77777777" w:rsidTr="00B85D62">
        <w:trPr>
          <w:cantSplit/>
        </w:trPr>
        <w:tc>
          <w:tcPr>
            <w:tcW w:w="0" w:type="auto"/>
            <w:shd w:val="clear" w:color="auto" w:fill="auto"/>
            <w:hideMark/>
          </w:tcPr>
          <w:p w14:paraId="443BBD33" w14:textId="59D543C4" w:rsidR="00902D4F" w:rsidRPr="00B85D62" w:rsidRDefault="00902D4F" w:rsidP="00902D4F">
            <w:pPr>
              <w:rPr>
                <w:rFonts w:cs="Arial"/>
                <w:highlight w:val="green"/>
                <w:lang w:eastAsia="en-GB"/>
              </w:rPr>
            </w:pPr>
            <w:r w:rsidRPr="00B85D62">
              <w:rPr>
                <w:rFonts w:cs="Arial"/>
                <w:lang w:eastAsia="en-GB"/>
              </w:rPr>
              <w:t>fluvastatin.tw.</w:t>
            </w:r>
            <w:r w:rsidR="00B85D62" w:rsidRPr="00B85D62">
              <w:rPr>
                <w:rFonts w:cs="Arial"/>
                <w:lang w:eastAsia="en-GB"/>
              </w:rPr>
              <w:t xml:space="preserve"> </w:t>
            </w:r>
          </w:p>
        </w:tc>
      </w:tr>
      <w:tr w:rsidR="00902D4F" w:rsidRPr="00B85D62" w14:paraId="70B3C58A" w14:textId="77777777" w:rsidTr="00B85D62">
        <w:trPr>
          <w:cantSplit/>
        </w:trPr>
        <w:tc>
          <w:tcPr>
            <w:tcW w:w="0" w:type="auto"/>
            <w:shd w:val="clear" w:color="auto" w:fill="auto"/>
            <w:hideMark/>
          </w:tcPr>
          <w:p w14:paraId="2DF02477" w14:textId="35F1C59A" w:rsidR="00902D4F" w:rsidRPr="00B85D62" w:rsidRDefault="00902D4F" w:rsidP="00902D4F">
            <w:pPr>
              <w:rPr>
                <w:rFonts w:cs="Arial"/>
                <w:highlight w:val="green"/>
                <w:lang w:eastAsia="en-GB"/>
              </w:rPr>
            </w:pPr>
            <w:r w:rsidRPr="00B85D62">
              <w:rPr>
                <w:rFonts w:cs="Arial"/>
                <w:lang w:eastAsia="en-GB"/>
              </w:rPr>
              <w:t>lovastatin.tw.</w:t>
            </w:r>
            <w:r w:rsidR="00B85D62" w:rsidRPr="00B85D62">
              <w:rPr>
                <w:rFonts w:cs="Arial"/>
                <w:lang w:eastAsia="en-GB"/>
              </w:rPr>
              <w:t xml:space="preserve"> </w:t>
            </w:r>
          </w:p>
        </w:tc>
      </w:tr>
      <w:tr w:rsidR="00902D4F" w:rsidRPr="00B85D62" w14:paraId="257EA67A" w14:textId="77777777" w:rsidTr="00B85D62">
        <w:trPr>
          <w:cantSplit/>
        </w:trPr>
        <w:tc>
          <w:tcPr>
            <w:tcW w:w="0" w:type="auto"/>
            <w:shd w:val="clear" w:color="auto" w:fill="auto"/>
            <w:hideMark/>
          </w:tcPr>
          <w:p w14:paraId="3BAE36F2" w14:textId="1C77A710" w:rsidR="00902D4F" w:rsidRPr="00B85D62" w:rsidRDefault="00902D4F" w:rsidP="00902D4F">
            <w:pPr>
              <w:rPr>
                <w:rFonts w:cs="Arial"/>
                <w:highlight w:val="green"/>
                <w:lang w:eastAsia="en-GB"/>
              </w:rPr>
            </w:pPr>
            <w:r w:rsidRPr="00B85D62">
              <w:rPr>
                <w:rFonts w:cs="Arial"/>
                <w:lang w:eastAsia="en-GB"/>
              </w:rPr>
              <w:t>pravastatin.tw.</w:t>
            </w:r>
            <w:r w:rsidR="00B85D62" w:rsidRPr="00B85D62">
              <w:rPr>
                <w:rFonts w:cs="Arial"/>
                <w:lang w:eastAsia="en-GB"/>
              </w:rPr>
              <w:t xml:space="preserve"> </w:t>
            </w:r>
          </w:p>
        </w:tc>
      </w:tr>
      <w:tr w:rsidR="00902D4F" w:rsidRPr="00B85D62" w14:paraId="5AD4FB76" w14:textId="77777777" w:rsidTr="00B85D62">
        <w:trPr>
          <w:cantSplit/>
        </w:trPr>
        <w:tc>
          <w:tcPr>
            <w:tcW w:w="0" w:type="auto"/>
            <w:shd w:val="clear" w:color="auto" w:fill="auto"/>
            <w:hideMark/>
          </w:tcPr>
          <w:p w14:paraId="06C55184" w14:textId="777891B0" w:rsidR="00902D4F" w:rsidRPr="00B85D62" w:rsidRDefault="00902D4F" w:rsidP="00902D4F">
            <w:pPr>
              <w:rPr>
                <w:rFonts w:cs="Arial"/>
                <w:highlight w:val="green"/>
                <w:lang w:eastAsia="en-GB"/>
              </w:rPr>
            </w:pPr>
            <w:r w:rsidRPr="00B85D62">
              <w:rPr>
                <w:rFonts w:cs="Arial"/>
                <w:lang w:eastAsia="en-GB"/>
              </w:rPr>
              <w:t>simvastatin.tw.</w:t>
            </w:r>
            <w:r w:rsidR="00B85D62" w:rsidRPr="00B85D62">
              <w:rPr>
                <w:rFonts w:cs="Arial"/>
                <w:lang w:eastAsia="en-GB"/>
              </w:rPr>
              <w:t xml:space="preserve"> </w:t>
            </w:r>
          </w:p>
        </w:tc>
      </w:tr>
      <w:tr w:rsidR="00902D4F" w:rsidRPr="00B85D62" w14:paraId="50875178" w14:textId="77777777" w:rsidTr="00B85D62">
        <w:trPr>
          <w:cantSplit/>
        </w:trPr>
        <w:tc>
          <w:tcPr>
            <w:tcW w:w="0" w:type="auto"/>
            <w:shd w:val="clear" w:color="auto" w:fill="auto"/>
            <w:hideMark/>
          </w:tcPr>
          <w:p w14:paraId="37BFB4C9" w14:textId="50233227" w:rsidR="00902D4F" w:rsidRPr="00B85D62" w:rsidRDefault="00902D4F" w:rsidP="00902D4F">
            <w:pPr>
              <w:rPr>
                <w:rFonts w:cs="Arial"/>
                <w:highlight w:val="green"/>
                <w:lang w:eastAsia="en-GB"/>
              </w:rPr>
            </w:pPr>
            <w:r w:rsidRPr="00B85D62">
              <w:rPr>
                <w:rFonts w:cs="Arial"/>
                <w:lang w:eastAsia="en-GB"/>
              </w:rPr>
              <w:t>lipitor.tw.</w:t>
            </w:r>
            <w:r w:rsidR="00B85D62" w:rsidRPr="00B85D62">
              <w:rPr>
                <w:rFonts w:cs="Arial"/>
                <w:lang w:eastAsia="en-GB"/>
              </w:rPr>
              <w:t xml:space="preserve"> </w:t>
            </w:r>
          </w:p>
        </w:tc>
      </w:tr>
      <w:tr w:rsidR="00902D4F" w:rsidRPr="00B85D62" w14:paraId="1A00023B" w14:textId="77777777" w:rsidTr="00B85D62">
        <w:trPr>
          <w:cantSplit/>
        </w:trPr>
        <w:tc>
          <w:tcPr>
            <w:tcW w:w="0" w:type="auto"/>
            <w:shd w:val="clear" w:color="auto" w:fill="auto"/>
            <w:hideMark/>
          </w:tcPr>
          <w:p w14:paraId="724D4940" w14:textId="6D68638B" w:rsidR="00902D4F" w:rsidRPr="00B85D62" w:rsidRDefault="00902D4F" w:rsidP="00902D4F">
            <w:pPr>
              <w:rPr>
                <w:rFonts w:cs="Arial"/>
                <w:highlight w:val="green"/>
                <w:lang w:eastAsia="en-GB"/>
              </w:rPr>
            </w:pPr>
            <w:r w:rsidRPr="00B85D62">
              <w:rPr>
                <w:rFonts w:cs="Arial"/>
                <w:lang w:eastAsia="en-GB"/>
              </w:rPr>
              <w:t>baycol.tw.</w:t>
            </w:r>
            <w:r w:rsidR="00B85D62" w:rsidRPr="00B85D62">
              <w:rPr>
                <w:rFonts w:cs="Arial"/>
                <w:lang w:eastAsia="en-GB"/>
              </w:rPr>
              <w:t xml:space="preserve"> </w:t>
            </w:r>
          </w:p>
        </w:tc>
      </w:tr>
      <w:tr w:rsidR="00902D4F" w:rsidRPr="00B85D62" w14:paraId="0F36A218" w14:textId="77777777" w:rsidTr="00B85D62">
        <w:trPr>
          <w:cantSplit/>
        </w:trPr>
        <w:tc>
          <w:tcPr>
            <w:tcW w:w="0" w:type="auto"/>
            <w:shd w:val="clear" w:color="auto" w:fill="auto"/>
            <w:hideMark/>
          </w:tcPr>
          <w:p w14:paraId="0D624D28" w14:textId="4CEB9255" w:rsidR="00902D4F" w:rsidRPr="00B85D62" w:rsidRDefault="00902D4F" w:rsidP="00902D4F">
            <w:pPr>
              <w:rPr>
                <w:rFonts w:cs="Arial"/>
                <w:highlight w:val="green"/>
                <w:lang w:eastAsia="en-GB"/>
              </w:rPr>
            </w:pPr>
            <w:r w:rsidRPr="00B85D62">
              <w:rPr>
                <w:rFonts w:cs="Arial"/>
                <w:lang w:eastAsia="en-GB"/>
              </w:rPr>
              <w:t>lescol.tw.</w:t>
            </w:r>
            <w:r w:rsidR="00B85D62" w:rsidRPr="00B85D62">
              <w:rPr>
                <w:rFonts w:cs="Arial"/>
                <w:lang w:eastAsia="en-GB"/>
              </w:rPr>
              <w:t xml:space="preserve"> </w:t>
            </w:r>
          </w:p>
        </w:tc>
      </w:tr>
      <w:tr w:rsidR="00902D4F" w:rsidRPr="00B85D62" w14:paraId="01C41276" w14:textId="77777777" w:rsidTr="00B85D62">
        <w:trPr>
          <w:cantSplit/>
        </w:trPr>
        <w:tc>
          <w:tcPr>
            <w:tcW w:w="0" w:type="auto"/>
            <w:shd w:val="clear" w:color="auto" w:fill="auto"/>
            <w:hideMark/>
          </w:tcPr>
          <w:p w14:paraId="3DF52CCA" w14:textId="7C8EAEFD" w:rsidR="00902D4F" w:rsidRPr="00B85D62" w:rsidRDefault="00902D4F" w:rsidP="00902D4F">
            <w:pPr>
              <w:rPr>
                <w:rFonts w:cs="Arial"/>
                <w:highlight w:val="green"/>
                <w:lang w:eastAsia="en-GB"/>
              </w:rPr>
            </w:pPr>
            <w:r w:rsidRPr="00B85D62">
              <w:rPr>
                <w:rFonts w:cs="Arial"/>
                <w:lang w:eastAsia="en-GB"/>
              </w:rPr>
              <w:t>mevacor.tw.</w:t>
            </w:r>
            <w:r w:rsidR="00B85D62" w:rsidRPr="00B85D62">
              <w:rPr>
                <w:rFonts w:cs="Arial"/>
                <w:lang w:eastAsia="en-GB"/>
              </w:rPr>
              <w:t xml:space="preserve"> </w:t>
            </w:r>
          </w:p>
        </w:tc>
      </w:tr>
      <w:tr w:rsidR="00902D4F" w:rsidRPr="00B85D62" w14:paraId="073F9C6D" w14:textId="77777777" w:rsidTr="00B85D62">
        <w:trPr>
          <w:cantSplit/>
        </w:trPr>
        <w:tc>
          <w:tcPr>
            <w:tcW w:w="0" w:type="auto"/>
            <w:shd w:val="clear" w:color="auto" w:fill="auto"/>
            <w:hideMark/>
          </w:tcPr>
          <w:p w14:paraId="5A04DA82" w14:textId="7DFFBEC4" w:rsidR="00902D4F" w:rsidRPr="00B85D62" w:rsidRDefault="00902D4F" w:rsidP="00902D4F">
            <w:pPr>
              <w:rPr>
                <w:rFonts w:cs="Arial"/>
                <w:highlight w:val="green"/>
                <w:lang w:eastAsia="en-GB"/>
              </w:rPr>
            </w:pPr>
            <w:r w:rsidRPr="00B85D62">
              <w:rPr>
                <w:rFonts w:cs="Arial"/>
                <w:lang w:eastAsia="en-GB"/>
              </w:rPr>
              <w:t>altocor.tw.</w:t>
            </w:r>
            <w:r w:rsidR="00B85D62" w:rsidRPr="00B85D62">
              <w:rPr>
                <w:rFonts w:cs="Arial"/>
                <w:lang w:eastAsia="en-GB"/>
              </w:rPr>
              <w:t xml:space="preserve"> </w:t>
            </w:r>
          </w:p>
        </w:tc>
      </w:tr>
      <w:tr w:rsidR="00902D4F" w:rsidRPr="00B85D62" w14:paraId="4FF2815B" w14:textId="77777777" w:rsidTr="00B85D62">
        <w:trPr>
          <w:cantSplit/>
        </w:trPr>
        <w:tc>
          <w:tcPr>
            <w:tcW w:w="0" w:type="auto"/>
            <w:shd w:val="clear" w:color="auto" w:fill="auto"/>
            <w:hideMark/>
          </w:tcPr>
          <w:p w14:paraId="2E60BAFE" w14:textId="4311B414" w:rsidR="00902D4F" w:rsidRPr="00B85D62" w:rsidRDefault="00902D4F" w:rsidP="00902D4F">
            <w:pPr>
              <w:rPr>
                <w:rFonts w:cs="Arial"/>
                <w:highlight w:val="green"/>
                <w:lang w:eastAsia="en-GB"/>
              </w:rPr>
            </w:pPr>
            <w:r w:rsidRPr="00B85D62">
              <w:rPr>
                <w:rFonts w:cs="Arial"/>
                <w:lang w:eastAsia="en-GB"/>
              </w:rPr>
              <w:t>pravachol.tw.</w:t>
            </w:r>
            <w:r w:rsidR="00B85D62" w:rsidRPr="00B85D62">
              <w:rPr>
                <w:rFonts w:cs="Arial"/>
                <w:lang w:eastAsia="en-GB"/>
              </w:rPr>
              <w:t xml:space="preserve"> </w:t>
            </w:r>
          </w:p>
        </w:tc>
      </w:tr>
      <w:tr w:rsidR="00902D4F" w:rsidRPr="00B85D62" w14:paraId="72BD5CFD" w14:textId="77777777" w:rsidTr="00B85D62">
        <w:trPr>
          <w:cantSplit/>
        </w:trPr>
        <w:tc>
          <w:tcPr>
            <w:tcW w:w="0" w:type="auto"/>
            <w:shd w:val="clear" w:color="auto" w:fill="auto"/>
            <w:hideMark/>
          </w:tcPr>
          <w:p w14:paraId="25596D28" w14:textId="4E7A4182" w:rsidR="00902D4F" w:rsidRPr="00B85D62" w:rsidRDefault="00902D4F" w:rsidP="00902D4F">
            <w:pPr>
              <w:rPr>
                <w:rFonts w:cs="Arial"/>
                <w:highlight w:val="green"/>
                <w:lang w:eastAsia="en-GB"/>
              </w:rPr>
            </w:pPr>
            <w:r w:rsidRPr="00B85D62">
              <w:rPr>
                <w:rFonts w:cs="Arial"/>
                <w:lang w:eastAsia="en-GB"/>
              </w:rPr>
              <w:t>lipostat.tw.</w:t>
            </w:r>
            <w:r w:rsidR="00B85D62" w:rsidRPr="00B85D62">
              <w:rPr>
                <w:rFonts w:cs="Arial"/>
                <w:lang w:eastAsia="en-GB"/>
              </w:rPr>
              <w:t xml:space="preserve"> </w:t>
            </w:r>
          </w:p>
        </w:tc>
      </w:tr>
      <w:tr w:rsidR="00902D4F" w:rsidRPr="00B85D62" w14:paraId="0F56315B" w14:textId="77777777" w:rsidTr="00B85D62">
        <w:trPr>
          <w:cantSplit/>
        </w:trPr>
        <w:tc>
          <w:tcPr>
            <w:tcW w:w="0" w:type="auto"/>
            <w:shd w:val="clear" w:color="auto" w:fill="auto"/>
            <w:hideMark/>
          </w:tcPr>
          <w:p w14:paraId="65A53E5C" w14:textId="23ED0AC0" w:rsidR="00902D4F" w:rsidRPr="00B85D62" w:rsidRDefault="00902D4F" w:rsidP="00902D4F">
            <w:pPr>
              <w:rPr>
                <w:rFonts w:cs="Arial"/>
                <w:highlight w:val="green"/>
                <w:lang w:eastAsia="en-GB"/>
              </w:rPr>
            </w:pPr>
            <w:r w:rsidRPr="00B85D62">
              <w:rPr>
                <w:rFonts w:cs="Arial"/>
                <w:lang w:eastAsia="en-GB"/>
              </w:rPr>
              <w:t>zocor.tw.</w:t>
            </w:r>
            <w:r w:rsidR="00B85D62" w:rsidRPr="00B85D62">
              <w:rPr>
                <w:rFonts w:cs="Arial"/>
                <w:lang w:eastAsia="en-GB"/>
              </w:rPr>
              <w:t xml:space="preserve"> </w:t>
            </w:r>
          </w:p>
        </w:tc>
      </w:tr>
      <w:tr w:rsidR="00902D4F" w:rsidRPr="00B85D62" w14:paraId="1AA315AC" w14:textId="77777777" w:rsidTr="00B85D62">
        <w:trPr>
          <w:cantSplit/>
        </w:trPr>
        <w:tc>
          <w:tcPr>
            <w:tcW w:w="0" w:type="auto"/>
            <w:shd w:val="clear" w:color="auto" w:fill="auto"/>
            <w:hideMark/>
          </w:tcPr>
          <w:p w14:paraId="78B0330B" w14:textId="514FBB8E" w:rsidR="00902D4F" w:rsidRPr="00B85D62" w:rsidRDefault="00902D4F" w:rsidP="00902D4F">
            <w:pPr>
              <w:rPr>
                <w:rFonts w:cs="Arial"/>
                <w:highlight w:val="green"/>
                <w:lang w:eastAsia="en-GB"/>
              </w:rPr>
            </w:pPr>
            <w:r w:rsidRPr="00B85D62">
              <w:rPr>
                <w:rFonts w:cs="Arial"/>
                <w:lang w:eastAsia="en-GB"/>
              </w:rPr>
              <w:t>mevinolin.tw.</w:t>
            </w:r>
            <w:r w:rsidR="00B85D62" w:rsidRPr="00B85D62">
              <w:rPr>
                <w:rFonts w:cs="Arial"/>
                <w:lang w:eastAsia="en-GB"/>
              </w:rPr>
              <w:t xml:space="preserve"> </w:t>
            </w:r>
          </w:p>
        </w:tc>
      </w:tr>
      <w:tr w:rsidR="00902D4F" w:rsidRPr="00B85D62" w14:paraId="2E03AF1F" w14:textId="77777777" w:rsidTr="00B85D62">
        <w:trPr>
          <w:cantSplit/>
        </w:trPr>
        <w:tc>
          <w:tcPr>
            <w:tcW w:w="0" w:type="auto"/>
            <w:shd w:val="clear" w:color="auto" w:fill="auto"/>
            <w:hideMark/>
          </w:tcPr>
          <w:p w14:paraId="7D8337E1" w14:textId="40F258B1" w:rsidR="00902D4F" w:rsidRPr="00B85D62" w:rsidRDefault="00902D4F" w:rsidP="00902D4F">
            <w:pPr>
              <w:rPr>
                <w:rFonts w:cs="Arial"/>
                <w:highlight w:val="green"/>
                <w:lang w:eastAsia="en-GB"/>
              </w:rPr>
            </w:pPr>
            <w:r w:rsidRPr="00B85D62">
              <w:rPr>
                <w:rFonts w:cs="Arial"/>
                <w:lang w:eastAsia="en-GB"/>
              </w:rPr>
              <w:t>compactin.tw.</w:t>
            </w:r>
            <w:r w:rsidR="00B85D62" w:rsidRPr="00B85D62">
              <w:rPr>
                <w:rFonts w:cs="Arial"/>
                <w:lang w:eastAsia="en-GB"/>
              </w:rPr>
              <w:t xml:space="preserve"> </w:t>
            </w:r>
          </w:p>
        </w:tc>
      </w:tr>
      <w:tr w:rsidR="00902D4F" w:rsidRPr="00B85D62" w14:paraId="709FE0AC" w14:textId="77777777" w:rsidTr="00B85D62">
        <w:trPr>
          <w:cantSplit/>
        </w:trPr>
        <w:tc>
          <w:tcPr>
            <w:tcW w:w="0" w:type="auto"/>
            <w:shd w:val="clear" w:color="auto" w:fill="auto"/>
            <w:hideMark/>
          </w:tcPr>
          <w:p w14:paraId="5E61FFD1" w14:textId="62DC235E" w:rsidR="00902D4F" w:rsidRPr="00B85D62" w:rsidRDefault="00902D4F" w:rsidP="00902D4F">
            <w:pPr>
              <w:rPr>
                <w:rFonts w:cs="Arial"/>
                <w:highlight w:val="green"/>
                <w:lang w:eastAsia="en-GB"/>
              </w:rPr>
            </w:pPr>
            <w:r w:rsidRPr="00B85D62">
              <w:rPr>
                <w:rFonts w:cs="Arial"/>
                <w:lang w:eastAsia="en-GB"/>
              </w:rPr>
              <w:t>fluindostatin.tw.</w:t>
            </w:r>
            <w:r w:rsidR="00B85D62" w:rsidRPr="00B85D62">
              <w:rPr>
                <w:rFonts w:cs="Arial"/>
                <w:lang w:eastAsia="en-GB"/>
              </w:rPr>
              <w:t xml:space="preserve"> </w:t>
            </w:r>
          </w:p>
        </w:tc>
      </w:tr>
      <w:tr w:rsidR="00902D4F" w:rsidRPr="00B85D62" w14:paraId="4AED74B5" w14:textId="77777777" w:rsidTr="00B85D62">
        <w:trPr>
          <w:cantSplit/>
        </w:trPr>
        <w:tc>
          <w:tcPr>
            <w:tcW w:w="0" w:type="auto"/>
            <w:shd w:val="clear" w:color="auto" w:fill="auto"/>
            <w:hideMark/>
          </w:tcPr>
          <w:p w14:paraId="407B07F7" w14:textId="3837A626" w:rsidR="00902D4F" w:rsidRPr="00B85D62" w:rsidRDefault="00902D4F" w:rsidP="00902D4F">
            <w:pPr>
              <w:rPr>
                <w:rFonts w:cs="Arial"/>
                <w:highlight w:val="green"/>
                <w:lang w:eastAsia="en-GB"/>
              </w:rPr>
            </w:pPr>
            <w:r w:rsidRPr="00B85D62">
              <w:rPr>
                <w:rFonts w:cs="Arial"/>
                <w:lang w:eastAsia="en-GB"/>
              </w:rPr>
              <w:t>rosuvastatin.tw.</w:t>
            </w:r>
            <w:r w:rsidR="00B85D62" w:rsidRPr="00B85D62">
              <w:rPr>
                <w:rFonts w:cs="Arial"/>
                <w:lang w:eastAsia="en-GB"/>
              </w:rPr>
              <w:t xml:space="preserve"> </w:t>
            </w:r>
          </w:p>
        </w:tc>
      </w:tr>
      <w:tr w:rsidR="00902D4F" w:rsidRPr="00B85D62" w14:paraId="17EC73CC" w14:textId="77777777" w:rsidTr="00B85D62">
        <w:trPr>
          <w:cantSplit/>
        </w:trPr>
        <w:tc>
          <w:tcPr>
            <w:tcW w:w="0" w:type="auto"/>
            <w:shd w:val="clear" w:color="auto" w:fill="auto"/>
            <w:hideMark/>
          </w:tcPr>
          <w:p w14:paraId="12A325C3" w14:textId="06A75E8F" w:rsidR="00902D4F" w:rsidRPr="00B85D62" w:rsidRDefault="00902D4F" w:rsidP="00902D4F">
            <w:pPr>
              <w:rPr>
                <w:rFonts w:cs="Arial"/>
                <w:highlight w:val="green"/>
                <w:lang w:eastAsia="en-GB"/>
              </w:rPr>
            </w:pPr>
            <w:r w:rsidRPr="00B85D62">
              <w:rPr>
                <w:rFonts w:cs="Arial"/>
                <w:lang w:eastAsia="en-GB"/>
              </w:rPr>
              <w:t>exp ezetimibe</w:t>
            </w:r>
            <w:r w:rsidR="00B85D62" w:rsidRPr="00B85D62">
              <w:rPr>
                <w:rFonts w:cs="Arial"/>
                <w:color w:val="00B0F0"/>
                <w:lang w:eastAsia="en-GB"/>
              </w:rPr>
              <w:t>/</w:t>
            </w:r>
          </w:p>
        </w:tc>
      </w:tr>
      <w:tr w:rsidR="00902D4F" w:rsidRPr="00B85D62" w14:paraId="0E41B5AC" w14:textId="77777777" w:rsidTr="00B85D62">
        <w:trPr>
          <w:cantSplit/>
        </w:trPr>
        <w:tc>
          <w:tcPr>
            <w:tcW w:w="0" w:type="auto"/>
            <w:shd w:val="clear" w:color="auto" w:fill="auto"/>
            <w:hideMark/>
          </w:tcPr>
          <w:p w14:paraId="6523174C" w14:textId="3626F079" w:rsidR="00902D4F" w:rsidRPr="00B85D62" w:rsidRDefault="00902D4F" w:rsidP="00902D4F">
            <w:pPr>
              <w:rPr>
                <w:rFonts w:cs="Arial"/>
                <w:highlight w:val="green"/>
                <w:lang w:eastAsia="en-GB"/>
              </w:rPr>
            </w:pPr>
            <w:r w:rsidRPr="00B85D62">
              <w:rPr>
                <w:rFonts w:cs="Arial"/>
                <w:lang w:eastAsia="en-GB"/>
              </w:rPr>
              <w:t>(ezetimibe</w:t>
            </w:r>
            <w:r w:rsidR="00B85D62" w:rsidRPr="00B85D62">
              <w:rPr>
                <w:rFonts w:cs="Arial"/>
                <w:lang w:eastAsia="en-GB"/>
              </w:rPr>
              <w:t xml:space="preserve"> </w:t>
            </w:r>
            <w:r w:rsidRPr="00B85D62">
              <w:rPr>
                <w:rFonts w:cs="Arial"/>
                <w:lang w:eastAsia="en-GB"/>
              </w:rPr>
              <w:t>or</w:t>
            </w:r>
            <w:r w:rsidR="00B85D62" w:rsidRPr="00B85D62">
              <w:rPr>
                <w:rFonts w:cs="Arial"/>
                <w:lang w:eastAsia="en-GB"/>
              </w:rPr>
              <w:t xml:space="preserve"> </w:t>
            </w:r>
            <w:r w:rsidRPr="00B85D62">
              <w:rPr>
                <w:rFonts w:cs="Arial"/>
                <w:lang w:eastAsia="en-GB"/>
              </w:rPr>
              <w:t>ezetimib).tw.</w:t>
            </w:r>
            <w:r w:rsidR="00B85D62" w:rsidRPr="00B85D62">
              <w:rPr>
                <w:rFonts w:cs="Arial"/>
                <w:lang w:eastAsia="en-GB"/>
              </w:rPr>
              <w:t xml:space="preserve"> </w:t>
            </w:r>
          </w:p>
        </w:tc>
      </w:tr>
      <w:tr w:rsidR="00902D4F" w:rsidRPr="00B85D62" w14:paraId="70F47786" w14:textId="77777777" w:rsidTr="00B85D62">
        <w:trPr>
          <w:cantSplit/>
        </w:trPr>
        <w:tc>
          <w:tcPr>
            <w:tcW w:w="0" w:type="auto"/>
            <w:shd w:val="clear" w:color="auto" w:fill="auto"/>
            <w:hideMark/>
          </w:tcPr>
          <w:p w14:paraId="09E35304" w14:textId="639075D9" w:rsidR="00902D4F" w:rsidRPr="00B85D62" w:rsidRDefault="00902D4F" w:rsidP="00902D4F">
            <w:pPr>
              <w:rPr>
                <w:rFonts w:cs="Arial"/>
                <w:highlight w:val="green"/>
                <w:lang w:eastAsia="en-GB"/>
              </w:rPr>
            </w:pPr>
            <w:r w:rsidRPr="00B85D62">
              <w:rPr>
                <w:rFonts w:cs="Arial"/>
                <w:lang w:eastAsia="en-GB"/>
              </w:rPr>
              <w:t>ezetrol.tw.</w:t>
            </w:r>
            <w:r w:rsidR="00B85D62" w:rsidRPr="00B85D62">
              <w:rPr>
                <w:rFonts w:cs="Arial"/>
                <w:lang w:eastAsia="en-GB"/>
              </w:rPr>
              <w:t xml:space="preserve"> </w:t>
            </w:r>
          </w:p>
        </w:tc>
      </w:tr>
      <w:tr w:rsidR="00902D4F" w:rsidRPr="00B85D62" w14:paraId="512023A4" w14:textId="77777777" w:rsidTr="00B85D62">
        <w:trPr>
          <w:cantSplit/>
        </w:trPr>
        <w:tc>
          <w:tcPr>
            <w:tcW w:w="0" w:type="auto"/>
            <w:shd w:val="clear" w:color="auto" w:fill="auto"/>
            <w:hideMark/>
          </w:tcPr>
          <w:p w14:paraId="6D9A3CEC" w14:textId="55CCCADC" w:rsidR="00902D4F" w:rsidRPr="00B85D62" w:rsidRDefault="00902D4F" w:rsidP="00902D4F">
            <w:pPr>
              <w:rPr>
                <w:rFonts w:cs="Arial"/>
                <w:highlight w:val="green"/>
                <w:lang w:eastAsia="en-GB"/>
              </w:rPr>
            </w:pPr>
            <w:r w:rsidRPr="00B85D62">
              <w:rPr>
                <w:rFonts w:cs="Arial"/>
                <w:lang w:eastAsia="en-GB"/>
              </w:rPr>
              <w:t>zetia.tw.</w:t>
            </w:r>
            <w:r w:rsidR="00B85D62" w:rsidRPr="00B85D62">
              <w:rPr>
                <w:rFonts w:cs="Arial"/>
                <w:lang w:eastAsia="en-GB"/>
              </w:rPr>
              <w:t xml:space="preserve"> </w:t>
            </w:r>
          </w:p>
        </w:tc>
      </w:tr>
      <w:tr w:rsidR="00902D4F" w:rsidRPr="00B85D62" w14:paraId="1203CB5F" w14:textId="77777777" w:rsidTr="00B85D62">
        <w:trPr>
          <w:cantSplit/>
        </w:trPr>
        <w:tc>
          <w:tcPr>
            <w:tcW w:w="0" w:type="auto"/>
            <w:shd w:val="clear" w:color="auto" w:fill="auto"/>
            <w:hideMark/>
          </w:tcPr>
          <w:p w14:paraId="590438CC" w14:textId="0F5C7383" w:rsidR="00902D4F" w:rsidRPr="00B85D62" w:rsidRDefault="00902D4F" w:rsidP="00902D4F">
            <w:pPr>
              <w:rPr>
                <w:rFonts w:cs="Arial"/>
                <w:highlight w:val="green"/>
                <w:lang w:eastAsia="en-GB"/>
              </w:rPr>
            </w:pPr>
            <w:r w:rsidRPr="00B85D62">
              <w:rPr>
                <w:rFonts w:cs="Arial"/>
                <w:lang w:eastAsia="en-GB"/>
              </w:rPr>
              <w:t>vytorin.tw.</w:t>
            </w:r>
            <w:r w:rsidR="00B85D62" w:rsidRPr="00B85D62">
              <w:rPr>
                <w:rFonts w:cs="Arial"/>
                <w:lang w:eastAsia="en-GB"/>
              </w:rPr>
              <w:t xml:space="preserve"> </w:t>
            </w:r>
          </w:p>
        </w:tc>
      </w:tr>
      <w:tr w:rsidR="00902D4F" w:rsidRPr="00B85D62" w14:paraId="58FBC0D7" w14:textId="77777777" w:rsidTr="00B85D62">
        <w:trPr>
          <w:cantSplit/>
        </w:trPr>
        <w:tc>
          <w:tcPr>
            <w:tcW w:w="0" w:type="auto"/>
            <w:shd w:val="clear" w:color="auto" w:fill="auto"/>
            <w:hideMark/>
          </w:tcPr>
          <w:p w14:paraId="369DA626" w14:textId="604B4573" w:rsidR="00902D4F" w:rsidRPr="00B85D62" w:rsidRDefault="00902D4F" w:rsidP="00902D4F">
            <w:pPr>
              <w:rPr>
                <w:rFonts w:cs="Arial"/>
                <w:highlight w:val="green"/>
                <w:lang w:eastAsia="en-GB"/>
              </w:rPr>
            </w:pPr>
            <w:r w:rsidRPr="00B85D62">
              <w:rPr>
                <w:rFonts w:cs="Arial"/>
                <w:lang w:eastAsia="en-GB"/>
              </w:rPr>
              <w:t>inegy.tw.</w:t>
            </w:r>
            <w:r w:rsidR="00B85D62" w:rsidRPr="00B85D62">
              <w:rPr>
                <w:rFonts w:cs="Arial"/>
                <w:lang w:eastAsia="en-GB"/>
              </w:rPr>
              <w:t xml:space="preserve"> </w:t>
            </w:r>
          </w:p>
        </w:tc>
      </w:tr>
      <w:tr w:rsidR="00902D4F" w:rsidRPr="00B85D62" w14:paraId="2951569E" w14:textId="77777777" w:rsidTr="00B85D62">
        <w:trPr>
          <w:cantSplit/>
        </w:trPr>
        <w:tc>
          <w:tcPr>
            <w:tcW w:w="0" w:type="auto"/>
            <w:shd w:val="clear" w:color="auto" w:fill="auto"/>
            <w:hideMark/>
          </w:tcPr>
          <w:p w14:paraId="4D21EB6B" w14:textId="18CD64D6" w:rsidR="00902D4F" w:rsidRPr="00B85D62" w:rsidRDefault="00902D4F" w:rsidP="00902D4F">
            <w:pPr>
              <w:rPr>
                <w:rFonts w:cs="Arial"/>
                <w:highlight w:val="green"/>
                <w:lang w:eastAsia="en-GB"/>
              </w:rPr>
            </w:pPr>
            <w:r w:rsidRPr="00B85D62">
              <w:rPr>
                <w:rFonts w:cs="Arial"/>
                <w:lang w:eastAsia="en-GB"/>
              </w:rPr>
              <w:t>(SC</w:t>
            </w:r>
            <w:r w:rsidR="00B85D62" w:rsidRPr="00B85D62">
              <w:rPr>
                <w:rFonts w:cs="Arial"/>
                <w:color w:val="00B0F0"/>
                <w:lang w:eastAsia="en-GB"/>
              </w:rPr>
              <w:t>H</w:t>
            </w:r>
            <w:r w:rsidR="00B85D62" w:rsidRPr="00B85D62">
              <w:rPr>
                <w:rFonts w:cs="Arial"/>
                <w:color w:val="00B0F0"/>
                <w:lang w:eastAsia="en-GB"/>
              </w:rPr>
              <w:t>-</w:t>
            </w:r>
            <w:r w:rsidR="00B85D62" w:rsidRPr="00B85D62">
              <w:rPr>
                <w:rFonts w:cs="Arial"/>
                <w:color w:val="00B0F0"/>
                <w:lang w:eastAsia="en-GB"/>
              </w:rPr>
              <w:t>5</w:t>
            </w:r>
            <w:r w:rsidRPr="00B85D62">
              <w:rPr>
                <w:rFonts w:cs="Arial"/>
                <w:lang w:eastAsia="en-GB"/>
              </w:rPr>
              <w:t>8235 or SCH 58235 or SCH58235).tw.</w:t>
            </w:r>
            <w:r w:rsidR="00B85D62" w:rsidRPr="00B85D62">
              <w:rPr>
                <w:rFonts w:cs="Arial"/>
                <w:lang w:eastAsia="en-GB"/>
              </w:rPr>
              <w:t xml:space="preserve"> </w:t>
            </w:r>
          </w:p>
        </w:tc>
      </w:tr>
      <w:tr w:rsidR="00902D4F" w:rsidRPr="00B85D62" w14:paraId="07ABEA45" w14:textId="77777777" w:rsidTr="00B85D62">
        <w:trPr>
          <w:cantSplit/>
        </w:trPr>
        <w:tc>
          <w:tcPr>
            <w:tcW w:w="0" w:type="auto"/>
            <w:shd w:val="clear" w:color="auto" w:fill="auto"/>
            <w:hideMark/>
          </w:tcPr>
          <w:p w14:paraId="3074B0B5" w14:textId="6C424918" w:rsidR="00902D4F" w:rsidRPr="00B85D62" w:rsidRDefault="00902D4F" w:rsidP="00902D4F">
            <w:pPr>
              <w:rPr>
                <w:rFonts w:cs="Arial"/>
                <w:highlight w:val="green"/>
                <w:lang w:eastAsia="en-GB"/>
              </w:rPr>
            </w:pPr>
            <w:r w:rsidRPr="00B85D62">
              <w:rPr>
                <w:rFonts w:cs="Arial"/>
                <w:lang w:eastAsia="en-GB"/>
              </w:rPr>
              <w:t>or/12</w:t>
            </w:r>
            <w:r w:rsidR="00B85D62" w:rsidRPr="00B85D62">
              <w:rPr>
                <w:rFonts w:cs="Arial"/>
                <w:color w:val="00B0F0"/>
                <w:lang w:eastAsia="en-GB"/>
              </w:rPr>
              <w:t>–</w:t>
            </w:r>
            <w:r w:rsidR="00B85D62" w:rsidRPr="00B85D62">
              <w:rPr>
                <w:rFonts w:cs="Arial"/>
                <w:color w:val="00B0F0"/>
                <w:lang w:eastAsia="en-GB"/>
              </w:rPr>
              <w:t>6</w:t>
            </w:r>
            <w:r w:rsidRPr="00B85D62">
              <w:rPr>
                <w:rFonts w:cs="Arial"/>
                <w:lang w:eastAsia="en-GB"/>
              </w:rPr>
              <w:t>2</w:t>
            </w:r>
            <w:r w:rsidR="00B85D62" w:rsidRPr="00B85D62">
              <w:rPr>
                <w:rFonts w:cs="Arial"/>
                <w:lang w:eastAsia="en-GB"/>
              </w:rPr>
              <w:t xml:space="preserve"> </w:t>
            </w:r>
          </w:p>
        </w:tc>
      </w:tr>
      <w:tr w:rsidR="00902D4F" w:rsidRPr="00B85D62" w14:paraId="6825E63B" w14:textId="77777777" w:rsidTr="00B85D62">
        <w:trPr>
          <w:cantSplit/>
        </w:trPr>
        <w:tc>
          <w:tcPr>
            <w:tcW w:w="0" w:type="auto"/>
            <w:shd w:val="clear" w:color="auto" w:fill="auto"/>
            <w:hideMark/>
          </w:tcPr>
          <w:p w14:paraId="69471CB9" w14:textId="6C98B12F" w:rsidR="00902D4F" w:rsidRPr="00B85D62" w:rsidRDefault="00902D4F" w:rsidP="00902D4F">
            <w:pPr>
              <w:rPr>
                <w:rFonts w:cs="Arial"/>
                <w:highlight w:val="green"/>
                <w:lang w:eastAsia="en-GB"/>
              </w:rPr>
            </w:pPr>
            <w:r w:rsidRPr="00B85D62">
              <w:rPr>
                <w:rFonts w:cs="Arial"/>
                <w:lang w:eastAsia="en-GB"/>
              </w:rPr>
              <w:t>((brain* or cerebral or lacunar) adj2 infarct*).tw.</w:t>
            </w:r>
            <w:r w:rsidR="00B85D62" w:rsidRPr="00B85D62">
              <w:rPr>
                <w:rFonts w:cs="Arial"/>
                <w:lang w:eastAsia="en-GB"/>
              </w:rPr>
              <w:t xml:space="preserve"> </w:t>
            </w:r>
          </w:p>
        </w:tc>
      </w:tr>
      <w:tr w:rsidR="00902D4F" w:rsidRPr="00B85D62" w14:paraId="0951BE1E" w14:textId="77777777" w:rsidTr="00B85D62">
        <w:trPr>
          <w:cantSplit/>
        </w:trPr>
        <w:tc>
          <w:tcPr>
            <w:tcW w:w="0" w:type="auto"/>
            <w:shd w:val="clear" w:color="auto" w:fill="auto"/>
            <w:hideMark/>
          </w:tcPr>
          <w:p w14:paraId="10FE5D66" w14:textId="4347D0F4" w:rsidR="00902D4F" w:rsidRPr="00B85D62" w:rsidRDefault="00902D4F" w:rsidP="00902D4F">
            <w:pPr>
              <w:rPr>
                <w:rFonts w:cs="Arial"/>
                <w:highlight w:val="green"/>
                <w:lang w:eastAsia="en-GB"/>
              </w:rPr>
            </w:pPr>
            <w:r w:rsidRPr="00B85D62">
              <w:rPr>
                <w:rFonts w:cs="Arial"/>
                <w:lang w:eastAsia="en-GB"/>
              </w:rPr>
              <w:t>exp</w:t>
            </w:r>
            <w:r w:rsidR="00B85D62" w:rsidRPr="00B85D62">
              <w:rPr>
                <w:rFonts w:cs="Arial"/>
                <w:lang w:eastAsia="en-GB"/>
              </w:rPr>
              <w:t xml:space="preserve"> </w:t>
            </w:r>
            <w:r w:rsidRPr="00B85D62">
              <w:rPr>
                <w:rFonts w:cs="Arial"/>
                <w:lang w:eastAsia="en-GB"/>
              </w:rPr>
              <w:t>Cardiovascular Diseases</w:t>
            </w:r>
            <w:r w:rsidR="00B85D62" w:rsidRPr="00B85D62">
              <w:rPr>
                <w:rFonts w:cs="Arial"/>
                <w:color w:val="00B0F0"/>
                <w:lang w:eastAsia="en-GB"/>
              </w:rPr>
              <w:t>/</w:t>
            </w:r>
          </w:p>
        </w:tc>
      </w:tr>
      <w:tr w:rsidR="00902D4F" w:rsidRPr="00B85D62" w14:paraId="691B197A" w14:textId="77777777" w:rsidTr="00B85D62">
        <w:trPr>
          <w:cantSplit/>
        </w:trPr>
        <w:tc>
          <w:tcPr>
            <w:tcW w:w="0" w:type="auto"/>
            <w:shd w:val="clear" w:color="auto" w:fill="auto"/>
            <w:hideMark/>
          </w:tcPr>
          <w:p w14:paraId="1FF730E2" w14:textId="66AC15B8" w:rsidR="00902D4F" w:rsidRPr="00B85D62" w:rsidRDefault="00902D4F" w:rsidP="00902D4F">
            <w:pPr>
              <w:rPr>
                <w:rFonts w:cs="Arial"/>
                <w:highlight w:val="green"/>
                <w:lang w:eastAsia="en-GB"/>
              </w:rPr>
            </w:pPr>
            <w:r w:rsidRPr="00B85D62">
              <w:rPr>
                <w:rFonts w:cs="Arial"/>
                <w:lang w:eastAsia="en-GB"/>
              </w:rPr>
              <w:t>cardio*.tw.</w:t>
            </w:r>
            <w:r w:rsidR="00B85D62" w:rsidRPr="00B85D62">
              <w:rPr>
                <w:rFonts w:cs="Arial"/>
                <w:lang w:eastAsia="en-GB"/>
              </w:rPr>
              <w:t xml:space="preserve"> </w:t>
            </w:r>
          </w:p>
        </w:tc>
      </w:tr>
      <w:tr w:rsidR="00902D4F" w:rsidRPr="00B85D62" w14:paraId="475D0133" w14:textId="77777777" w:rsidTr="00B85D62">
        <w:trPr>
          <w:cantSplit/>
        </w:trPr>
        <w:tc>
          <w:tcPr>
            <w:tcW w:w="0" w:type="auto"/>
            <w:shd w:val="clear" w:color="auto" w:fill="auto"/>
            <w:hideMark/>
          </w:tcPr>
          <w:p w14:paraId="4FAD532F" w14:textId="4E4A9D10" w:rsidR="00902D4F" w:rsidRPr="00B85D62" w:rsidRDefault="00902D4F" w:rsidP="00902D4F">
            <w:pPr>
              <w:rPr>
                <w:rFonts w:cs="Arial"/>
                <w:highlight w:val="green"/>
                <w:lang w:eastAsia="en-GB"/>
              </w:rPr>
            </w:pPr>
            <w:r w:rsidRPr="00B85D62">
              <w:rPr>
                <w:rFonts w:cs="Arial"/>
                <w:lang w:eastAsia="en-GB"/>
              </w:rPr>
              <w:t>cardia*.tw.</w:t>
            </w:r>
            <w:r w:rsidR="00B85D62" w:rsidRPr="00B85D62">
              <w:rPr>
                <w:rFonts w:cs="Arial"/>
                <w:lang w:eastAsia="en-GB"/>
              </w:rPr>
              <w:t xml:space="preserve"> </w:t>
            </w:r>
          </w:p>
        </w:tc>
      </w:tr>
      <w:tr w:rsidR="00902D4F" w:rsidRPr="00B85D62" w14:paraId="6BEF833C" w14:textId="77777777" w:rsidTr="00B85D62">
        <w:trPr>
          <w:cantSplit/>
        </w:trPr>
        <w:tc>
          <w:tcPr>
            <w:tcW w:w="0" w:type="auto"/>
            <w:shd w:val="clear" w:color="auto" w:fill="auto"/>
            <w:hideMark/>
          </w:tcPr>
          <w:p w14:paraId="5603D42C" w14:textId="025EA551" w:rsidR="00902D4F" w:rsidRPr="00B85D62" w:rsidRDefault="00902D4F" w:rsidP="00902D4F">
            <w:pPr>
              <w:rPr>
                <w:rFonts w:cs="Arial"/>
                <w:highlight w:val="green"/>
                <w:lang w:eastAsia="en-GB"/>
              </w:rPr>
            </w:pPr>
            <w:r w:rsidRPr="00B85D62">
              <w:rPr>
                <w:rFonts w:cs="Arial"/>
                <w:lang w:eastAsia="en-GB"/>
              </w:rPr>
              <w:t>(coronary</w:t>
            </w:r>
            <w:r w:rsidR="00B85D62" w:rsidRPr="00B85D62">
              <w:rPr>
                <w:rFonts w:cs="Arial"/>
                <w:lang w:eastAsia="en-GB"/>
              </w:rPr>
              <w:t xml:space="preserve"> </w:t>
            </w:r>
            <w:r w:rsidRPr="00B85D62">
              <w:rPr>
                <w:rFonts w:cs="Arial"/>
                <w:lang w:eastAsia="en-GB"/>
              </w:rPr>
              <w:t>disease* or coronary*).tw.</w:t>
            </w:r>
            <w:r w:rsidR="00B85D62" w:rsidRPr="00B85D62">
              <w:rPr>
                <w:rFonts w:cs="Arial"/>
                <w:lang w:eastAsia="en-GB"/>
              </w:rPr>
              <w:t xml:space="preserve"> </w:t>
            </w:r>
          </w:p>
        </w:tc>
      </w:tr>
      <w:tr w:rsidR="00902D4F" w:rsidRPr="00B85D62" w14:paraId="017DE10D" w14:textId="77777777" w:rsidTr="00B85D62">
        <w:trPr>
          <w:cantSplit/>
        </w:trPr>
        <w:tc>
          <w:tcPr>
            <w:tcW w:w="0" w:type="auto"/>
            <w:shd w:val="clear" w:color="auto" w:fill="auto"/>
            <w:hideMark/>
          </w:tcPr>
          <w:p w14:paraId="5E8A7A2C" w14:textId="7B3EED66" w:rsidR="00902D4F" w:rsidRPr="00B85D62" w:rsidRDefault="00902D4F" w:rsidP="00902D4F">
            <w:pPr>
              <w:rPr>
                <w:rFonts w:cs="Arial"/>
                <w:highlight w:val="green"/>
                <w:lang w:eastAsia="en-GB"/>
              </w:rPr>
            </w:pPr>
            <w:r w:rsidRPr="00B85D62">
              <w:rPr>
                <w:rFonts w:cs="Arial"/>
                <w:lang w:eastAsia="en-GB"/>
              </w:rPr>
              <w:t>angina.tw.</w:t>
            </w:r>
            <w:r w:rsidR="00B85D62" w:rsidRPr="00B85D62">
              <w:rPr>
                <w:rFonts w:cs="Arial"/>
                <w:lang w:eastAsia="en-GB"/>
              </w:rPr>
              <w:t xml:space="preserve"> </w:t>
            </w:r>
          </w:p>
        </w:tc>
      </w:tr>
      <w:tr w:rsidR="00902D4F" w:rsidRPr="00B85D62" w14:paraId="13D865E8" w14:textId="77777777" w:rsidTr="00B85D62">
        <w:trPr>
          <w:cantSplit/>
        </w:trPr>
        <w:tc>
          <w:tcPr>
            <w:tcW w:w="0" w:type="auto"/>
            <w:shd w:val="clear" w:color="auto" w:fill="auto"/>
            <w:hideMark/>
          </w:tcPr>
          <w:p w14:paraId="552F54E3" w14:textId="3174AC3B" w:rsidR="00902D4F" w:rsidRPr="00B85D62" w:rsidRDefault="00902D4F" w:rsidP="00902D4F">
            <w:pPr>
              <w:rPr>
                <w:rFonts w:cs="Arial"/>
                <w:highlight w:val="green"/>
                <w:lang w:eastAsia="en-GB"/>
              </w:rPr>
            </w:pPr>
            <w:r w:rsidRPr="00B85D62">
              <w:rPr>
                <w:rFonts w:cs="Arial"/>
                <w:lang w:eastAsia="en-GB"/>
              </w:rPr>
              <w:t>ventric*.tw.</w:t>
            </w:r>
            <w:r w:rsidR="00B85D62" w:rsidRPr="00B85D62">
              <w:rPr>
                <w:rFonts w:cs="Arial"/>
                <w:lang w:eastAsia="en-GB"/>
              </w:rPr>
              <w:t xml:space="preserve"> </w:t>
            </w:r>
          </w:p>
        </w:tc>
      </w:tr>
      <w:tr w:rsidR="00902D4F" w:rsidRPr="00B85D62" w14:paraId="386AF915" w14:textId="77777777" w:rsidTr="00B85D62">
        <w:trPr>
          <w:cantSplit/>
        </w:trPr>
        <w:tc>
          <w:tcPr>
            <w:tcW w:w="0" w:type="auto"/>
            <w:shd w:val="clear" w:color="auto" w:fill="auto"/>
            <w:hideMark/>
          </w:tcPr>
          <w:p w14:paraId="6FCA2143" w14:textId="7388629C" w:rsidR="00902D4F" w:rsidRPr="00B85D62" w:rsidRDefault="00902D4F" w:rsidP="00902D4F">
            <w:pPr>
              <w:rPr>
                <w:rFonts w:cs="Arial"/>
                <w:highlight w:val="green"/>
                <w:lang w:eastAsia="en-GB"/>
              </w:rPr>
            </w:pPr>
            <w:r w:rsidRPr="00B85D62">
              <w:rPr>
                <w:rFonts w:cs="Arial"/>
                <w:lang w:eastAsia="en-GB"/>
              </w:rPr>
              <w:t>myocard*.tw.</w:t>
            </w:r>
            <w:r w:rsidR="00B85D62" w:rsidRPr="00B85D62">
              <w:rPr>
                <w:rFonts w:cs="Arial"/>
                <w:lang w:eastAsia="en-GB"/>
              </w:rPr>
              <w:t xml:space="preserve"> </w:t>
            </w:r>
          </w:p>
        </w:tc>
      </w:tr>
      <w:tr w:rsidR="00902D4F" w:rsidRPr="00B85D62" w14:paraId="5B1402DA" w14:textId="77777777" w:rsidTr="00B85D62">
        <w:trPr>
          <w:cantSplit/>
        </w:trPr>
        <w:tc>
          <w:tcPr>
            <w:tcW w:w="0" w:type="auto"/>
            <w:shd w:val="clear" w:color="auto" w:fill="auto"/>
            <w:hideMark/>
          </w:tcPr>
          <w:p w14:paraId="7AE26A46" w14:textId="62229466" w:rsidR="00902D4F" w:rsidRPr="00B85D62" w:rsidRDefault="00902D4F" w:rsidP="00902D4F">
            <w:pPr>
              <w:rPr>
                <w:rFonts w:cs="Arial"/>
                <w:highlight w:val="green"/>
                <w:lang w:eastAsia="en-GB"/>
              </w:rPr>
            </w:pPr>
            <w:r w:rsidRPr="00B85D62">
              <w:rPr>
                <w:rFonts w:cs="Arial"/>
                <w:lang w:eastAsia="en-GB"/>
              </w:rPr>
              <w:t>isch?em*.tw.</w:t>
            </w:r>
            <w:r w:rsidR="00B85D62" w:rsidRPr="00B85D62">
              <w:rPr>
                <w:rFonts w:cs="Arial"/>
                <w:lang w:eastAsia="en-GB"/>
              </w:rPr>
              <w:t xml:space="preserve"> </w:t>
            </w:r>
          </w:p>
        </w:tc>
      </w:tr>
      <w:tr w:rsidR="00902D4F" w:rsidRPr="00B85D62" w14:paraId="05FA661D" w14:textId="77777777" w:rsidTr="00B85D62">
        <w:trPr>
          <w:cantSplit/>
        </w:trPr>
        <w:tc>
          <w:tcPr>
            <w:tcW w:w="0" w:type="auto"/>
            <w:shd w:val="clear" w:color="auto" w:fill="auto"/>
            <w:hideMark/>
          </w:tcPr>
          <w:p w14:paraId="29BE561D" w14:textId="2475B2FE" w:rsidR="00902D4F" w:rsidRPr="00B85D62" w:rsidRDefault="00902D4F" w:rsidP="00902D4F">
            <w:pPr>
              <w:rPr>
                <w:rFonts w:cs="Arial"/>
                <w:highlight w:val="green"/>
                <w:lang w:eastAsia="en-GB"/>
              </w:rPr>
            </w:pPr>
            <w:r w:rsidRPr="00B85D62">
              <w:rPr>
                <w:rFonts w:cs="Arial"/>
                <w:lang w:eastAsia="en-GB"/>
              </w:rPr>
              <w:t>heart failure.tw.</w:t>
            </w:r>
            <w:r w:rsidR="00B85D62" w:rsidRPr="00B85D62">
              <w:rPr>
                <w:rFonts w:cs="Arial"/>
                <w:lang w:eastAsia="en-GB"/>
              </w:rPr>
              <w:t xml:space="preserve"> </w:t>
            </w:r>
          </w:p>
        </w:tc>
      </w:tr>
      <w:tr w:rsidR="00902D4F" w:rsidRPr="00B85D62" w14:paraId="205EFD3B" w14:textId="77777777" w:rsidTr="00B85D62">
        <w:trPr>
          <w:cantSplit/>
        </w:trPr>
        <w:tc>
          <w:tcPr>
            <w:tcW w:w="0" w:type="auto"/>
            <w:shd w:val="clear" w:color="auto" w:fill="auto"/>
            <w:hideMark/>
          </w:tcPr>
          <w:p w14:paraId="722C1643" w14:textId="595F04E9" w:rsidR="00902D4F" w:rsidRPr="00B85D62" w:rsidRDefault="00902D4F" w:rsidP="00902D4F">
            <w:pPr>
              <w:rPr>
                <w:rFonts w:cs="Arial"/>
                <w:highlight w:val="green"/>
                <w:lang w:eastAsia="en-GB"/>
              </w:rPr>
            </w:pPr>
            <w:r w:rsidRPr="00B85D62">
              <w:rPr>
                <w:rFonts w:cs="Arial"/>
                <w:lang w:eastAsia="en-GB"/>
              </w:rPr>
              <w:t>cardiac failure.tw.</w:t>
            </w:r>
            <w:r w:rsidR="00B85D62" w:rsidRPr="00B85D62">
              <w:rPr>
                <w:rFonts w:cs="Arial"/>
                <w:lang w:eastAsia="en-GB"/>
              </w:rPr>
              <w:t xml:space="preserve"> </w:t>
            </w:r>
          </w:p>
        </w:tc>
      </w:tr>
      <w:tr w:rsidR="00902D4F" w:rsidRPr="00B85D62" w14:paraId="74ED6B84" w14:textId="77777777" w:rsidTr="00B85D62">
        <w:trPr>
          <w:cantSplit/>
        </w:trPr>
        <w:tc>
          <w:tcPr>
            <w:tcW w:w="0" w:type="auto"/>
            <w:shd w:val="clear" w:color="auto" w:fill="auto"/>
            <w:hideMark/>
          </w:tcPr>
          <w:p w14:paraId="772581B1" w14:textId="62954265" w:rsidR="00902D4F" w:rsidRPr="00B85D62" w:rsidRDefault="00902D4F" w:rsidP="00902D4F">
            <w:pPr>
              <w:rPr>
                <w:rFonts w:cs="Arial"/>
                <w:highlight w:val="green"/>
                <w:lang w:eastAsia="en-GB"/>
              </w:rPr>
            </w:pPr>
            <w:r w:rsidRPr="00B85D62">
              <w:rPr>
                <w:rFonts w:cs="Arial"/>
                <w:lang w:eastAsia="en-GB"/>
              </w:rPr>
              <w:t>arrhythmi*.tw.</w:t>
            </w:r>
            <w:r w:rsidR="00B85D62" w:rsidRPr="00B85D62">
              <w:rPr>
                <w:rFonts w:cs="Arial"/>
                <w:lang w:eastAsia="en-GB"/>
              </w:rPr>
              <w:t xml:space="preserve"> </w:t>
            </w:r>
          </w:p>
        </w:tc>
      </w:tr>
      <w:tr w:rsidR="00902D4F" w:rsidRPr="00B85D62" w14:paraId="4060EC47" w14:textId="77777777" w:rsidTr="00B85D62">
        <w:trPr>
          <w:cantSplit/>
        </w:trPr>
        <w:tc>
          <w:tcPr>
            <w:tcW w:w="0" w:type="auto"/>
            <w:shd w:val="clear" w:color="auto" w:fill="auto"/>
            <w:hideMark/>
          </w:tcPr>
          <w:p w14:paraId="5342AFD9" w14:textId="7547D26D" w:rsidR="00902D4F" w:rsidRPr="00B85D62" w:rsidRDefault="00902D4F" w:rsidP="00902D4F">
            <w:pPr>
              <w:rPr>
                <w:rFonts w:cs="Arial"/>
                <w:highlight w:val="green"/>
                <w:lang w:eastAsia="en-GB"/>
              </w:rPr>
            </w:pPr>
            <w:r w:rsidRPr="00B85D62">
              <w:rPr>
                <w:rFonts w:cs="Arial"/>
                <w:lang w:eastAsia="en-GB"/>
              </w:rPr>
              <w:t>thromb*.tw.</w:t>
            </w:r>
            <w:r w:rsidR="00B85D62" w:rsidRPr="00B85D62">
              <w:rPr>
                <w:rFonts w:cs="Arial"/>
                <w:lang w:eastAsia="en-GB"/>
              </w:rPr>
              <w:t xml:space="preserve"> </w:t>
            </w:r>
          </w:p>
        </w:tc>
      </w:tr>
      <w:tr w:rsidR="00902D4F" w:rsidRPr="00B85D62" w14:paraId="1BE480CC" w14:textId="77777777" w:rsidTr="00B85D62">
        <w:trPr>
          <w:cantSplit/>
        </w:trPr>
        <w:tc>
          <w:tcPr>
            <w:tcW w:w="0" w:type="auto"/>
            <w:shd w:val="clear" w:color="auto" w:fill="auto"/>
            <w:hideMark/>
          </w:tcPr>
          <w:p w14:paraId="61552E77" w14:textId="4394D585" w:rsidR="00902D4F" w:rsidRPr="00B85D62" w:rsidRDefault="00902D4F" w:rsidP="00902D4F">
            <w:pPr>
              <w:rPr>
                <w:rFonts w:cs="Arial"/>
                <w:highlight w:val="green"/>
                <w:lang w:eastAsia="en-GB"/>
              </w:rPr>
            </w:pPr>
            <w:r w:rsidRPr="00B85D62">
              <w:rPr>
                <w:rFonts w:cs="Arial"/>
                <w:lang w:eastAsia="en-GB"/>
              </w:rPr>
              <w:t>atrial</w:t>
            </w:r>
            <w:r w:rsidR="00B85D62" w:rsidRPr="00B85D62">
              <w:rPr>
                <w:rFonts w:cs="Arial"/>
                <w:lang w:eastAsia="en-GB"/>
              </w:rPr>
              <w:t xml:space="preserve"> </w:t>
            </w:r>
            <w:r w:rsidRPr="00B85D62">
              <w:rPr>
                <w:rFonts w:cs="Arial"/>
                <w:lang w:eastAsia="en-GB"/>
              </w:rPr>
              <w:t>fibrill*.tw.</w:t>
            </w:r>
            <w:r w:rsidR="00B85D62" w:rsidRPr="00B85D62">
              <w:rPr>
                <w:rFonts w:cs="Arial"/>
                <w:lang w:eastAsia="en-GB"/>
              </w:rPr>
              <w:t xml:space="preserve"> </w:t>
            </w:r>
          </w:p>
        </w:tc>
      </w:tr>
      <w:tr w:rsidR="00902D4F" w:rsidRPr="00B85D62" w14:paraId="7EF93D8C" w14:textId="77777777" w:rsidTr="00B85D62">
        <w:trPr>
          <w:cantSplit/>
        </w:trPr>
        <w:tc>
          <w:tcPr>
            <w:tcW w:w="0" w:type="auto"/>
            <w:shd w:val="clear" w:color="auto" w:fill="auto"/>
            <w:hideMark/>
          </w:tcPr>
          <w:p w14:paraId="282DC55D" w14:textId="70E0427D" w:rsidR="00902D4F" w:rsidRPr="00B85D62" w:rsidRDefault="00902D4F" w:rsidP="00902D4F">
            <w:pPr>
              <w:rPr>
                <w:rFonts w:cs="Arial"/>
                <w:highlight w:val="green"/>
                <w:lang w:eastAsia="en-GB"/>
              </w:rPr>
            </w:pPr>
            <w:r w:rsidRPr="00B85D62">
              <w:rPr>
                <w:rFonts w:cs="Arial"/>
                <w:lang w:eastAsia="en-GB"/>
              </w:rPr>
              <w:t>exp Stroke</w:t>
            </w:r>
            <w:r w:rsidR="00B85D62" w:rsidRPr="00B85D62">
              <w:rPr>
                <w:rFonts w:cs="Arial"/>
                <w:color w:val="00B0F0"/>
                <w:lang w:eastAsia="en-GB"/>
              </w:rPr>
              <w:t>/</w:t>
            </w:r>
          </w:p>
        </w:tc>
      </w:tr>
      <w:tr w:rsidR="00902D4F" w:rsidRPr="00B85D62" w14:paraId="3A2C5712" w14:textId="77777777" w:rsidTr="00B85D62">
        <w:trPr>
          <w:cantSplit/>
        </w:trPr>
        <w:tc>
          <w:tcPr>
            <w:tcW w:w="0" w:type="auto"/>
            <w:shd w:val="clear" w:color="auto" w:fill="auto"/>
            <w:hideMark/>
          </w:tcPr>
          <w:p w14:paraId="3ABB2FFA" w14:textId="32F1B214" w:rsidR="00902D4F" w:rsidRPr="00B85D62" w:rsidRDefault="00902D4F" w:rsidP="00902D4F">
            <w:pPr>
              <w:rPr>
                <w:rFonts w:cs="Arial"/>
                <w:highlight w:val="green"/>
                <w:lang w:eastAsia="en-GB"/>
              </w:rPr>
            </w:pPr>
            <w:r w:rsidRPr="00B85D62">
              <w:rPr>
                <w:rFonts w:cs="Arial"/>
                <w:lang w:eastAsia="en-GB"/>
              </w:rPr>
              <w:t>(stroke</w:t>
            </w:r>
            <w:r w:rsidR="00B85D62" w:rsidRPr="00B85D62">
              <w:rPr>
                <w:rFonts w:cs="Arial"/>
                <w:lang w:eastAsia="en-GB"/>
              </w:rPr>
              <w:t xml:space="preserve"> </w:t>
            </w:r>
            <w:r w:rsidRPr="00B85D62">
              <w:rPr>
                <w:rFonts w:cs="Arial"/>
                <w:lang w:eastAsia="en-GB"/>
              </w:rPr>
              <w:t>or stokes).tw.</w:t>
            </w:r>
            <w:r w:rsidR="00B85D62" w:rsidRPr="00B85D62">
              <w:rPr>
                <w:rFonts w:cs="Arial"/>
                <w:lang w:eastAsia="en-GB"/>
              </w:rPr>
              <w:t xml:space="preserve"> </w:t>
            </w:r>
          </w:p>
        </w:tc>
      </w:tr>
      <w:tr w:rsidR="00902D4F" w:rsidRPr="00B85D62" w14:paraId="122413F0" w14:textId="77777777" w:rsidTr="00B85D62">
        <w:trPr>
          <w:cantSplit/>
        </w:trPr>
        <w:tc>
          <w:tcPr>
            <w:tcW w:w="0" w:type="auto"/>
            <w:shd w:val="clear" w:color="auto" w:fill="auto"/>
            <w:hideMark/>
          </w:tcPr>
          <w:p w14:paraId="521531CB" w14:textId="08C72E05" w:rsidR="00902D4F" w:rsidRPr="00B85D62" w:rsidRDefault="00902D4F" w:rsidP="00902D4F">
            <w:pPr>
              <w:rPr>
                <w:rFonts w:cs="Arial"/>
                <w:highlight w:val="green"/>
                <w:lang w:eastAsia="en-GB"/>
              </w:rPr>
            </w:pPr>
            <w:r w:rsidRPr="00B85D62">
              <w:rPr>
                <w:rFonts w:cs="Arial"/>
                <w:lang w:eastAsia="en-GB"/>
              </w:rPr>
              <w:t>cerebrovas*.tw.</w:t>
            </w:r>
            <w:r w:rsidR="00B85D62" w:rsidRPr="00B85D62">
              <w:rPr>
                <w:rFonts w:cs="Arial"/>
                <w:lang w:eastAsia="en-GB"/>
              </w:rPr>
              <w:t xml:space="preserve"> </w:t>
            </w:r>
          </w:p>
        </w:tc>
      </w:tr>
      <w:tr w:rsidR="00902D4F" w:rsidRPr="00B85D62" w14:paraId="42BD54AE" w14:textId="77777777" w:rsidTr="00B85D62">
        <w:trPr>
          <w:cantSplit/>
        </w:trPr>
        <w:tc>
          <w:tcPr>
            <w:tcW w:w="0" w:type="auto"/>
            <w:shd w:val="clear" w:color="auto" w:fill="auto"/>
            <w:hideMark/>
          </w:tcPr>
          <w:p w14:paraId="0D1D93D7" w14:textId="2F328D44" w:rsidR="00902D4F" w:rsidRPr="00B85D62" w:rsidRDefault="00902D4F" w:rsidP="00902D4F">
            <w:pPr>
              <w:rPr>
                <w:rFonts w:cs="Arial"/>
                <w:highlight w:val="green"/>
                <w:lang w:eastAsia="en-GB"/>
              </w:rPr>
            </w:pPr>
            <w:r w:rsidRPr="00B85D62">
              <w:rPr>
                <w:rFonts w:cs="Arial"/>
                <w:lang w:eastAsia="en-GB"/>
              </w:rPr>
              <w:t>cerebral vascular.tw.</w:t>
            </w:r>
            <w:r w:rsidR="00B85D62" w:rsidRPr="00B85D62">
              <w:rPr>
                <w:rFonts w:cs="Arial"/>
                <w:lang w:eastAsia="en-GB"/>
              </w:rPr>
              <w:t xml:space="preserve"> </w:t>
            </w:r>
          </w:p>
        </w:tc>
      </w:tr>
      <w:tr w:rsidR="00902D4F" w:rsidRPr="00B85D62" w14:paraId="1850F9CE" w14:textId="77777777" w:rsidTr="00B85D62">
        <w:trPr>
          <w:cantSplit/>
        </w:trPr>
        <w:tc>
          <w:tcPr>
            <w:tcW w:w="0" w:type="auto"/>
            <w:shd w:val="clear" w:color="auto" w:fill="auto"/>
            <w:hideMark/>
          </w:tcPr>
          <w:p w14:paraId="74666C2D" w14:textId="4F4F60FB" w:rsidR="00902D4F" w:rsidRPr="00B85D62" w:rsidRDefault="00902D4F" w:rsidP="00902D4F">
            <w:pPr>
              <w:rPr>
                <w:rFonts w:cs="Arial"/>
                <w:highlight w:val="green"/>
                <w:lang w:eastAsia="en-GB"/>
              </w:rPr>
            </w:pPr>
            <w:r w:rsidRPr="00B85D62">
              <w:rPr>
                <w:rFonts w:cs="Arial"/>
                <w:lang w:eastAsia="en-GB"/>
              </w:rPr>
              <w:t>or/64</w:t>
            </w:r>
            <w:r w:rsidR="00B85D62" w:rsidRPr="00B85D62">
              <w:rPr>
                <w:rFonts w:cs="Arial"/>
                <w:color w:val="00B0F0"/>
                <w:lang w:eastAsia="en-GB"/>
              </w:rPr>
              <w:t>–</w:t>
            </w:r>
            <w:r w:rsidR="00B85D62" w:rsidRPr="00B85D62">
              <w:rPr>
                <w:rFonts w:cs="Arial"/>
                <w:color w:val="00B0F0"/>
                <w:lang w:eastAsia="en-GB"/>
              </w:rPr>
              <w:t>8</w:t>
            </w:r>
            <w:r w:rsidRPr="00B85D62">
              <w:rPr>
                <w:rFonts w:cs="Arial"/>
                <w:lang w:eastAsia="en-GB"/>
              </w:rPr>
              <w:t>1</w:t>
            </w:r>
            <w:r w:rsidR="00B85D62" w:rsidRPr="00B85D62">
              <w:rPr>
                <w:rFonts w:cs="Arial"/>
                <w:lang w:eastAsia="en-GB"/>
              </w:rPr>
              <w:t xml:space="preserve"> </w:t>
            </w:r>
          </w:p>
        </w:tc>
      </w:tr>
      <w:tr w:rsidR="00902D4F" w:rsidRPr="00B85D62" w14:paraId="17D91B8C" w14:textId="77777777" w:rsidTr="00B85D62">
        <w:trPr>
          <w:cantSplit/>
        </w:trPr>
        <w:tc>
          <w:tcPr>
            <w:tcW w:w="0" w:type="auto"/>
            <w:shd w:val="clear" w:color="auto" w:fill="auto"/>
            <w:hideMark/>
          </w:tcPr>
          <w:p w14:paraId="758C0642" w14:textId="59FD09D9" w:rsidR="00902D4F" w:rsidRPr="00B85D62" w:rsidRDefault="00902D4F" w:rsidP="00902D4F">
            <w:pPr>
              <w:rPr>
                <w:rFonts w:cs="Arial"/>
                <w:highlight w:val="green"/>
                <w:lang w:eastAsia="en-GB"/>
              </w:rPr>
            </w:pPr>
            <w:r w:rsidRPr="00B85D62">
              <w:rPr>
                <w:rFonts w:cs="Arial"/>
                <w:lang w:eastAsia="en-GB"/>
              </w:rPr>
              <w:t>review.ab.</w:t>
            </w:r>
            <w:r w:rsidR="00B85D62" w:rsidRPr="00B85D62">
              <w:rPr>
                <w:rFonts w:cs="Arial"/>
                <w:lang w:eastAsia="en-GB"/>
              </w:rPr>
              <w:t xml:space="preserve"> </w:t>
            </w:r>
          </w:p>
        </w:tc>
      </w:tr>
      <w:tr w:rsidR="00902D4F" w:rsidRPr="00B85D62" w14:paraId="20637D54" w14:textId="77777777" w:rsidTr="00B85D62">
        <w:trPr>
          <w:cantSplit/>
        </w:trPr>
        <w:tc>
          <w:tcPr>
            <w:tcW w:w="0" w:type="auto"/>
            <w:shd w:val="clear" w:color="auto" w:fill="auto"/>
            <w:hideMark/>
          </w:tcPr>
          <w:p w14:paraId="7F029037" w14:textId="6978BA85" w:rsidR="00902D4F" w:rsidRPr="00B85D62" w:rsidRDefault="00902D4F" w:rsidP="00902D4F">
            <w:pPr>
              <w:rPr>
                <w:rFonts w:cs="Arial"/>
                <w:highlight w:val="green"/>
                <w:lang w:eastAsia="en-GB"/>
              </w:rPr>
            </w:pPr>
            <w:r w:rsidRPr="00B85D62">
              <w:rPr>
                <w:rFonts w:cs="Arial"/>
                <w:lang w:eastAsia="en-GB"/>
              </w:rPr>
              <w:t>review.pt.</w:t>
            </w:r>
            <w:r w:rsidR="00B85D62" w:rsidRPr="00B85D62">
              <w:rPr>
                <w:rFonts w:cs="Arial"/>
                <w:lang w:eastAsia="en-GB"/>
              </w:rPr>
              <w:t xml:space="preserve"> </w:t>
            </w:r>
          </w:p>
        </w:tc>
      </w:tr>
      <w:tr w:rsidR="00902D4F" w:rsidRPr="00B85D62" w14:paraId="582B911E" w14:textId="77777777" w:rsidTr="00B85D62">
        <w:trPr>
          <w:cantSplit/>
        </w:trPr>
        <w:tc>
          <w:tcPr>
            <w:tcW w:w="0" w:type="auto"/>
            <w:shd w:val="clear" w:color="auto" w:fill="auto"/>
            <w:hideMark/>
          </w:tcPr>
          <w:p w14:paraId="23CBAFFF" w14:textId="0C51507D" w:rsidR="00902D4F" w:rsidRPr="00B85D62" w:rsidRDefault="00902D4F" w:rsidP="00902D4F">
            <w:pPr>
              <w:rPr>
                <w:rFonts w:cs="Arial"/>
                <w:highlight w:val="green"/>
                <w:lang w:eastAsia="en-GB"/>
              </w:rPr>
            </w:pPr>
            <w:r w:rsidRPr="00B85D62">
              <w:rPr>
                <w:rFonts w:cs="Arial"/>
                <w:lang w:eastAsia="en-GB"/>
              </w:rPr>
              <w:t>meta-analysis.ab.</w:t>
            </w:r>
            <w:r w:rsidR="00B85D62" w:rsidRPr="00B85D62">
              <w:rPr>
                <w:rFonts w:cs="Arial"/>
                <w:lang w:eastAsia="en-GB"/>
              </w:rPr>
              <w:t xml:space="preserve"> </w:t>
            </w:r>
          </w:p>
        </w:tc>
      </w:tr>
      <w:tr w:rsidR="00902D4F" w:rsidRPr="00B85D62" w14:paraId="186BA274" w14:textId="77777777" w:rsidTr="00B85D62">
        <w:trPr>
          <w:cantSplit/>
        </w:trPr>
        <w:tc>
          <w:tcPr>
            <w:tcW w:w="0" w:type="auto"/>
            <w:shd w:val="clear" w:color="auto" w:fill="auto"/>
            <w:hideMark/>
          </w:tcPr>
          <w:p w14:paraId="1A6B10AE" w14:textId="05652A2A" w:rsidR="00902D4F" w:rsidRPr="00B85D62" w:rsidRDefault="00902D4F" w:rsidP="00902D4F">
            <w:pPr>
              <w:rPr>
                <w:rFonts w:cs="Arial"/>
                <w:highlight w:val="green"/>
                <w:lang w:eastAsia="en-GB"/>
              </w:rPr>
            </w:pPr>
            <w:r w:rsidRPr="00B85D62">
              <w:rPr>
                <w:rFonts w:cs="Arial"/>
                <w:lang w:eastAsia="en-GB"/>
              </w:rPr>
              <w:t>meta-analysis.pt.</w:t>
            </w:r>
            <w:r w:rsidR="00B85D62" w:rsidRPr="00B85D62">
              <w:rPr>
                <w:rFonts w:cs="Arial"/>
                <w:lang w:eastAsia="en-GB"/>
              </w:rPr>
              <w:t xml:space="preserve"> </w:t>
            </w:r>
          </w:p>
        </w:tc>
      </w:tr>
      <w:tr w:rsidR="00902D4F" w:rsidRPr="00B85D62" w14:paraId="6F0CBDE5" w14:textId="77777777" w:rsidTr="00B85D62">
        <w:trPr>
          <w:cantSplit/>
        </w:trPr>
        <w:tc>
          <w:tcPr>
            <w:tcW w:w="0" w:type="auto"/>
            <w:shd w:val="clear" w:color="auto" w:fill="auto"/>
            <w:hideMark/>
          </w:tcPr>
          <w:p w14:paraId="7443FB4D" w14:textId="05869A39" w:rsidR="00902D4F" w:rsidRPr="00B85D62" w:rsidRDefault="00902D4F" w:rsidP="00902D4F">
            <w:pPr>
              <w:rPr>
                <w:rFonts w:cs="Arial"/>
                <w:highlight w:val="green"/>
                <w:lang w:eastAsia="en-GB"/>
              </w:rPr>
            </w:pPr>
            <w:r w:rsidRPr="00B85D62">
              <w:rPr>
                <w:rFonts w:cs="Arial"/>
                <w:lang w:eastAsia="en-GB"/>
              </w:rPr>
              <w:t>meta-analysis.ti.</w:t>
            </w:r>
            <w:r w:rsidR="00B85D62" w:rsidRPr="00B85D62">
              <w:rPr>
                <w:rFonts w:cs="Arial"/>
                <w:lang w:eastAsia="en-GB"/>
              </w:rPr>
              <w:t xml:space="preserve"> </w:t>
            </w:r>
          </w:p>
        </w:tc>
      </w:tr>
      <w:tr w:rsidR="00902D4F" w:rsidRPr="00B85D62" w14:paraId="1874F923" w14:textId="77777777" w:rsidTr="00B85D62">
        <w:trPr>
          <w:cantSplit/>
        </w:trPr>
        <w:tc>
          <w:tcPr>
            <w:tcW w:w="0" w:type="auto"/>
            <w:shd w:val="clear" w:color="auto" w:fill="auto"/>
            <w:hideMark/>
          </w:tcPr>
          <w:p w14:paraId="56DDDD05" w14:textId="34A57527" w:rsidR="00902D4F" w:rsidRPr="00B85D62" w:rsidRDefault="00902D4F" w:rsidP="00902D4F">
            <w:pPr>
              <w:rPr>
                <w:rFonts w:cs="Arial"/>
                <w:highlight w:val="green"/>
                <w:lang w:eastAsia="en-GB"/>
              </w:rPr>
            </w:pPr>
            <w:r w:rsidRPr="00B85D62">
              <w:rPr>
                <w:rFonts w:cs="Arial"/>
                <w:lang w:eastAsia="en-GB"/>
              </w:rPr>
              <w:t>83 or 84 or 85 or 86 or 87</w:t>
            </w:r>
            <w:r w:rsidR="00B85D62" w:rsidRPr="00B85D62">
              <w:rPr>
                <w:rFonts w:cs="Arial"/>
                <w:lang w:eastAsia="en-GB"/>
              </w:rPr>
              <w:t xml:space="preserve"> </w:t>
            </w:r>
          </w:p>
        </w:tc>
      </w:tr>
      <w:tr w:rsidR="00902D4F" w:rsidRPr="00B85D62" w14:paraId="72CCA1FA" w14:textId="77777777" w:rsidTr="00B85D62">
        <w:trPr>
          <w:cantSplit/>
        </w:trPr>
        <w:tc>
          <w:tcPr>
            <w:tcW w:w="0" w:type="auto"/>
            <w:shd w:val="clear" w:color="auto" w:fill="auto"/>
            <w:hideMark/>
          </w:tcPr>
          <w:p w14:paraId="5A8671E7" w14:textId="7F628756" w:rsidR="00902D4F" w:rsidRPr="00B85D62" w:rsidRDefault="00902D4F" w:rsidP="00902D4F">
            <w:pPr>
              <w:rPr>
                <w:rFonts w:cs="Arial"/>
                <w:highlight w:val="green"/>
                <w:lang w:eastAsia="en-GB"/>
              </w:rPr>
            </w:pPr>
            <w:r w:rsidRPr="00B85D62">
              <w:rPr>
                <w:rFonts w:cs="Arial"/>
                <w:lang w:eastAsia="en-GB"/>
              </w:rPr>
              <w:t>letter.pt.</w:t>
            </w:r>
            <w:r w:rsidR="00B85D62" w:rsidRPr="00B85D62">
              <w:rPr>
                <w:rFonts w:cs="Arial"/>
                <w:lang w:eastAsia="en-GB"/>
              </w:rPr>
              <w:t xml:space="preserve"> </w:t>
            </w:r>
          </w:p>
        </w:tc>
      </w:tr>
      <w:tr w:rsidR="00902D4F" w:rsidRPr="00B85D62" w14:paraId="4C6F548D" w14:textId="77777777" w:rsidTr="00B85D62">
        <w:trPr>
          <w:cantSplit/>
        </w:trPr>
        <w:tc>
          <w:tcPr>
            <w:tcW w:w="0" w:type="auto"/>
            <w:shd w:val="clear" w:color="auto" w:fill="auto"/>
            <w:hideMark/>
          </w:tcPr>
          <w:p w14:paraId="2F6EE5B6" w14:textId="43F117BF" w:rsidR="00902D4F" w:rsidRPr="00B85D62" w:rsidRDefault="00902D4F" w:rsidP="00902D4F">
            <w:pPr>
              <w:rPr>
                <w:rFonts w:cs="Arial"/>
                <w:highlight w:val="green"/>
                <w:lang w:eastAsia="en-GB"/>
              </w:rPr>
            </w:pPr>
            <w:r w:rsidRPr="00B85D62">
              <w:rPr>
                <w:rFonts w:cs="Arial"/>
                <w:lang w:eastAsia="en-GB"/>
              </w:rPr>
              <w:t>comment.pt.</w:t>
            </w:r>
            <w:r w:rsidR="00B85D62" w:rsidRPr="00B85D62">
              <w:rPr>
                <w:rFonts w:cs="Arial"/>
                <w:lang w:eastAsia="en-GB"/>
              </w:rPr>
              <w:t xml:space="preserve"> </w:t>
            </w:r>
          </w:p>
        </w:tc>
      </w:tr>
      <w:tr w:rsidR="00902D4F" w:rsidRPr="00B85D62" w14:paraId="64FED8FD" w14:textId="77777777" w:rsidTr="00B85D62">
        <w:trPr>
          <w:cantSplit/>
        </w:trPr>
        <w:tc>
          <w:tcPr>
            <w:tcW w:w="0" w:type="auto"/>
            <w:shd w:val="clear" w:color="auto" w:fill="auto"/>
            <w:hideMark/>
          </w:tcPr>
          <w:p w14:paraId="660B9277" w14:textId="2287A50C" w:rsidR="00902D4F" w:rsidRPr="00B85D62" w:rsidRDefault="00902D4F" w:rsidP="00902D4F">
            <w:pPr>
              <w:rPr>
                <w:rFonts w:cs="Arial"/>
                <w:highlight w:val="green"/>
                <w:lang w:eastAsia="en-GB"/>
              </w:rPr>
            </w:pPr>
            <w:r w:rsidRPr="00B85D62">
              <w:rPr>
                <w:rFonts w:cs="Arial"/>
                <w:lang w:eastAsia="en-GB"/>
              </w:rPr>
              <w:t>editorial.pt.</w:t>
            </w:r>
            <w:r w:rsidR="00B85D62" w:rsidRPr="00B85D62">
              <w:rPr>
                <w:rFonts w:cs="Arial"/>
                <w:lang w:eastAsia="en-GB"/>
              </w:rPr>
              <w:t xml:space="preserve"> </w:t>
            </w:r>
          </w:p>
        </w:tc>
      </w:tr>
      <w:tr w:rsidR="00902D4F" w:rsidRPr="00B85D62" w14:paraId="20105B6E" w14:textId="77777777" w:rsidTr="00B85D62">
        <w:trPr>
          <w:cantSplit/>
        </w:trPr>
        <w:tc>
          <w:tcPr>
            <w:tcW w:w="0" w:type="auto"/>
            <w:shd w:val="clear" w:color="auto" w:fill="auto"/>
            <w:hideMark/>
          </w:tcPr>
          <w:p w14:paraId="1FD7421F" w14:textId="73F583E4" w:rsidR="00902D4F" w:rsidRPr="00B85D62" w:rsidRDefault="00902D4F" w:rsidP="00902D4F">
            <w:pPr>
              <w:rPr>
                <w:rFonts w:cs="Arial"/>
                <w:highlight w:val="green"/>
                <w:lang w:eastAsia="en-GB"/>
              </w:rPr>
            </w:pPr>
            <w:r w:rsidRPr="00B85D62">
              <w:rPr>
                <w:rFonts w:cs="Arial"/>
                <w:lang w:eastAsia="en-GB"/>
              </w:rPr>
              <w:t>89 or 90 or 91</w:t>
            </w:r>
            <w:r w:rsidR="00B85D62" w:rsidRPr="00B85D62">
              <w:rPr>
                <w:rFonts w:cs="Arial"/>
                <w:lang w:eastAsia="en-GB"/>
              </w:rPr>
              <w:t xml:space="preserve"> </w:t>
            </w:r>
          </w:p>
        </w:tc>
      </w:tr>
      <w:tr w:rsidR="00902D4F" w:rsidRPr="00B85D62" w14:paraId="73A60795" w14:textId="77777777" w:rsidTr="00B85D62">
        <w:trPr>
          <w:cantSplit/>
        </w:trPr>
        <w:tc>
          <w:tcPr>
            <w:tcW w:w="0" w:type="auto"/>
            <w:shd w:val="clear" w:color="auto" w:fill="auto"/>
            <w:hideMark/>
          </w:tcPr>
          <w:p w14:paraId="2E905F55" w14:textId="069D3831" w:rsidR="00902D4F" w:rsidRPr="00B85D62" w:rsidRDefault="00902D4F" w:rsidP="00902D4F">
            <w:pPr>
              <w:rPr>
                <w:rFonts w:cs="Arial"/>
                <w:highlight w:val="green"/>
                <w:lang w:eastAsia="en-GB"/>
              </w:rPr>
            </w:pPr>
            <w:r w:rsidRPr="00B85D62">
              <w:rPr>
                <w:rFonts w:cs="Arial"/>
                <w:lang w:eastAsia="en-GB"/>
              </w:rPr>
              <w:t>88 not 92</w:t>
            </w:r>
            <w:r w:rsidR="00B85D62" w:rsidRPr="00B85D62">
              <w:rPr>
                <w:rFonts w:cs="Arial"/>
                <w:lang w:eastAsia="en-GB"/>
              </w:rPr>
              <w:t xml:space="preserve"> </w:t>
            </w:r>
          </w:p>
        </w:tc>
      </w:tr>
      <w:tr w:rsidR="00902D4F" w:rsidRPr="00B85D62" w14:paraId="4DF37CCD" w14:textId="77777777" w:rsidTr="00B85D62">
        <w:trPr>
          <w:cantSplit/>
        </w:trPr>
        <w:tc>
          <w:tcPr>
            <w:tcW w:w="0" w:type="auto"/>
            <w:shd w:val="clear" w:color="auto" w:fill="auto"/>
            <w:hideMark/>
          </w:tcPr>
          <w:p w14:paraId="437DD8D0" w14:textId="75A259C8" w:rsidR="00902D4F" w:rsidRPr="00B85D62" w:rsidRDefault="00902D4F" w:rsidP="00902D4F">
            <w:pPr>
              <w:rPr>
                <w:rFonts w:cs="Arial"/>
                <w:highlight w:val="green"/>
                <w:lang w:eastAsia="en-GB"/>
              </w:rPr>
            </w:pPr>
            <w:r w:rsidRPr="00B85D62">
              <w:rPr>
                <w:rFonts w:cs="Arial"/>
                <w:lang w:eastAsia="en-GB"/>
              </w:rPr>
              <w:t>11 and 63 and 82 and 93</w:t>
            </w:r>
            <w:r w:rsidR="00B85D62" w:rsidRPr="00B85D62">
              <w:rPr>
                <w:rFonts w:cs="Arial"/>
                <w:lang w:eastAsia="en-GB"/>
              </w:rPr>
              <w:t xml:space="preserve"> </w:t>
            </w:r>
          </w:p>
        </w:tc>
      </w:tr>
      <w:tr w:rsidR="00902D4F" w:rsidRPr="00B85D62" w14:paraId="6E3CBE9E" w14:textId="77777777" w:rsidTr="00B85D62">
        <w:trPr>
          <w:cantSplit/>
        </w:trPr>
        <w:tc>
          <w:tcPr>
            <w:tcW w:w="0" w:type="auto"/>
            <w:shd w:val="clear" w:color="auto" w:fill="auto"/>
            <w:hideMark/>
          </w:tcPr>
          <w:p w14:paraId="1107AB21" w14:textId="490E3BA0" w:rsidR="00902D4F" w:rsidRPr="00B85D62" w:rsidRDefault="00B85D62" w:rsidP="00902D4F">
            <w:pPr>
              <w:rPr>
                <w:rFonts w:cs="Arial"/>
                <w:highlight w:val="green"/>
                <w:lang w:eastAsia="en-GB"/>
              </w:rPr>
            </w:pPr>
            <w:r w:rsidRPr="00B85D62">
              <w:rPr>
                <w:rFonts w:cs="Arial"/>
                <w:lang w:eastAsia="en-GB"/>
              </w:rPr>
              <w:t xml:space="preserve"> </w:t>
            </w:r>
            <w:r w:rsidR="00902D4F" w:rsidRPr="00B85D62">
              <w:rPr>
                <w:rFonts w:cs="Arial"/>
                <w:lang w:eastAsia="en-GB"/>
              </w:rPr>
              <w:t>limit 94 to</w:t>
            </w:r>
            <w:r w:rsidRPr="00B85D62">
              <w:rPr>
                <w:rFonts w:cs="Arial"/>
                <w:lang w:eastAsia="en-GB"/>
              </w:rPr>
              <w:t xml:space="preserve"> </w:t>
            </w:r>
            <w:r w:rsidR="00902D4F" w:rsidRPr="00B85D62">
              <w:rPr>
                <w:rFonts w:cs="Arial"/>
                <w:lang w:eastAsia="en-GB"/>
              </w:rPr>
              <w:t>yr=</w:t>
            </w:r>
            <w:r w:rsidRPr="00B85D62">
              <w:rPr>
                <w:rFonts w:cs="Arial"/>
                <w:lang w:eastAsia="en-GB"/>
              </w:rPr>
              <w:t>“</w:t>
            </w:r>
            <w:r w:rsidR="00902D4F" w:rsidRPr="00B85D62">
              <w:rPr>
                <w:rFonts w:cs="Arial"/>
                <w:lang w:eastAsia="en-GB"/>
              </w:rPr>
              <w:t>2008</w:t>
            </w:r>
            <w:r w:rsidRPr="00B85D62">
              <w:rPr>
                <w:rFonts w:cs="Arial"/>
                <w:color w:val="00B0F0"/>
                <w:lang w:eastAsia="en-GB"/>
              </w:rPr>
              <w:t xml:space="preserve"> – </w:t>
            </w:r>
            <w:r w:rsidR="00902D4F" w:rsidRPr="00B85D62">
              <w:rPr>
                <w:rFonts w:cs="Arial"/>
                <w:lang w:eastAsia="en-GB"/>
              </w:rPr>
              <w:t>2018</w:t>
            </w:r>
            <w:r w:rsidRPr="00B85D62">
              <w:rPr>
                <w:rFonts w:cs="Arial"/>
                <w:lang w:eastAsia="en-GB"/>
              </w:rPr>
              <w:t xml:space="preserve">” </w:t>
            </w:r>
          </w:p>
        </w:tc>
      </w:tr>
    </w:tbl>
    <w:p w14:paraId="6713BBA0" w14:textId="77777777" w:rsidR="00B85D62" w:rsidRPr="00B85D62" w:rsidRDefault="00B85D62" w:rsidP="00902D4F">
      <w:pPr>
        <w:textAlignment w:val="baseline"/>
        <w:rPr>
          <w:rFonts w:cs="Arial"/>
          <w:lang w:eastAsia="en-GB"/>
        </w:rPr>
      </w:pPr>
    </w:p>
    <w:p w14:paraId="005AF613" w14:textId="054E8BDC" w:rsidR="00902D4F" w:rsidRPr="00B85D62" w:rsidRDefault="00B85D62" w:rsidP="00E06F79">
      <w:pPr>
        <w:pStyle w:val="Caption"/>
        <w:rPr>
          <w:rFonts w:eastAsia="Calibri" w:cs="Arial"/>
        </w:rPr>
      </w:pPr>
      <w:bookmarkStart w:id="322" w:name="_Toc107157381"/>
      <w:r w:rsidRPr="00B85D62">
        <w:rPr>
          <w:i/>
          <w:color w:val="FF0000"/>
        </w:rPr>
        <w:t>T</w:t>
      </w:r>
      <w:r w:rsidRPr="00B85D62">
        <w:rPr>
          <w:i/>
          <w:color w:val="FF0000"/>
        </w:rPr>
        <w:t>able</w:t>
      </w:r>
      <w:r w:rsidRPr="00B85D62">
        <w:rPr>
          <w:i/>
          <w:color w:val="FF0000"/>
        </w:rPr>
        <w:t xml:space="preserve"> </w:t>
      </w:r>
      <w:r w:rsidRPr="00B85D62">
        <w:rPr>
          <w:i/>
          <w:noProof/>
          <w:color w:val="FF0000"/>
        </w:rPr>
        <w:t>27</w:t>
      </w:r>
      <w:r w:rsidR="00902D4F" w:rsidRPr="00B85D62">
        <w:rPr>
          <w:rFonts w:eastAsia="Calibri" w:cs="Arial"/>
          <w:b w:val="0"/>
        </w:rPr>
        <w:t>:</w:t>
      </w:r>
      <w:r w:rsidR="006A155D" w:rsidRPr="00B85D62">
        <w:rPr>
          <w:rFonts w:eastAsia="Calibri" w:cs="Arial"/>
          <w:b w:val="0"/>
        </w:rPr>
        <w:t xml:space="preserve"> </w:t>
      </w:r>
      <w:r w:rsidR="00902D4F" w:rsidRPr="00B85D62">
        <w:rPr>
          <w:rFonts w:eastAsia="Calibri" w:cs="Arial"/>
          <w:b w:val="0"/>
        </w:rPr>
        <w:t>MEDLINE search strategy for Systematic Review 4</w:t>
      </w:r>
      <w:bookmarkEnd w:id="32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026"/>
      </w:tblGrid>
      <w:tr w:rsidR="00902D4F" w:rsidRPr="00B85D62" w14:paraId="207CF655" w14:textId="77777777" w:rsidTr="00B85D62">
        <w:trPr>
          <w:cantSplit/>
        </w:trPr>
        <w:tc>
          <w:tcPr>
            <w:tcW w:w="0" w:type="auto"/>
            <w:shd w:val="clear" w:color="auto" w:fill="auto"/>
          </w:tcPr>
          <w:p w14:paraId="40192A6A" w14:textId="07F13E70" w:rsidR="00902D4F" w:rsidRPr="00B85D62" w:rsidRDefault="00902D4F" w:rsidP="00581161">
            <w:pPr>
              <w:spacing w:line="259" w:lineRule="auto"/>
              <w:rPr>
                <w:rFonts w:eastAsia="Calibri" w:cs="Arial"/>
                <w:highlight w:val="green"/>
              </w:rPr>
            </w:pPr>
            <w:r w:rsidRPr="00B85D62">
              <w:rPr>
                <w:rFonts w:eastAsia="Calibri" w:cs="Arial"/>
                <w:highlight w:val="green"/>
              </w:rPr>
              <w:t>1</w:t>
            </w:r>
            <w:r w:rsidR="006A155D" w:rsidRPr="00B85D62">
              <w:rPr>
                <w:rFonts w:eastAsia="Calibri" w:cs="Arial"/>
                <w:highlight w:val="green"/>
              </w:rPr>
              <w:t xml:space="preserve">  </w:t>
            </w:r>
            <w:r w:rsidRPr="00B85D62">
              <w:rPr>
                <w:rFonts w:eastAsia="Calibri" w:cs="Arial"/>
                <w:highlight w:val="green"/>
              </w:rPr>
              <w:t xml:space="preserve"> exp hyperlipoproteinemia type ii/ or exp hyperlipoproteinemia type iii/ or exp</w:t>
            </w:r>
            <w:r w:rsidR="006A155D" w:rsidRPr="00B85D62">
              <w:rPr>
                <w:rFonts w:eastAsia="Calibri" w:cs="Arial"/>
                <w:highlight w:val="green"/>
              </w:rPr>
              <w:t xml:space="preserve">  </w:t>
            </w:r>
            <w:r w:rsidRPr="00B85D62">
              <w:rPr>
                <w:rFonts w:eastAsia="Calibri" w:cs="Arial"/>
                <w:highlight w:val="green"/>
              </w:rPr>
              <w:t xml:space="preserve"> hyperlipoproteinemia type iv/ or exp hyperlipoproteinemia type v/ or hypoalphalipoproteinemias/</w:t>
            </w:r>
            <w:r w:rsidR="006A155D" w:rsidRPr="00B85D62">
              <w:rPr>
                <w:rFonts w:eastAsia="Calibri" w:cs="Arial"/>
                <w:highlight w:val="green"/>
              </w:rPr>
              <w:t xml:space="preserve"> </w:t>
            </w:r>
          </w:p>
        </w:tc>
      </w:tr>
      <w:tr w:rsidR="00902D4F" w:rsidRPr="00B85D62" w14:paraId="09B8B375" w14:textId="77777777" w:rsidTr="00B85D62">
        <w:trPr>
          <w:cantSplit/>
        </w:trPr>
        <w:tc>
          <w:tcPr>
            <w:tcW w:w="0" w:type="auto"/>
            <w:shd w:val="clear" w:color="auto" w:fill="auto"/>
          </w:tcPr>
          <w:p w14:paraId="7502DBD7" w14:textId="21A0008B" w:rsidR="00902D4F" w:rsidRPr="00B85D62" w:rsidRDefault="00902D4F" w:rsidP="00581161">
            <w:pPr>
              <w:spacing w:line="259" w:lineRule="auto"/>
              <w:rPr>
                <w:rFonts w:eastAsia="Calibri" w:cs="Arial"/>
                <w:highlight w:val="green"/>
              </w:rPr>
            </w:pPr>
            <w:r w:rsidRPr="00B85D62">
              <w:rPr>
                <w:rFonts w:eastAsia="Calibri" w:cs="Arial"/>
                <w:highlight w:val="green"/>
              </w:rPr>
              <w:t>2</w:t>
            </w:r>
            <w:r w:rsidR="006A155D" w:rsidRPr="00B85D62">
              <w:rPr>
                <w:rFonts w:eastAsia="Calibri" w:cs="Arial"/>
                <w:highlight w:val="green"/>
              </w:rPr>
              <w:t xml:space="preserve">  </w:t>
            </w:r>
            <w:r w:rsidRPr="00B85D62">
              <w:rPr>
                <w:rFonts w:eastAsia="Calibri" w:cs="Arial"/>
                <w:highlight w:val="green"/>
              </w:rPr>
              <w:t xml:space="preserve"> (Hyperlipoprotein?emia* adj (type II or type IIa or type IIb or type 2 or type 2a or type 2b)).mp.</w:t>
            </w:r>
            <w:r w:rsidR="006A155D" w:rsidRPr="00B85D62">
              <w:rPr>
                <w:rFonts w:eastAsia="Calibri" w:cs="Arial"/>
                <w:highlight w:val="green"/>
              </w:rPr>
              <w:t xml:space="preserve">  </w:t>
            </w:r>
          </w:p>
        </w:tc>
      </w:tr>
      <w:tr w:rsidR="00902D4F" w:rsidRPr="00B85D62" w14:paraId="7B217F9D" w14:textId="77777777" w:rsidTr="00B85D62">
        <w:trPr>
          <w:cantSplit/>
        </w:trPr>
        <w:tc>
          <w:tcPr>
            <w:tcW w:w="0" w:type="auto"/>
            <w:shd w:val="clear" w:color="auto" w:fill="auto"/>
          </w:tcPr>
          <w:p w14:paraId="0DC935CC" w14:textId="67FA99DE" w:rsidR="00902D4F" w:rsidRPr="00B85D62" w:rsidRDefault="00902D4F" w:rsidP="00581161">
            <w:pPr>
              <w:spacing w:line="259" w:lineRule="auto"/>
              <w:rPr>
                <w:rFonts w:eastAsia="Calibri" w:cs="Arial"/>
                <w:highlight w:val="green"/>
              </w:rPr>
            </w:pPr>
            <w:r w:rsidRPr="00B85D62">
              <w:rPr>
                <w:rFonts w:eastAsia="Calibri" w:cs="Arial"/>
                <w:highlight w:val="green"/>
              </w:rPr>
              <w:t>3</w:t>
            </w:r>
            <w:r w:rsidR="006A155D" w:rsidRPr="00B85D62">
              <w:rPr>
                <w:rFonts w:eastAsia="Calibri" w:cs="Arial"/>
                <w:highlight w:val="green"/>
              </w:rPr>
              <w:t xml:space="preserve">  </w:t>
            </w:r>
            <w:r w:rsidRPr="00B85D62">
              <w:rPr>
                <w:rFonts w:eastAsia="Calibri" w:cs="Arial"/>
                <w:highlight w:val="green"/>
              </w:rPr>
              <w:t xml:space="preserve"> familial hypercholesterol*.ti,ab.</w:t>
            </w:r>
            <w:r w:rsidR="006A155D" w:rsidRPr="00B85D62">
              <w:rPr>
                <w:rFonts w:eastAsia="Calibri" w:cs="Arial"/>
                <w:highlight w:val="green"/>
              </w:rPr>
              <w:t xml:space="preserve"> </w:t>
            </w:r>
          </w:p>
        </w:tc>
      </w:tr>
      <w:tr w:rsidR="00902D4F" w:rsidRPr="00B85D62" w14:paraId="0BD97EE5" w14:textId="77777777" w:rsidTr="00B85D62">
        <w:trPr>
          <w:cantSplit/>
        </w:trPr>
        <w:tc>
          <w:tcPr>
            <w:tcW w:w="0" w:type="auto"/>
            <w:shd w:val="clear" w:color="auto" w:fill="auto"/>
          </w:tcPr>
          <w:p w14:paraId="4F29A631" w14:textId="3C712966" w:rsidR="00902D4F" w:rsidRPr="00B85D62" w:rsidRDefault="00902D4F" w:rsidP="00581161">
            <w:pPr>
              <w:spacing w:line="259" w:lineRule="auto"/>
              <w:rPr>
                <w:rFonts w:eastAsia="Calibri" w:cs="Arial"/>
                <w:highlight w:val="green"/>
              </w:rPr>
            </w:pPr>
            <w:r w:rsidRPr="00B85D62">
              <w:rPr>
                <w:rFonts w:eastAsia="Calibri" w:cs="Arial"/>
                <w:highlight w:val="green"/>
              </w:rPr>
              <w:t>4</w:t>
            </w:r>
            <w:r w:rsidR="006A155D" w:rsidRPr="00B85D62">
              <w:rPr>
                <w:rFonts w:eastAsia="Calibri" w:cs="Arial"/>
                <w:highlight w:val="green"/>
              </w:rPr>
              <w:t xml:space="preserve">  </w:t>
            </w:r>
            <w:r w:rsidRPr="00B85D62">
              <w:rPr>
                <w:rFonts w:eastAsia="Calibri" w:cs="Arial"/>
                <w:highlight w:val="green"/>
              </w:rPr>
              <w:t xml:space="preserve"> hyperlipoprotein*.ti,ab.</w:t>
            </w:r>
            <w:r w:rsidR="006A155D" w:rsidRPr="00B85D62">
              <w:rPr>
                <w:rFonts w:eastAsia="Calibri" w:cs="Arial"/>
                <w:highlight w:val="green"/>
              </w:rPr>
              <w:t xml:space="preserve"> </w:t>
            </w:r>
          </w:p>
        </w:tc>
      </w:tr>
      <w:tr w:rsidR="00902D4F" w:rsidRPr="00B85D62" w14:paraId="5771B5BB" w14:textId="77777777" w:rsidTr="00B85D62">
        <w:trPr>
          <w:cantSplit/>
        </w:trPr>
        <w:tc>
          <w:tcPr>
            <w:tcW w:w="0" w:type="auto"/>
            <w:shd w:val="clear" w:color="auto" w:fill="auto"/>
          </w:tcPr>
          <w:p w14:paraId="31E5C98B" w14:textId="7F57EB7E" w:rsidR="00902D4F" w:rsidRPr="00B85D62" w:rsidRDefault="00902D4F" w:rsidP="00581161">
            <w:pPr>
              <w:spacing w:line="259" w:lineRule="auto"/>
              <w:rPr>
                <w:rFonts w:eastAsia="Calibri" w:cs="Arial"/>
                <w:highlight w:val="green"/>
              </w:rPr>
            </w:pPr>
            <w:r w:rsidRPr="00B85D62">
              <w:rPr>
                <w:rFonts w:eastAsia="Calibri" w:cs="Arial"/>
                <w:highlight w:val="green"/>
              </w:rPr>
              <w:t>5</w:t>
            </w:r>
            <w:r w:rsidR="006A155D" w:rsidRPr="00B85D62">
              <w:rPr>
                <w:rFonts w:eastAsia="Calibri" w:cs="Arial"/>
                <w:highlight w:val="green"/>
              </w:rPr>
              <w:t xml:space="preserve">  </w:t>
            </w:r>
            <w:r w:rsidRPr="00B85D62">
              <w:rPr>
                <w:rFonts w:eastAsia="Calibri" w:cs="Arial"/>
                <w:highlight w:val="green"/>
              </w:rPr>
              <w:t xml:space="preserve"> exp cholesterol/</w:t>
            </w:r>
            <w:r w:rsidR="006A155D" w:rsidRPr="00B85D62">
              <w:rPr>
                <w:rFonts w:eastAsia="Calibri" w:cs="Arial"/>
                <w:highlight w:val="green"/>
              </w:rPr>
              <w:t xml:space="preserve"> </w:t>
            </w:r>
          </w:p>
        </w:tc>
      </w:tr>
      <w:tr w:rsidR="00902D4F" w:rsidRPr="00B85D62" w14:paraId="337815E6" w14:textId="77777777" w:rsidTr="00B85D62">
        <w:trPr>
          <w:cantSplit/>
        </w:trPr>
        <w:tc>
          <w:tcPr>
            <w:tcW w:w="0" w:type="auto"/>
            <w:shd w:val="clear" w:color="auto" w:fill="auto"/>
          </w:tcPr>
          <w:p w14:paraId="4055B7C7" w14:textId="6F60FC31" w:rsidR="00902D4F" w:rsidRPr="00B85D62" w:rsidRDefault="00902D4F" w:rsidP="00581161">
            <w:pPr>
              <w:spacing w:line="259" w:lineRule="auto"/>
              <w:rPr>
                <w:rFonts w:eastAsia="Calibri" w:cs="Arial"/>
                <w:highlight w:val="green"/>
              </w:rPr>
            </w:pPr>
            <w:r w:rsidRPr="00B85D62">
              <w:rPr>
                <w:rFonts w:eastAsia="Calibri" w:cs="Arial"/>
                <w:highlight w:val="green"/>
              </w:rPr>
              <w:t>6</w:t>
            </w:r>
            <w:r w:rsidR="006A155D" w:rsidRPr="00B85D62">
              <w:rPr>
                <w:rFonts w:eastAsia="Calibri" w:cs="Arial"/>
                <w:highlight w:val="green"/>
              </w:rPr>
              <w:t xml:space="preserve">  </w:t>
            </w:r>
            <w:r w:rsidRPr="00B85D62">
              <w:rPr>
                <w:rFonts w:eastAsia="Calibri" w:cs="Arial"/>
                <w:highlight w:val="green"/>
              </w:rPr>
              <w:t xml:space="preserve"> 1 or 2 or 3 or 4 or 5</w:t>
            </w:r>
            <w:r w:rsidR="006A155D" w:rsidRPr="00B85D62">
              <w:rPr>
                <w:rFonts w:eastAsia="Calibri" w:cs="Arial"/>
                <w:highlight w:val="green"/>
              </w:rPr>
              <w:t xml:space="preserve"> </w:t>
            </w:r>
          </w:p>
        </w:tc>
      </w:tr>
      <w:tr w:rsidR="00902D4F" w:rsidRPr="00B85D62" w14:paraId="3D2A3DB8" w14:textId="77777777" w:rsidTr="00B85D62">
        <w:trPr>
          <w:cantSplit/>
        </w:trPr>
        <w:tc>
          <w:tcPr>
            <w:tcW w:w="0" w:type="auto"/>
            <w:shd w:val="clear" w:color="auto" w:fill="auto"/>
          </w:tcPr>
          <w:p w14:paraId="20ECF2C5" w14:textId="3AF156FC" w:rsidR="00902D4F" w:rsidRPr="00B85D62" w:rsidRDefault="00902D4F" w:rsidP="00581161">
            <w:pPr>
              <w:spacing w:line="259" w:lineRule="auto"/>
              <w:rPr>
                <w:rFonts w:eastAsia="Calibri" w:cs="Arial"/>
                <w:highlight w:val="green"/>
              </w:rPr>
            </w:pPr>
            <w:r w:rsidRPr="00B85D62">
              <w:rPr>
                <w:rFonts w:eastAsia="Calibri" w:cs="Arial"/>
                <w:highlight w:val="green"/>
              </w:rPr>
              <w:t>7</w:t>
            </w:r>
            <w:r w:rsidR="006A155D" w:rsidRPr="00B85D62">
              <w:rPr>
                <w:rFonts w:eastAsia="Calibri" w:cs="Arial"/>
                <w:highlight w:val="green"/>
              </w:rPr>
              <w:t xml:space="preserve">  </w:t>
            </w:r>
            <w:r w:rsidRPr="00B85D62">
              <w:rPr>
                <w:rFonts w:eastAsia="Calibri" w:cs="Arial"/>
                <w:highlight w:val="green"/>
              </w:rPr>
              <w:t xml:space="preserve"> exp Genetic Testing/</w:t>
            </w:r>
            <w:r w:rsidR="006A155D" w:rsidRPr="00B85D62">
              <w:rPr>
                <w:rFonts w:eastAsia="Calibri" w:cs="Arial"/>
                <w:highlight w:val="green"/>
              </w:rPr>
              <w:t xml:space="preserve"> </w:t>
            </w:r>
          </w:p>
        </w:tc>
      </w:tr>
      <w:tr w:rsidR="00902D4F" w:rsidRPr="00B85D62" w14:paraId="2DE97097" w14:textId="77777777" w:rsidTr="00B85D62">
        <w:trPr>
          <w:cantSplit/>
        </w:trPr>
        <w:tc>
          <w:tcPr>
            <w:tcW w:w="0" w:type="auto"/>
            <w:shd w:val="clear" w:color="auto" w:fill="auto"/>
          </w:tcPr>
          <w:p w14:paraId="188E80A1" w14:textId="707F0101" w:rsidR="00902D4F" w:rsidRPr="00B85D62" w:rsidRDefault="00902D4F" w:rsidP="00581161">
            <w:pPr>
              <w:spacing w:line="259" w:lineRule="auto"/>
              <w:rPr>
                <w:rFonts w:eastAsia="Calibri" w:cs="Arial"/>
                <w:highlight w:val="green"/>
              </w:rPr>
            </w:pPr>
            <w:r w:rsidRPr="00B85D62">
              <w:rPr>
                <w:rFonts w:eastAsia="Calibri" w:cs="Arial"/>
                <w:highlight w:val="green"/>
              </w:rPr>
              <w:t>8</w:t>
            </w:r>
            <w:r w:rsidR="006A155D" w:rsidRPr="00B85D62">
              <w:rPr>
                <w:rFonts w:eastAsia="Calibri" w:cs="Arial"/>
                <w:highlight w:val="green"/>
              </w:rPr>
              <w:t xml:space="preserve">  </w:t>
            </w:r>
            <w:r w:rsidRPr="00B85D62">
              <w:rPr>
                <w:rFonts w:eastAsia="Calibri" w:cs="Arial"/>
                <w:highlight w:val="green"/>
              </w:rPr>
              <w:t xml:space="preserve"> exp Genetic Predisposition to Disease/</w:t>
            </w:r>
            <w:r w:rsidR="006A155D" w:rsidRPr="00B85D62">
              <w:rPr>
                <w:rFonts w:eastAsia="Calibri" w:cs="Arial"/>
                <w:highlight w:val="green"/>
              </w:rPr>
              <w:t xml:space="preserve"> </w:t>
            </w:r>
          </w:p>
        </w:tc>
      </w:tr>
      <w:tr w:rsidR="00902D4F" w:rsidRPr="00B85D62" w14:paraId="2A5FD70B" w14:textId="77777777" w:rsidTr="00B85D62">
        <w:trPr>
          <w:cantSplit/>
        </w:trPr>
        <w:tc>
          <w:tcPr>
            <w:tcW w:w="0" w:type="auto"/>
            <w:shd w:val="clear" w:color="auto" w:fill="auto"/>
          </w:tcPr>
          <w:p w14:paraId="6F910AFF" w14:textId="4FE812C0" w:rsidR="00902D4F" w:rsidRPr="00B85D62" w:rsidRDefault="00902D4F" w:rsidP="00581161">
            <w:pPr>
              <w:spacing w:line="259" w:lineRule="auto"/>
              <w:rPr>
                <w:rFonts w:eastAsia="Calibri" w:cs="Arial"/>
                <w:highlight w:val="green"/>
              </w:rPr>
            </w:pPr>
            <w:r w:rsidRPr="00B85D62">
              <w:rPr>
                <w:rFonts w:eastAsia="Calibri" w:cs="Arial"/>
                <w:highlight w:val="green"/>
              </w:rPr>
              <w:t>9</w:t>
            </w:r>
            <w:r w:rsidR="006A155D" w:rsidRPr="00B85D62">
              <w:rPr>
                <w:rFonts w:eastAsia="Calibri" w:cs="Arial"/>
                <w:highlight w:val="green"/>
              </w:rPr>
              <w:t xml:space="preserve">  </w:t>
            </w:r>
            <w:r w:rsidRPr="00B85D62">
              <w:rPr>
                <w:rFonts w:eastAsia="Calibri" w:cs="Arial"/>
                <w:highlight w:val="green"/>
              </w:rPr>
              <w:t xml:space="preserve"> (diagnostic genetic test* or predictive genetic test*).ti,ab.</w:t>
            </w:r>
            <w:r w:rsidR="006A155D" w:rsidRPr="00B85D62">
              <w:rPr>
                <w:rFonts w:eastAsia="Calibri" w:cs="Arial"/>
                <w:highlight w:val="green"/>
              </w:rPr>
              <w:t xml:space="preserve"> </w:t>
            </w:r>
          </w:p>
        </w:tc>
      </w:tr>
      <w:tr w:rsidR="00902D4F" w:rsidRPr="00B85D62" w14:paraId="02FE7B2E" w14:textId="77777777" w:rsidTr="00B85D62">
        <w:trPr>
          <w:cantSplit/>
        </w:trPr>
        <w:tc>
          <w:tcPr>
            <w:tcW w:w="0" w:type="auto"/>
            <w:shd w:val="clear" w:color="auto" w:fill="auto"/>
          </w:tcPr>
          <w:p w14:paraId="39C984F5" w14:textId="2614A646" w:rsidR="00902D4F" w:rsidRPr="00B85D62" w:rsidRDefault="00902D4F" w:rsidP="00581161">
            <w:pPr>
              <w:spacing w:line="259" w:lineRule="auto"/>
              <w:rPr>
                <w:rFonts w:eastAsia="Calibri" w:cs="Arial"/>
                <w:highlight w:val="green"/>
              </w:rPr>
            </w:pPr>
            <w:r w:rsidRPr="00B85D62">
              <w:rPr>
                <w:rFonts w:eastAsia="Calibri" w:cs="Arial"/>
                <w:highlight w:val="green"/>
              </w:rPr>
              <w:t>10</w:t>
            </w:r>
            <w:r w:rsidR="006A155D" w:rsidRPr="00B85D62">
              <w:rPr>
                <w:rFonts w:eastAsia="Calibri" w:cs="Arial"/>
                <w:highlight w:val="green"/>
              </w:rPr>
              <w:t xml:space="preserve">  </w:t>
            </w:r>
            <w:r w:rsidRPr="00B85D62">
              <w:rPr>
                <w:rFonts w:eastAsia="Calibri" w:cs="Arial"/>
                <w:highlight w:val="green"/>
              </w:rPr>
              <w:t xml:space="preserve"> (gen* adj3 (susceptib* or test* or disease* or risk* or assess*)).ti,ab. </w:t>
            </w:r>
          </w:p>
        </w:tc>
      </w:tr>
      <w:tr w:rsidR="00902D4F" w:rsidRPr="00B85D62" w14:paraId="5B6AF693" w14:textId="77777777" w:rsidTr="00B85D62">
        <w:trPr>
          <w:cantSplit/>
        </w:trPr>
        <w:tc>
          <w:tcPr>
            <w:tcW w:w="0" w:type="auto"/>
            <w:shd w:val="clear" w:color="auto" w:fill="auto"/>
          </w:tcPr>
          <w:p w14:paraId="77C854D2" w14:textId="22561BEA" w:rsidR="00902D4F" w:rsidRPr="00B85D62" w:rsidRDefault="00902D4F" w:rsidP="00581161">
            <w:pPr>
              <w:spacing w:line="259" w:lineRule="auto"/>
              <w:rPr>
                <w:rFonts w:eastAsia="Calibri" w:cs="Arial"/>
                <w:highlight w:val="green"/>
              </w:rPr>
            </w:pPr>
            <w:r w:rsidRPr="00B85D62">
              <w:rPr>
                <w:rFonts w:eastAsia="Calibri" w:cs="Arial"/>
                <w:highlight w:val="green"/>
              </w:rPr>
              <w:t>11</w:t>
            </w:r>
            <w:r w:rsidR="006A155D" w:rsidRPr="00B85D62">
              <w:rPr>
                <w:rFonts w:eastAsia="Calibri" w:cs="Arial"/>
                <w:highlight w:val="green"/>
              </w:rPr>
              <w:t xml:space="preserve">  </w:t>
            </w:r>
            <w:r w:rsidRPr="00B85D62">
              <w:rPr>
                <w:rFonts w:eastAsia="Calibri" w:cs="Arial"/>
                <w:highlight w:val="green"/>
              </w:rPr>
              <w:t xml:space="preserve"> (diagnos* adj3 (performance* or accur* or utilit* or value* or efficien* or effectiveness)).ti,ab.</w:t>
            </w:r>
            <w:r w:rsidR="006A155D" w:rsidRPr="00B85D62">
              <w:rPr>
                <w:rFonts w:eastAsia="Calibri" w:cs="Arial"/>
                <w:highlight w:val="green"/>
              </w:rPr>
              <w:t xml:space="preserve"> </w:t>
            </w:r>
          </w:p>
        </w:tc>
      </w:tr>
      <w:tr w:rsidR="00902D4F" w:rsidRPr="00B85D62" w14:paraId="6CFA7C9B" w14:textId="77777777" w:rsidTr="00B85D62">
        <w:trPr>
          <w:cantSplit/>
        </w:trPr>
        <w:tc>
          <w:tcPr>
            <w:tcW w:w="0" w:type="auto"/>
            <w:shd w:val="clear" w:color="auto" w:fill="auto"/>
          </w:tcPr>
          <w:p w14:paraId="318240BE" w14:textId="345777D5" w:rsidR="00902D4F" w:rsidRPr="00B85D62" w:rsidRDefault="00902D4F" w:rsidP="00581161">
            <w:pPr>
              <w:spacing w:line="259" w:lineRule="auto"/>
              <w:rPr>
                <w:rFonts w:eastAsia="Calibri" w:cs="Arial"/>
                <w:highlight w:val="green"/>
              </w:rPr>
            </w:pPr>
            <w:r w:rsidRPr="00B85D62">
              <w:rPr>
                <w:rFonts w:eastAsia="Calibri" w:cs="Arial"/>
                <w:highlight w:val="green"/>
              </w:rPr>
              <w:t>12</w:t>
            </w:r>
            <w:r w:rsidR="006A155D" w:rsidRPr="00B85D62">
              <w:rPr>
                <w:rFonts w:eastAsia="Calibri" w:cs="Arial"/>
                <w:highlight w:val="green"/>
              </w:rPr>
              <w:t xml:space="preserve">  </w:t>
            </w:r>
            <w:r w:rsidRPr="00B85D62">
              <w:rPr>
                <w:rFonts w:eastAsia="Calibri" w:cs="Arial"/>
                <w:highlight w:val="green"/>
              </w:rPr>
              <w:t xml:space="preserve"> exp MOLECULAR DIAGNOSTIC TECHNIQUES/ or molecular testing.ti,ab.</w:t>
            </w:r>
            <w:r w:rsidR="006A155D" w:rsidRPr="00B85D62">
              <w:rPr>
                <w:rFonts w:eastAsia="Calibri" w:cs="Arial"/>
                <w:highlight w:val="green"/>
              </w:rPr>
              <w:t xml:space="preserve"> </w:t>
            </w:r>
          </w:p>
        </w:tc>
      </w:tr>
      <w:tr w:rsidR="00902D4F" w:rsidRPr="00B85D62" w14:paraId="59312BF1" w14:textId="77777777" w:rsidTr="00B85D62">
        <w:trPr>
          <w:cantSplit/>
        </w:trPr>
        <w:tc>
          <w:tcPr>
            <w:tcW w:w="0" w:type="auto"/>
            <w:shd w:val="clear" w:color="auto" w:fill="auto"/>
          </w:tcPr>
          <w:p w14:paraId="608B405D" w14:textId="4EDB08C1" w:rsidR="00902D4F" w:rsidRPr="00B85D62" w:rsidRDefault="00902D4F" w:rsidP="00581161">
            <w:pPr>
              <w:spacing w:line="259" w:lineRule="auto"/>
              <w:rPr>
                <w:rFonts w:eastAsia="Calibri" w:cs="Arial"/>
                <w:highlight w:val="green"/>
              </w:rPr>
            </w:pPr>
            <w:r w:rsidRPr="00B85D62">
              <w:rPr>
                <w:rFonts w:eastAsia="Calibri" w:cs="Arial"/>
                <w:highlight w:val="green"/>
              </w:rPr>
              <w:t>13</w:t>
            </w:r>
            <w:r w:rsidR="006A155D" w:rsidRPr="00B85D62">
              <w:rPr>
                <w:rFonts w:eastAsia="Calibri" w:cs="Arial"/>
                <w:highlight w:val="green"/>
              </w:rPr>
              <w:t xml:space="preserve">  </w:t>
            </w:r>
            <w:r w:rsidRPr="00B85D62">
              <w:rPr>
                <w:rFonts w:eastAsia="Calibri" w:cs="Arial"/>
                <w:highlight w:val="green"/>
              </w:rPr>
              <w:t xml:space="preserve"> (LDLR* or APOB* or low density lipoprotein receptor or Apolipoprotein B).mp.</w:t>
            </w:r>
            <w:r w:rsidR="006A155D" w:rsidRPr="00B85D62">
              <w:rPr>
                <w:rFonts w:eastAsia="Calibri" w:cs="Arial"/>
                <w:highlight w:val="green"/>
              </w:rPr>
              <w:t xml:space="preserve"> </w:t>
            </w:r>
          </w:p>
        </w:tc>
      </w:tr>
      <w:tr w:rsidR="00902D4F" w:rsidRPr="00B85D62" w14:paraId="29C9AD6D" w14:textId="77777777" w:rsidTr="00B85D62">
        <w:trPr>
          <w:cantSplit/>
        </w:trPr>
        <w:tc>
          <w:tcPr>
            <w:tcW w:w="0" w:type="auto"/>
            <w:shd w:val="clear" w:color="auto" w:fill="auto"/>
          </w:tcPr>
          <w:p w14:paraId="4E6F9591" w14:textId="24425806" w:rsidR="00902D4F" w:rsidRPr="00B85D62" w:rsidRDefault="00902D4F" w:rsidP="00581161">
            <w:pPr>
              <w:spacing w:line="259" w:lineRule="auto"/>
              <w:rPr>
                <w:rFonts w:eastAsia="Calibri" w:cs="Arial"/>
                <w:highlight w:val="green"/>
              </w:rPr>
            </w:pPr>
            <w:r w:rsidRPr="00B85D62">
              <w:rPr>
                <w:rFonts w:eastAsia="Calibri" w:cs="Arial"/>
                <w:highlight w:val="green"/>
              </w:rPr>
              <w:t>14</w:t>
            </w:r>
            <w:r w:rsidR="006A155D" w:rsidRPr="00B85D62">
              <w:rPr>
                <w:rFonts w:eastAsia="Calibri" w:cs="Arial"/>
                <w:highlight w:val="green"/>
              </w:rPr>
              <w:t xml:space="preserve">  </w:t>
            </w:r>
            <w:r w:rsidRPr="00B85D62">
              <w:rPr>
                <w:rFonts w:eastAsia="Calibri" w:cs="Arial"/>
                <w:highlight w:val="green"/>
              </w:rPr>
              <w:t xml:space="preserve"> ((molecular or DNA or mutation) adj (test* or analys*)).mp.</w:t>
            </w:r>
            <w:r w:rsidR="006A155D" w:rsidRPr="00B85D62">
              <w:rPr>
                <w:rFonts w:eastAsia="Calibri" w:cs="Arial"/>
                <w:highlight w:val="green"/>
              </w:rPr>
              <w:t xml:space="preserve"> </w:t>
            </w:r>
          </w:p>
        </w:tc>
      </w:tr>
      <w:tr w:rsidR="00902D4F" w:rsidRPr="00B85D62" w14:paraId="0BFDD954" w14:textId="77777777" w:rsidTr="00B85D62">
        <w:trPr>
          <w:cantSplit/>
        </w:trPr>
        <w:tc>
          <w:tcPr>
            <w:tcW w:w="0" w:type="auto"/>
            <w:shd w:val="clear" w:color="auto" w:fill="auto"/>
          </w:tcPr>
          <w:p w14:paraId="390EE898" w14:textId="706E698E" w:rsidR="00902D4F" w:rsidRPr="00B85D62" w:rsidRDefault="00902D4F" w:rsidP="00581161">
            <w:pPr>
              <w:spacing w:line="259" w:lineRule="auto"/>
              <w:rPr>
                <w:rFonts w:eastAsia="Calibri" w:cs="Arial"/>
                <w:highlight w:val="green"/>
              </w:rPr>
            </w:pPr>
            <w:r w:rsidRPr="00B85D62">
              <w:rPr>
                <w:rFonts w:eastAsia="Calibri" w:cs="Arial"/>
                <w:highlight w:val="green"/>
              </w:rPr>
              <w:t>15</w:t>
            </w:r>
            <w:r w:rsidR="006A155D" w:rsidRPr="00B85D62">
              <w:rPr>
                <w:rFonts w:eastAsia="Calibri" w:cs="Arial"/>
                <w:highlight w:val="green"/>
              </w:rPr>
              <w:t xml:space="preserve">  </w:t>
            </w:r>
            <w:r w:rsidRPr="00B85D62">
              <w:rPr>
                <w:rFonts w:eastAsia="Calibri" w:cs="Arial"/>
                <w:highlight w:val="green"/>
              </w:rPr>
              <w:t xml:space="preserve"> 7 or 8 or 9 or 10 or 11 or 12 or 13 or 14</w:t>
            </w:r>
            <w:r w:rsidR="006A155D" w:rsidRPr="00B85D62">
              <w:rPr>
                <w:rFonts w:eastAsia="Calibri" w:cs="Arial"/>
                <w:highlight w:val="green"/>
              </w:rPr>
              <w:t xml:space="preserve"> </w:t>
            </w:r>
          </w:p>
        </w:tc>
      </w:tr>
      <w:tr w:rsidR="00902D4F" w:rsidRPr="00B85D62" w14:paraId="6CAEBF9C" w14:textId="77777777" w:rsidTr="00B85D62">
        <w:trPr>
          <w:cantSplit/>
        </w:trPr>
        <w:tc>
          <w:tcPr>
            <w:tcW w:w="0" w:type="auto"/>
            <w:shd w:val="clear" w:color="auto" w:fill="auto"/>
          </w:tcPr>
          <w:p w14:paraId="24871148" w14:textId="2CFFDB20" w:rsidR="00902D4F" w:rsidRPr="00B85D62" w:rsidRDefault="00902D4F" w:rsidP="00581161">
            <w:pPr>
              <w:spacing w:line="259" w:lineRule="auto"/>
              <w:rPr>
                <w:rFonts w:eastAsia="Calibri" w:cs="Arial"/>
                <w:highlight w:val="green"/>
              </w:rPr>
            </w:pPr>
            <w:r w:rsidRPr="00B85D62">
              <w:rPr>
                <w:rFonts w:eastAsia="Calibri" w:cs="Arial"/>
                <w:highlight w:val="green"/>
              </w:rPr>
              <w:t>16</w:t>
            </w:r>
            <w:r w:rsidR="006A155D" w:rsidRPr="00B85D62">
              <w:rPr>
                <w:rFonts w:eastAsia="Calibri" w:cs="Arial"/>
                <w:highlight w:val="green"/>
              </w:rPr>
              <w:t xml:space="preserve">  </w:t>
            </w:r>
            <w:r w:rsidRPr="00B85D62">
              <w:rPr>
                <w:rFonts w:eastAsia="Calibri" w:cs="Arial"/>
                <w:highlight w:val="green"/>
              </w:rPr>
              <w:t xml:space="preserve"> ((cascad* adj3 (test* or screen*)) or (contact trac* or mass screen*)).ti,ab.</w:t>
            </w:r>
            <w:r w:rsidR="006A155D" w:rsidRPr="00B85D62">
              <w:rPr>
                <w:rFonts w:eastAsia="Calibri" w:cs="Arial"/>
                <w:highlight w:val="green"/>
              </w:rPr>
              <w:t xml:space="preserve"> </w:t>
            </w:r>
          </w:p>
        </w:tc>
      </w:tr>
      <w:tr w:rsidR="00902D4F" w:rsidRPr="00B85D62" w14:paraId="34D3F19B" w14:textId="77777777" w:rsidTr="00B85D62">
        <w:trPr>
          <w:cantSplit/>
        </w:trPr>
        <w:tc>
          <w:tcPr>
            <w:tcW w:w="0" w:type="auto"/>
            <w:shd w:val="clear" w:color="auto" w:fill="auto"/>
          </w:tcPr>
          <w:p w14:paraId="06F9B651" w14:textId="5F80ED51" w:rsidR="00902D4F" w:rsidRPr="00B85D62" w:rsidRDefault="00902D4F" w:rsidP="00581161">
            <w:pPr>
              <w:spacing w:line="259" w:lineRule="auto"/>
              <w:rPr>
                <w:rFonts w:eastAsia="Calibri" w:cs="Arial"/>
                <w:highlight w:val="green"/>
              </w:rPr>
            </w:pPr>
            <w:r w:rsidRPr="00B85D62">
              <w:rPr>
                <w:rFonts w:eastAsia="Calibri" w:cs="Arial"/>
                <w:highlight w:val="green"/>
              </w:rPr>
              <w:t>17</w:t>
            </w:r>
            <w:r w:rsidR="006A155D" w:rsidRPr="00B85D62">
              <w:rPr>
                <w:rFonts w:eastAsia="Calibri" w:cs="Arial"/>
                <w:highlight w:val="green"/>
              </w:rPr>
              <w:t xml:space="preserve">  </w:t>
            </w:r>
            <w:r w:rsidRPr="00B85D62">
              <w:rPr>
                <w:rFonts w:eastAsia="Calibri" w:cs="Arial"/>
                <w:highlight w:val="green"/>
              </w:rPr>
              <w:t xml:space="preserve"> exp Genetic carrier screening/</w:t>
            </w:r>
            <w:r w:rsidR="006A155D" w:rsidRPr="00B85D62">
              <w:rPr>
                <w:rFonts w:eastAsia="Calibri" w:cs="Arial"/>
                <w:highlight w:val="green"/>
              </w:rPr>
              <w:t xml:space="preserve"> </w:t>
            </w:r>
          </w:p>
        </w:tc>
      </w:tr>
      <w:tr w:rsidR="00902D4F" w:rsidRPr="00B85D62" w14:paraId="134D2E0F" w14:textId="77777777" w:rsidTr="00B85D62">
        <w:trPr>
          <w:cantSplit/>
        </w:trPr>
        <w:tc>
          <w:tcPr>
            <w:tcW w:w="0" w:type="auto"/>
            <w:shd w:val="clear" w:color="auto" w:fill="auto"/>
          </w:tcPr>
          <w:p w14:paraId="41E89948" w14:textId="6196D257" w:rsidR="00902D4F" w:rsidRPr="00B85D62" w:rsidRDefault="00902D4F" w:rsidP="00581161">
            <w:pPr>
              <w:spacing w:line="259" w:lineRule="auto"/>
              <w:rPr>
                <w:rFonts w:eastAsia="Calibri" w:cs="Arial"/>
                <w:highlight w:val="green"/>
              </w:rPr>
            </w:pPr>
            <w:r w:rsidRPr="00B85D62">
              <w:rPr>
                <w:rFonts w:eastAsia="Calibri" w:cs="Arial"/>
                <w:highlight w:val="green"/>
              </w:rPr>
              <w:t>18</w:t>
            </w:r>
            <w:r w:rsidR="006A155D" w:rsidRPr="00B85D62">
              <w:rPr>
                <w:rFonts w:eastAsia="Calibri" w:cs="Arial"/>
                <w:highlight w:val="green"/>
              </w:rPr>
              <w:t xml:space="preserve">  </w:t>
            </w:r>
            <w:r w:rsidRPr="00B85D62">
              <w:rPr>
                <w:rFonts w:eastAsia="Calibri" w:cs="Arial"/>
                <w:highlight w:val="green"/>
              </w:rPr>
              <w:t xml:space="preserve"> exp mass screening/</w:t>
            </w:r>
            <w:r w:rsidR="006A155D" w:rsidRPr="00B85D62">
              <w:rPr>
                <w:rFonts w:eastAsia="Calibri" w:cs="Arial"/>
                <w:highlight w:val="green"/>
              </w:rPr>
              <w:t xml:space="preserve"> </w:t>
            </w:r>
          </w:p>
        </w:tc>
      </w:tr>
      <w:tr w:rsidR="00902D4F" w:rsidRPr="00B85D62" w14:paraId="1DA32C0E" w14:textId="77777777" w:rsidTr="00B85D62">
        <w:trPr>
          <w:cantSplit/>
        </w:trPr>
        <w:tc>
          <w:tcPr>
            <w:tcW w:w="0" w:type="auto"/>
            <w:shd w:val="clear" w:color="auto" w:fill="auto"/>
          </w:tcPr>
          <w:p w14:paraId="12ECB331" w14:textId="15848E2A" w:rsidR="00902D4F" w:rsidRPr="00B85D62" w:rsidRDefault="00902D4F" w:rsidP="00581161">
            <w:pPr>
              <w:spacing w:line="259" w:lineRule="auto"/>
              <w:rPr>
                <w:rFonts w:eastAsia="Calibri" w:cs="Arial"/>
                <w:highlight w:val="green"/>
              </w:rPr>
            </w:pPr>
            <w:r w:rsidRPr="00B85D62">
              <w:rPr>
                <w:rFonts w:eastAsia="Calibri" w:cs="Arial"/>
                <w:highlight w:val="green"/>
              </w:rPr>
              <w:t>19</w:t>
            </w:r>
            <w:r w:rsidR="006A155D" w:rsidRPr="00B85D62">
              <w:rPr>
                <w:rFonts w:eastAsia="Calibri" w:cs="Arial"/>
                <w:highlight w:val="green"/>
              </w:rPr>
              <w:t xml:space="preserve">  </w:t>
            </w:r>
            <w:r w:rsidRPr="00B85D62">
              <w:rPr>
                <w:rFonts w:eastAsia="Calibri" w:cs="Arial"/>
                <w:highlight w:val="green"/>
              </w:rPr>
              <w:t xml:space="preserve"> (((first or second degree) adj relative) or (proband* or proposit*)).ti,ab.</w:t>
            </w:r>
            <w:r w:rsidR="006A155D" w:rsidRPr="00B85D62">
              <w:rPr>
                <w:rFonts w:eastAsia="Calibri" w:cs="Arial"/>
                <w:highlight w:val="green"/>
              </w:rPr>
              <w:t xml:space="preserve"> </w:t>
            </w:r>
          </w:p>
        </w:tc>
      </w:tr>
      <w:tr w:rsidR="00902D4F" w:rsidRPr="00B85D62" w14:paraId="33F39C02" w14:textId="77777777" w:rsidTr="00B85D62">
        <w:trPr>
          <w:cantSplit/>
        </w:trPr>
        <w:tc>
          <w:tcPr>
            <w:tcW w:w="0" w:type="auto"/>
            <w:shd w:val="clear" w:color="auto" w:fill="auto"/>
          </w:tcPr>
          <w:p w14:paraId="17DDD2FB" w14:textId="28B8B0B0" w:rsidR="00902D4F" w:rsidRPr="00B85D62" w:rsidRDefault="00902D4F" w:rsidP="00581161">
            <w:pPr>
              <w:spacing w:line="259" w:lineRule="auto"/>
              <w:rPr>
                <w:rFonts w:eastAsia="Calibri" w:cs="Arial"/>
                <w:highlight w:val="green"/>
              </w:rPr>
            </w:pPr>
            <w:r w:rsidRPr="00B85D62">
              <w:rPr>
                <w:rFonts w:eastAsia="Calibri" w:cs="Arial"/>
                <w:highlight w:val="green"/>
              </w:rPr>
              <w:t>20</w:t>
            </w:r>
            <w:r w:rsidR="006A155D" w:rsidRPr="00B85D62">
              <w:rPr>
                <w:rFonts w:eastAsia="Calibri" w:cs="Arial"/>
                <w:highlight w:val="green"/>
              </w:rPr>
              <w:t xml:space="preserve">  </w:t>
            </w:r>
            <w:r w:rsidRPr="00B85D62">
              <w:rPr>
                <w:rFonts w:eastAsia="Calibri" w:cs="Arial"/>
                <w:highlight w:val="green"/>
              </w:rPr>
              <w:t xml:space="preserve"> ((famil* or relativ* or patient* or people or "at risk") adj3 (contact* or identif* or communicat* or test* or screen* or histor*)).ti,ab.</w:t>
            </w:r>
            <w:r w:rsidR="006A155D" w:rsidRPr="00B85D62">
              <w:rPr>
                <w:rFonts w:eastAsia="Calibri" w:cs="Arial"/>
                <w:highlight w:val="green"/>
              </w:rPr>
              <w:t xml:space="preserve"> </w:t>
            </w:r>
          </w:p>
        </w:tc>
      </w:tr>
      <w:tr w:rsidR="00902D4F" w:rsidRPr="00B85D62" w14:paraId="6B523298" w14:textId="77777777" w:rsidTr="00B85D62">
        <w:trPr>
          <w:cantSplit/>
        </w:trPr>
        <w:tc>
          <w:tcPr>
            <w:tcW w:w="0" w:type="auto"/>
            <w:shd w:val="clear" w:color="auto" w:fill="auto"/>
          </w:tcPr>
          <w:p w14:paraId="23B4D4BE" w14:textId="33CB42E3" w:rsidR="00902D4F" w:rsidRPr="00B85D62" w:rsidRDefault="00902D4F" w:rsidP="00581161">
            <w:pPr>
              <w:spacing w:line="259" w:lineRule="auto"/>
              <w:rPr>
                <w:rFonts w:eastAsia="Calibri" w:cs="Arial"/>
                <w:highlight w:val="green"/>
              </w:rPr>
            </w:pPr>
            <w:r w:rsidRPr="00B85D62">
              <w:rPr>
                <w:rFonts w:eastAsia="Calibri" w:cs="Arial"/>
                <w:highlight w:val="green"/>
              </w:rPr>
              <w:t>21</w:t>
            </w:r>
            <w:r w:rsidR="006A155D" w:rsidRPr="00B85D62">
              <w:rPr>
                <w:rFonts w:eastAsia="Calibri" w:cs="Arial"/>
                <w:highlight w:val="green"/>
              </w:rPr>
              <w:t xml:space="preserve">  </w:t>
            </w:r>
            <w:r w:rsidRPr="00B85D62">
              <w:rPr>
                <w:rFonts w:eastAsia="Calibri" w:cs="Arial"/>
                <w:highlight w:val="green"/>
              </w:rPr>
              <w:t xml:space="preserve"> parents/ or grandparents/ or siblings/</w:t>
            </w:r>
            <w:r w:rsidR="006A155D" w:rsidRPr="00B85D62">
              <w:rPr>
                <w:rFonts w:eastAsia="Calibri" w:cs="Arial"/>
                <w:highlight w:val="green"/>
              </w:rPr>
              <w:t xml:space="preserve"> </w:t>
            </w:r>
          </w:p>
        </w:tc>
      </w:tr>
      <w:tr w:rsidR="00902D4F" w:rsidRPr="00B85D62" w14:paraId="065EB677" w14:textId="77777777" w:rsidTr="00B85D62">
        <w:trPr>
          <w:cantSplit/>
        </w:trPr>
        <w:tc>
          <w:tcPr>
            <w:tcW w:w="0" w:type="auto"/>
            <w:shd w:val="clear" w:color="auto" w:fill="auto"/>
          </w:tcPr>
          <w:p w14:paraId="4B6BEC8D" w14:textId="0BCDEFFA" w:rsidR="00902D4F" w:rsidRPr="00B85D62" w:rsidRDefault="00902D4F" w:rsidP="00581161">
            <w:pPr>
              <w:spacing w:line="259" w:lineRule="auto"/>
              <w:rPr>
                <w:rFonts w:eastAsia="Calibri" w:cs="Arial"/>
                <w:highlight w:val="green"/>
              </w:rPr>
            </w:pPr>
            <w:r w:rsidRPr="00B85D62">
              <w:rPr>
                <w:rFonts w:eastAsia="Calibri" w:cs="Arial"/>
                <w:highlight w:val="green"/>
              </w:rPr>
              <w:t>22</w:t>
            </w:r>
            <w:r w:rsidR="006A155D" w:rsidRPr="00B85D62">
              <w:rPr>
                <w:rFonts w:eastAsia="Calibri" w:cs="Arial"/>
                <w:highlight w:val="green"/>
              </w:rPr>
              <w:t xml:space="preserve">  </w:t>
            </w:r>
            <w:r w:rsidRPr="00B85D62">
              <w:rPr>
                <w:rFonts w:eastAsia="Calibri" w:cs="Arial"/>
                <w:highlight w:val="green"/>
              </w:rPr>
              <w:t xml:space="preserve"> 16 or 17 or 18 or 19 or 20 or 21</w:t>
            </w:r>
            <w:r w:rsidR="006A155D" w:rsidRPr="00B85D62">
              <w:rPr>
                <w:rFonts w:eastAsia="Calibri" w:cs="Arial"/>
                <w:highlight w:val="green"/>
              </w:rPr>
              <w:t xml:space="preserve"> </w:t>
            </w:r>
          </w:p>
        </w:tc>
      </w:tr>
      <w:tr w:rsidR="00902D4F" w:rsidRPr="00B85D62" w14:paraId="3615C950" w14:textId="77777777" w:rsidTr="00B85D62">
        <w:trPr>
          <w:cantSplit/>
        </w:trPr>
        <w:tc>
          <w:tcPr>
            <w:tcW w:w="0" w:type="auto"/>
            <w:shd w:val="clear" w:color="auto" w:fill="auto"/>
          </w:tcPr>
          <w:p w14:paraId="7A8AB384" w14:textId="09B40BF6" w:rsidR="00902D4F" w:rsidRPr="00B85D62" w:rsidRDefault="00902D4F" w:rsidP="00581161">
            <w:pPr>
              <w:spacing w:line="259" w:lineRule="auto"/>
              <w:rPr>
                <w:rFonts w:eastAsia="Calibri" w:cs="Arial"/>
                <w:highlight w:val="green"/>
              </w:rPr>
            </w:pPr>
            <w:r w:rsidRPr="00B85D62">
              <w:rPr>
                <w:rFonts w:eastAsia="Calibri" w:cs="Arial"/>
                <w:highlight w:val="green"/>
              </w:rPr>
              <w:t>23</w:t>
            </w:r>
            <w:r w:rsidR="006A155D" w:rsidRPr="00B85D62">
              <w:rPr>
                <w:rFonts w:eastAsia="Calibri" w:cs="Arial"/>
                <w:highlight w:val="green"/>
              </w:rPr>
              <w:t xml:space="preserve">  </w:t>
            </w:r>
            <w:r w:rsidRPr="00B85D62">
              <w:rPr>
                <w:rFonts w:eastAsia="Calibri" w:cs="Arial"/>
                <w:highlight w:val="green"/>
              </w:rPr>
              <w:t xml:space="preserve"> 6 and (15 and 22)</w:t>
            </w:r>
            <w:r w:rsidR="006A155D" w:rsidRPr="00B85D62">
              <w:rPr>
                <w:rFonts w:eastAsia="Calibri" w:cs="Arial"/>
                <w:highlight w:val="green"/>
              </w:rPr>
              <w:t xml:space="preserve"> </w:t>
            </w:r>
          </w:p>
        </w:tc>
      </w:tr>
      <w:tr w:rsidR="00902D4F" w:rsidRPr="00B85D62" w14:paraId="244B57AE" w14:textId="77777777" w:rsidTr="00B85D62">
        <w:trPr>
          <w:cantSplit/>
        </w:trPr>
        <w:tc>
          <w:tcPr>
            <w:tcW w:w="0" w:type="auto"/>
            <w:shd w:val="clear" w:color="auto" w:fill="auto"/>
          </w:tcPr>
          <w:p w14:paraId="7CD8CD5D" w14:textId="0510FB53" w:rsidR="00902D4F" w:rsidRPr="00B85D62" w:rsidRDefault="00902D4F" w:rsidP="00581161">
            <w:pPr>
              <w:spacing w:line="259" w:lineRule="auto"/>
              <w:rPr>
                <w:rFonts w:eastAsia="Calibri" w:cs="Arial"/>
                <w:highlight w:val="green"/>
              </w:rPr>
            </w:pPr>
            <w:r w:rsidRPr="00B85D62">
              <w:rPr>
                <w:rFonts w:eastAsia="Calibri" w:cs="Arial"/>
                <w:highlight w:val="green"/>
              </w:rPr>
              <w:t>24</w:t>
            </w:r>
            <w:r w:rsidR="006A155D" w:rsidRPr="00B85D62">
              <w:rPr>
                <w:rFonts w:eastAsia="Calibri" w:cs="Arial"/>
                <w:highlight w:val="green"/>
              </w:rPr>
              <w:t xml:space="preserve">  </w:t>
            </w:r>
            <w:r w:rsidRPr="00B85D62">
              <w:rPr>
                <w:rFonts w:eastAsia="Calibri" w:cs="Arial"/>
                <w:highlight w:val="green"/>
              </w:rPr>
              <w:t xml:space="preserve"> exp animals/ not Humans/</w:t>
            </w:r>
            <w:r w:rsidR="006A155D" w:rsidRPr="00B85D62">
              <w:rPr>
                <w:rFonts w:eastAsia="Calibri" w:cs="Arial"/>
                <w:highlight w:val="green"/>
              </w:rPr>
              <w:t xml:space="preserve"> </w:t>
            </w:r>
          </w:p>
        </w:tc>
      </w:tr>
      <w:tr w:rsidR="00902D4F" w:rsidRPr="00B85D62" w14:paraId="45C637C6" w14:textId="77777777" w:rsidTr="00B85D62">
        <w:trPr>
          <w:cantSplit/>
        </w:trPr>
        <w:tc>
          <w:tcPr>
            <w:tcW w:w="0" w:type="auto"/>
            <w:shd w:val="clear" w:color="auto" w:fill="auto"/>
          </w:tcPr>
          <w:p w14:paraId="796F8174" w14:textId="2C06DAB1" w:rsidR="00902D4F" w:rsidRPr="00B85D62" w:rsidRDefault="00902D4F" w:rsidP="00581161">
            <w:pPr>
              <w:spacing w:line="259" w:lineRule="auto"/>
              <w:rPr>
                <w:rFonts w:eastAsia="Calibri" w:cs="Arial"/>
                <w:highlight w:val="green"/>
              </w:rPr>
            </w:pPr>
            <w:r w:rsidRPr="00B85D62">
              <w:rPr>
                <w:rFonts w:eastAsia="Calibri" w:cs="Arial"/>
                <w:highlight w:val="green"/>
              </w:rPr>
              <w:t>25</w:t>
            </w:r>
            <w:r w:rsidR="006A155D" w:rsidRPr="00B85D62">
              <w:rPr>
                <w:rFonts w:eastAsia="Calibri" w:cs="Arial"/>
                <w:highlight w:val="green"/>
              </w:rPr>
              <w:t xml:space="preserve">  </w:t>
            </w:r>
            <w:r w:rsidRPr="00B85D62">
              <w:rPr>
                <w:rFonts w:eastAsia="Calibri" w:cs="Arial"/>
                <w:highlight w:val="green"/>
              </w:rPr>
              <w:t xml:space="preserve"> (animal*or mice or mouse or pig).mp. [mp=title, abstract, original title, name of substance word, subject heading word, floating sub-heading word, keyword heading word, protocol supplementary concept word, rare disease supplementary concept word, unique identifier, synonyms]</w:t>
            </w:r>
            <w:r w:rsidR="006A155D" w:rsidRPr="00B85D62">
              <w:rPr>
                <w:rFonts w:eastAsia="Calibri" w:cs="Arial"/>
                <w:highlight w:val="green"/>
              </w:rPr>
              <w:t xml:space="preserve"> </w:t>
            </w:r>
          </w:p>
        </w:tc>
      </w:tr>
      <w:tr w:rsidR="00902D4F" w:rsidRPr="00B85D62" w14:paraId="742639C0" w14:textId="77777777" w:rsidTr="00B85D62">
        <w:trPr>
          <w:cantSplit/>
        </w:trPr>
        <w:tc>
          <w:tcPr>
            <w:tcW w:w="0" w:type="auto"/>
            <w:shd w:val="clear" w:color="auto" w:fill="auto"/>
          </w:tcPr>
          <w:p w14:paraId="605691DA" w14:textId="62375CE1" w:rsidR="00902D4F" w:rsidRPr="00B85D62" w:rsidRDefault="00902D4F" w:rsidP="00581161">
            <w:pPr>
              <w:spacing w:line="259" w:lineRule="auto"/>
              <w:rPr>
                <w:rFonts w:eastAsia="Calibri" w:cs="Arial"/>
                <w:highlight w:val="green"/>
              </w:rPr>
            </w:pPr>
            <w:r w:rsidRPr="00B85D62">
              <w:rPr>
                <w:rFonts w:eastAsia="Calibri" w:cs="Arial"/>
                <w:highlight w:val="green"/>
              </w:rPr>
              <w:t>26</w:t>
            </w:r>
            <w:r w:rsidR="006A155D" w:rsidRPr="00B85D62">
              <w:rPr>
                <w:rFonts w:eastAsia="Calibri" w:cs="Arial"/>
                <w:highlight w:val="green"/>
              </w:rPr>
              <w:t xml:space="preserve">  </w:t>
            </w:r>
            <w:r w:rsidRPr="00B85D62">
              <w:rPr>
                <w:rFonts w:eastAsia="Calibri" w:cs="Arial"/>
                <w:highlight w:val="green"/>
              </w:rPr>
              <w:t xml:space="preserve"> exp comment/ or exp letter/ or exp editorial/</w:t>
            </w:r>
            <w:r w:rsidR="006A155D" w:rsidRPr="00B85D62">
              <w:rPr>
                <w:rFonts w:eastAsia="Calibri" w:cs="Arial"/>
                <w:highlight w:val="green"/>
              </w:rPr>
              <w:t xml:space="preserve"> </w:t>
            </w:r>
          </w:p>
        </w:tc>
      </w:tr>
      <w:tr w:rsidR="00902D4F" w:rsidRPr="00B85D62" w14:paraId="1ACE15C2" w14:textId="77777777" w:rsidTr="00B85D62">
        <w:trPr>
          <w:cantSplit/>
        </w:trPr>
        <w:tc>
          <w:tcPr>
            <w:tcW w:w="0" w:type="auto"/>
            <w:shd w:val="clear" w:color="auto" w:fill="auto"/>
          </w:tcPr>
          <w:p w14:paraId="7982679E" w14:textId="1B0699C9" w:rsidR="00902D4F" w:rsidRPr="00B85D62" w:rsidRDefault="00902D4F" w:rsidP="00581161">
            <w:pPr>
              <w:spacing w:line="259" w:lineRule="auto"/>
              <w:rPr>
                <w:rFonts w:eastAsia="Calibri" w:cs="Arial"/>
                <w:highlight w:val="green"/>
              </w:rPr>
            </w:pPr>
            <w:r w:rsidRPr="00B85D62">
              <w:rPr>
                <w:rFonts w:eastAsia="Calibri" w:cs="Arial"/>
                <w:highlight w:val="green"/>
              </w:rPr>
              <w:t>27</w:t>
            </w:r>
            <w:r w:rsidR="006A155D" w:rsidRPr="00B85D62">
              <w:rPr>
                <w:rFonts w:eastAsia="Calibri" w:cs="Arial"/>
                <w:highlight w:val="green"/>
              </w:rPr>
              <w:t xml:space="preserve">  </w:t>
            </w:r>
            <w:r w:rsidRPr="00B85D62">
              <w:rPr>
                <w:rFonts w:eastAsia="Calibri" w:cs="Arial"/>
                <w:highlight w:val="green"/>
              </w:rPr>
              <w:t xml:space="preserve"> 23 not (or/24-26)</w:t>
            </w:r>
            <w:r w:rsidR="006A155D" w:rsidRPr="00B85D62">
              <w:rPr>
                <w:rFonts w:eastAsia="Calibri" w:cs="Arial"/>
                <w:highlight w:val="green"/>
              </w:rPr>
              <w:t xml:space="preserve"> </w:t>
            </w:r>
          </w:p>
        </w:tc>
      </w:tr>
      <w:tr w:rsidR="00902D4F" w:rsidRPr="00B85D62" w14:paraId="0844B7D1" w14:textId="77777777" w:rsidTr="00B85D62">
        <w:trPr>
          <w:cantSplit/>
        </w:trPr>
        <w:tc>
          <w:tcPr>
            <w:tcW w:w="0" w:type="auto"/>
            <w:shd w:val="clear" w:color="auto" w:fill="auto"/>
          </w:tcPr>
          <w:p w14:paraId="6F25629B" w14:textId="1426996C" w:rsidR="00902D4F" w:rsidRPr="00B85D62" w:rsidRDefault="00902D4F" w:rsidP="00581161">
            <w:pPr>
              <w:spacing w:line="259" w:lineRule="auto"/>
              <w:rPr>
                <w:rFonts w:eastAsia="Calibri" w:cs="Arial"/>
              </w:rPr>
            </w:pPr>
            <w:r w:rsidRPr="00B85D62">
              <w:rPr>
                <w:rFonts w:eastAsia="Calibri" w:cs="Arial"/>
                <w:highlight w:val="green"/>
              </w:rPr>
              <w:t>28</w:t>
            </w:r>
            <w:r w:rsidR="006A155D" w:rsidRPr="00B85D62">
              <w:rPr>
                <w:rFonts w:eastAsia="Calibri" w:cs="Arial"/>
                <w:highlight w:val="green"/>
              </w:rPr>
              <w:t xml:space="preserve">  </w:t>
            </w:r>
            <w:r w:rsidRPr="00B85D62">
              <w:rPr>
                <w:rFonts w:eastAsia="Calibri" w:cs="Arial"/>
                <w:highlight w:val="green"/>
              </w:rPr>
              <w:t xml:space="preserve"> limit 27 to yr="1994 -Current"</w:t>
            </w:r>
            <w:r w:rsidRPr="00B85D62">
              <w:rPr>
                <w:rFonts w:eastAsia="Calibri" w:cs="Arial"/>
              </w:rPr>
              <w:t xml:space="preserve"> </w:t>
            </w:r>
          </w:p>
        </w:tc>
      </w:tr>
    </w:tbl>
    <w:p w14:paraId="09BBDF96" w14:textId="77777777" w:rsidR="00B85D62" w:rsidRPr="00B85D62" w:rsidRDefault="00B85D62" w:rsidP="0066232B">
      <w:pPr>
        <w:rPr>
          <w:rFonts w:cs="Arial"/>
        </w:rPr>
      </w:pPr>
    </w:p>
    <w:p w14:paraId="6D039BF2" w14:textId="77777777" w:rsidR="00B85D62" w:rsidRPr="00B85D62" w:rsidRDefault="15EDC835" w:rsidP="0066232B">
      <w:pPr>
        <w:pStyle w:val="Heading1"/>
        <w:spacing w:line="360" w:lineRule="auto"/>
        <w:rPr>
          <w:rFonts w:ascii="Arial" w:eastAsiaTheme="minorEastAsia" w:hAnsi="Arial" w:cs="Arial"/>
          <w:b w:val="0"/>
          <w:sz w:val="22"/>
          <w:szCs w:val="22"/>
        </w:rPr>
      </w:pPr>
      <w:bookmarkStart w:id="323" w:name="_Toc107157535"/>
      <w:r w:rsidRPr="00B85D62">
        <w:rPr>
          <w:rFonts w:ascii="Arial" w:hAnsi="Arial" w:cs="Arial"/>
          <w:sz w:val="22"/>
          <w:szCs w:val="22"/>
        </w:rPr>
        <w:t>Appendix 2</w:t>
      </w:r>
      <w:r w:rsidR="0EC7FF2E" w:rsidRPr="00B85D62">
        <w:rPr>
          <w:rFonts w:ascii="Arial" w:hAnsi="Arial" w:cs="Arial"/>
          <w:sz w:val="22"/>
          <w:szCs w:val="22"/>
        </w:rPr>
        <w:t>:</w:t>
      </w:r>
      <w:r w:rsidR="00895586" w:rsidRPr="00B85D62">
        <w:rPr>
          <w:rFonts w:ascii="Arial" w:hAnsi="Arial" w:cs="Arial"/>
          <w:sz w:val="22"/>
          <w:szCs w:val="22"/>
        </w:rPr>
        <w:t xml:space="preserve"> </w:t>
      </w:r>
      <w:r w:rsidR="582C6AC2" w:rsidRPr="00B85D62">
        <w:rPr>
          <w:rFonts w:ascii="Arial" w:hAnsi="Arial" w:cs="Arial"/>
          <w:sz w:val="22"/>
          <w:szCs w:val="22"/>
        </w:rPr>
        <w:t>Epidemiological analysis</w:t>
      </w:r>
      <w:bookmarkEnd w:id="323"/>
    </w:p>
    <w:p w14:paraId="05647A56" w14:textId="4D4A01EE" w:rsidR="00CA4EB6" w:rsidRPr="00B85D62" w:rsidRDefault="00B85D62" w:rsidP="00E06F79">
      <w:pPr>
        <w:pStyle w:val="Caption"/>
        <w:rPr>
          <w:rFonts w:cs="Arial"/>
          <w:bCs/>
          <w:shd w:val="clear" w:color="auto" w:fill="FFFFFF"/>
        </w:rPr>
      </w:pPr>
      <w:bookmarkStart w:id="324" w:name="_Toc107157382"/>
      <w:r w:rsidRPr="00B85D62">
        <w:rPr>
          <w:i/>
          <w:color w:val="FF0000"/>
        </w:rPr>
        <w:t>T</w:t>
      </w:r>
      <w:r w:rsidRPr="00B85D62">
        <w:rPr>
          <w:i/>
          <w:color w:val="FF0000"/>
        </w:rPr>
        <w:t>able</w:t>
      </w:r>
      <w:r w:rsidRPr="00B85D62">
        <w:rPr>
          <w:i/>
          <w:color w:val="FF0000"/>
        </w:rPr>
        <w:t xml:space="preserve"> </w:t>
      </w:r>
      <w:r w:rsidRPr="00B85D62">
        <w:rPr>
          <w:i/>
          <w:noProof/>
          <w:color w:val="FF0000"/>
        </w:rPr>
        <w:t>28</w:t>
      </w:r>
      <w:r w:rsidR="0052758D" w:rsidRPr="00B85D62">
        <w:t>:</w:t>
      </w:r>
      <w:r w:rsidR="009C790E" w:rsidRPr="00B85D62">
        <w:t xml:space="preserve"> </w:t>
      </w:r>
      <w:r w:rsidR="00CA4EB6" w:rsidRPr="00B85D62">
        <w:rPr>
          <w:rStyle w:val="normaltextrun"/>
          <w:rFonts w:cs="Arial"/>
          <w:b w:val="0"/>
          <w:bCs/>
          <w:highlight w:val="magenta"/>
          <w:shd w:val="clear" w:color="auto" w:fill="FFFFFF"/>
        </w:rPr>
        <w:t>Incidence</w:t>
      </w:r>
      <w:r w:rsidR="00CA4EB6" w:rsidRPr="00B85D62">
        <w:rPr>
          <w:rStyle w:val="normaltextrun"/>
          <w:rFonts w:cs="Arial"/>
          <w:b w:val="0"/>
          <w:bCs/>
          <w:shd w:val="clear" w:color="auto" w:fill="FFFFFF"/>
        </w:rPr>
        <w:t xml:space="preserve"> rate of CVD outcomes in FH and non-FH subjects</w:t>
      </w:r>
      <w:bookmarkEnd w:id="324"/>
    </w:p>
    <w:tbl>
      <w:tblPr>
        <w:tblW w:w="0" w:type="auto"/>
        <w:tblCellMar>
          <w:top w:w="40" w:type="dxa"/>
          <w:left w:w="60" w:type="dxa"/>
          <w:bottom w:w="40" w:type="dxa"/>
          <w:right w:w="60" w:type="dxa"/>
        </w:tblCellMar>
        <w:tblLook w:val="04A0" w:firstRow="1" w:lastRow="0" w:firstColumn="1" w:lastColumn="0" w:noHBand="0" w:noVBand="1"/>
      </w:tblPr>
      <w:tblGrid>
        <w:gridCol w:w="1561"/>
        <w:gridCol w:w="1025"/>
        <w:gridCol w:w="1234"/>
        <w:gridCol w:w="853"/>
        <w:gridCol w:w="998"/>
        <w:gridCol w:w="941"/>
        <w:gridCol w:w="1118"/>
        <w:gridCol w:w="1296"/>
      </w:tblGrid>
      <w:tr w:rsidR="00CA4EB6" w:rsidRPr="00B85D62" w14:paraId="0CBA1913" w14:textId="77777777" w:rsidTr="00B85D62">
        <w:trPr>
          <w:cantSplit/>
        </w:trPr>
        <w:tc>
          <w:tcPr>
            <w:tcW w:w="0" w:type="auto"/>
            <w:shd w:val="clear" w:color="auto" w:fill="auto"/>
            <w:hideMark/>
          </w:tcPr>
          <w:p w14:paraId="751FCF15" w14:textId="77777777" w:rsidR="00B85D62" w:rsidRPr="00B85D62" w:rsidRDefault="00B85D62" w:rsidP="00581161">
            <w:pPr>
              <w:textAlignment w:val="baseline"/>
              <w:rPr>
                <w:rFonts w:cs="Arial"/>
                <w:b/>
                <w:bCs/>
                <w:sz w:val="18"/>
                <w:szCs w:val="18"/>
                <w:lang w:eastAsia="en-GB"/>
              </w:rPr>
            </w:pPr>
          </w:p>
          <w:p w14:paraId="2DCAC23E" w14:textId="01D50584" w:rsidR="00CA4EB6" w:rsidRPr="00B85D62" w:rsidRDefault="00CA4EB6" w:rsidP="00581161">
            <w:pPr>
              <w:textAlignment w:val="baseline"/>
              <w:rPr>
                <w:rFonts w:cs="Arial"/>
                <w:sz w:val="18"/>
                <w:szCs w:val="18"/>
                <w:lang w:eastAsia="en-GB"/>
              </w:rPr>
            </w:pPr>
            <w:r w:rsidRPr="00B85D62">
              <w:rPr>
                <w:rFonts w:cs="Arial"/>
                <w:b/>
                <w:bCs/>
                <w:sz w:val="18"/>
                <w:szCs w:val="18"/>
                <w:lang w:eastAsia="en-GB"/>
              </w:rPr>
              <w:t>CVD Outcome</w:t>
            </w:r>
            <w:r w:rsidR="00B85D62" w:rsidRPr="00B85D62">
              <w:rPr>
                <w:rFonts w:cs="Arial"/>
                <w:sz w:val="18"/>
                <w:szCs w:val="18"/>
                <w:lang w:eastAsia="en-GB"/>
              </w:rPr>
              <w:t xml:space="preserve"> </w:t>
            </w:r>
          </w:p>
        </w:tc>
        <w:tc>
          <w:tcPr>
            <w:tcW w:w="0" w:type="auto"/>
            <w:gridSpan w:val="2"/>
            <w:shd w:val="clear" w:color="auto" w:fill="auto"/>
            <w:hideMark/>
          </w:tcPr>
          <w:p w14:paraId="60584D5E" w14:textId="77777777" w:rsidR="00B85D62" w:rsidRPr="00B85D62" w:rsidRDefault="00B85D62" w:rsidP="00581161">
            <w:pPr>
              <w:jc w:val="center"/>
              <w:textAlignment w:val="baseline"/>
              <w:rPr>
                <w:rFonts w:cs="Arial"/>
                <w:b/>
                <w:bCs/>
                <w:sz w:val="18"/>
                <w:szCs w:val="18"/>
                <w:lang w:eastAsia="en-GB"/>
              </w:rPr>
            </w:pPr>
          </w:p>
          <w:p w14:paraId="1F23A4DF" w14:textId="3A9C0CED" w:rsidR="00CA4EB6" w:rsidRPr="00B85D62" w:rsidRDefault="00CA4EB6" w:rsidP="00581161">
            <w:pPr>
              <w:jc w:val="center"/>
              <w:textAlignment w:val="baseline"/>
              <w:rPr>
                <w:rFonts w:cs="Arial"/>
                <w:sz w:val="18"/>
                <w:szCs w:val="18"/>
                <w:lang w:eastAsia="en-GB"/>
              </w:rPr>
            </w:pPr>
            <w:r w:rsidRPr="00B85D62">
              <w:rPr>
                <w:rFonts w:cs="Arial"/>
                <w:b/>
                <w:bCs/>
                <w:sz w:val="18"/>
                <w:szCs w:val="18"/>
                <w:lang w:eastAsia="en-GB"/>
              </w:rPr>
              <w:t>Age in years at first CVD event (Mean (SD))</w:t>
            </w:r>
            <w:r w:rsidR="00B85D62" w:rsidRPr="00B85D62">
              <w:rPr>
                <w:rFonts w:cs="Arial"/>
                <w:sz w:val="18"/>
                <w:szCs w:val="18"/>
                <w:lang w:eastAsia="en-GB"/>
              </w:rPr>
              <w:t xml:space="preserve"> </w:t>
            </w:r>
          </w:p>
        </w:tc>
        <w:tc>
          <w:tcPr>
            <w:tcW w:w="0" w:type="auto"/>
            <w:gridSpan w:val="2"/>
            <w:shd w:val="clear" w:color="auto" w:fill="auto"/>
            <w:hideMark/>
          </w:tcPr>
          <w:p w14:paraId="369CF6C6" w14:textId="77777777" w:rsidR="00B85D62" w:rsidRPr="00B85D62" w:rsidRDefault="00B85D62" w:rsidP="00581161">
            <w:pPr>
              <w:jc w:val="center"/>
              <w:textAlignment w:val="baseline"/>
              <w:rPr>
                <w:rFonts w:cs="Arial"/>
                <w:b/>
                <w:bCs/>
                <w:sz w:val="18"/>
                <w:szCs w:val="18"/>
                <w:lang w:eastAsia="en-GB"/>
              </w:rPr>
            </w:pPr>
          </w:p>
          <w:p w14:paraId="77383F78" w14:textId="5573AF0F" w:rsidR="00CA4EB6" w:rsidRPr="00B85D62" w:rsidRDefault="00CA4EB6" w:rsidP="00581161">
            <w:pPr>
              <w:jc w:val="center"/>
              <w:textAlignment w:val="baseline"/>
              <w:rPr>
                <w:rFonts w:cs="Arial"/>
                <w:sz w:val="18"/>
                <w:szCs w:val="18"/>
                <w:lang w:eastAsia="en-GB"/>
              </w:rPr>
            </w:pPr>
            <w:r w:rsidRPr="00B85D62">
              <w:rPr>
                <w:rFonts w:cs="Arial"/>
                <w:b/>
                <w:bCs/>
                <w:sz w:val="18"/>
                <w:szCs w:val="18"/>
                <w:lang w:eastAsia="en-GB"/>
              </w:rPr>
              <w:t>Number of new events</w:t>
            </w:r>
            <w:r w:rsidR="00B85D62" w:rsidRPr="00B85D62">
              <w:rPr>
                <w:rFonts w:cs="Arial"/>
                <w:sz w:val="18"/>
                <w:szCs w:val="18"/>
                <w:lang w:eastAsia="en-GB"/>
              </w:rPr>
              <w:t xml:space="preserve"> </w:t>
            </w:r>
          </w:p>
        </w:tc>
        <w:tc>
          <w:tcPr>
            <w:tcW w:w="0" w:type="auto"/>
            <w:gridSpan w:val="2"/>
            <w:shd w:val="clear" w:color="auto" w:fill="auto"/>
            <w:hideMark/>
          </w:tcPr>
          <w:p w14:paraId="3EB3EBC9" w14:textId="77777777" w:rsidR="00B85D62" w:rsidRPr="00B85D62" w:rsidRDefault="00B85D62" w:rsidP="00581161">
            <w:pPr>
              <w:jc w:val="center"/>
              <w:textAlignment w:val="baseline"/>
              <w:rPr>
                <w:rFonts w:cs="Arial"/>
                <w:b/>
                <w:bCs/>
                <w:sz w:val="18"/>
                <w:szCs w:val="18"/>
                <w:lang w:eastAsia="en-GB"/>
              </w:rPr>
            </w:pPr>
          </w:p>
          <w:p w14:paraId="3030174F" w14:textId="3FE6B252" w:rsidR="00CA4EB6" w:rsidRPr="00B85D62" w:rsidRDefault="00CA4EB6" w:rsidP="00581161">
            <w:pPr>
              <w:jc w:val="center"/>
              <w:textAlignment w:val="baseline"/>
              <w:rPr>
                <w:rFonts w:cs="Arial"/>
                <w:sz w:val="18"/>
                <w:szCs w:val="18"/>
                <w:lang w:eastAsia="en-GB"/>
              </w:rPr>
            </w:pPr>
            <w:r w:rsidRPr="00B85D62">
              <w:rPr>
                <w:rFonts w:cs="Arial"/>
                <w:b/>
                <w:bCs/>
                <w:sz w:val="18"/>
                <w:szCs w:val="18"/>
                <w:lang w:eastAsia="en-GB"/>
              </w:rPr>
              <w:t>Rate per 1000 person-years (95% CI)</w:t>
            </w:r>
            <w:r w:rsidR="00B85D62" w:rsidRPr="00B85D62">
              <w:rPr>
                <w:rFonts w:cs="Arial"/>
                <w:sz w:val="18"/>
                <w:szCs w:val="18"/>
                <w:lang w:eastAsia="en-GB"/>
              </w:rPr>
              <w:t xml:space="preserve"> </w:t>
            </w:r>
          </w:p>
        </w:tc>
        <w:tc>
          <w:tcPr>
            <w:tcW w:w="0" w:type="auto"/>
            <w:shd w:val="clear" w:color="auto" w:fill="auto"/>
            <w:hideMark/>
          </w:tcPr>
          <w:p w14:paraId="17696067" w14:textId="77777777" w:rsidR="00B85D62" w:rsidRPr="00B85D62" w:rsidRDefault="00B85D62" w:rsidP="00581161">
            <w:pPr>
              <w:jc w:val="center"/>
              <w:textAlignment w:val="baseline"/>
              <w:rPr>
                <w:rFonts w:cs="Arial"/>
                <w:b/>
                <w:bCs/>
                <w:sz w:val="18"/>
                <w:szCs w:val="18"/>
                <w:lang w:eastAsia="en-GB"/>
              </w:rPr>
            </w:pPr>
          </w:p>
          <w:p w14:paraId="192DCA64" w14:textId="170E9F4E" w:rsidR="00CA4EB6" w:rsidRPr="00B85D62" w:rsidRDefault="00CA4EB6" w:rsidP="00581161">
            <w:pPr>
              <w:jc w:val="center"/>
              <w:textAlignment w:val="baseline"/>
              <w:rPr>
                <w:rFonts w:cs="Arial"/>
                <w:sz w:val="18"/>
                <w:szCs w:val="18"/>
                <w:lang w:eastAsia="en-GB"/>
              </w:rPr>
            </w:pPr>
            <w:r w:rsidRPr="00B85D62">
              <w:rPr>
                <w:rFonts w:cs="Arial"/>
                <w:b/>
                <w:bCs/>
                <w:i/>
                <w:color w:val="00B0F0"/>
                <w:sz w:val="18"/>
                <w:szCs w:val="18"/>
                <w:lang w:eastAsia="en-GB"/>
              </w:rPr>
              <w:t>p</w:t>
            </w:r>
            <w:r w:rsidRPr="00B85D62">
              <w:rPr>
                <w:rFonts w:cs="Arial"/>
                <w:b/>
                <w:bCs/>
                <w:sz w:val="18"/>
                <w:szCs w:val="18"/>
                <w:lang w:eastAsia="en-GB"/>
              </w:rPr>
              <w:t>-value for CVD rate ratio</w:t>
            </w:r>
            <w:r w:rsidR="006A155D" w:rsidRPr="00B85D62">
              <w:rPr>
                <w:rFonts w:cs="Arial"/>
                <w:b/>
                <w:bCs/>
                <w:sz w:val="18"/>
                <w:szCs w:val="18"/>
                <w:lang w:eastAsia="en-GB"/>
              </w:rPr>
              <w:t xml:space="preserve"> </w:t>
            </w:r>
          </w:p>
        </w:tc>
      </w:tr>
      <w:tr w:rsidR="00CA4EB6" w:rsidRPr="00B85D62" w14:paraId="175DA6A3" w14:textId="77777777" w:rsidTr="00B85D62">
        <w:trPr>
          <w:cantSplit/>
        </w:trPr>
        <w:tc>
          <w:tcPr>
            <w:tcW w:w="0" w:type="auto"/>
            <w:shd w:val="clear" w:color="auto" w:fill="auto"/>
            <w:hideMark/>
          </w:tcPr>
          <w:p w14:paraId="5A60B0F6" w14:textId="27023C05" w:rsidR="00CA4EB6" w:rsidRPr="00B85D62" w:rsidRDefault="006A155D" w:rsidP="00581161">
            <w:pPr>
              <w:textAlignment w:val="baseline"/>
              <w:rPr>
                <w:rFonts w:cs="Arial"/>
                <w:sz w:val="18"/>
                <w:szCs w:val="18"/>
                <w:lang w:eastAsia="en-GB"/>
              </w:rPr>
            </w:pPr>
            <w:r w:rsidRPr="00B85D62">
              <w:rPr>
                <w:rFonts w:cs="Arial"/>
                <w:sz w:val="18"/>
                <w:szCs w:val="18"/>
                <w:lang w:eastAsia="en-GB"/>
              </w:rPr>
              <w:t xml:space="preserve"> </w:t>
            </w:r>
          </w:p>
        </w:tc>
        <w:tc>
          <w:tcPr>
            <w:tcW w:w="0" w:type="auto"/>
            <w:shd w:val="clear" w:color="auto" w:fill="auto"/>
            <w:hideMark/>
          </w:tcPr>
          <w:p w14:paraId="40A415DA" w14:textId="77777777" w:rsidR="00B85D62" w:rsidRPr="00B85D62" w:rsidRDefault="00B85D62" w:rsidP="00581161">
            <w:pPr>
              <w:jc w:val="center"/>
              <w:textAlignment w:val="baseline"/>
              <w:rPr>
                <w:rFonts w:cs="Arial"/>
                <w:b/>
                <w:bCs/>
                <w:sz w:val="18"/>
                <w:szCs w:val="18"/>
                <w:lang w:eastAsia="en-GB"/>
              </w:rPr>
            </w:pPr>
          </w:p>
          <w:p w14:paraId="086CE84C" w14:textId="791B95A2" w:rsidR="00CA4EB6" w:rsidRPr="00B85D62" w:rsidRDefault="00CA4EB6" w:rsidP="00581161">
            <w:pPr>
              <w:jc w:val="center"/>
              <w:textAlignment w:val="baseline"/>
              <w:rPr>
                <w:rFonts w:cs="Arial"/>
                <w:sz w:val="18"/>
                <w:szCs w:val="18"/>
                <w:lang w:eastAsia="en-GB"/>
              </w:rPr>
            </w:pPr>
            <w:r w:rsidRPr="00B85D62">
              <w:rPr>
                <w:rFonts w:cs="Arial"/>
                <w:b/>
                <w:bCs/>
                <w:sz w:val="18"/>
                <w:szCs w:val="18"/>
                <w:lang w:eastAsia="en-GB"/>
              </w:rPr>
              <w:t>FH subjects</w:t>
            </w:r>
            <w:r w:rsidR="00B85D62" w:rsidRPr="00B85D62">
              <w:rPr>
                <w:rFonts w:cs="Arial"/>
                <w:sz w:val="18"/>
                <w:szCs w:val="18"/>
                <w:lang w:eastAsia="en-GB"/>
              </w:rPr>
              <w:t xml:space="preserve"> </w:t>
            </w:r>
          </w:p>
        </w:tc>
        <w:tc>
          <w:tcPr>
            <w:tcW w:w="0" w:type="auto"/>
            <w:shd w:val="clear" w:color="auto" w:fill="auto"/>
            <w:hideMark/>
          </w:tcPr>
          <w:p w14:paraId="71E71C24" w14:textId="77777777" w:rsidR="00B85D62" w:rsidRPr="00B85D62" w:rsidRDefault="00B85D62" w:rsidP="00581161">
            <w:pPr>
              <w:jc w:val="center"/>
              <w:textAlignment w:val="baseline"/>
              <w:rPr>
                <w:rFonts w:cs="Arial"/>
                <w:b/>
                <w:bCs/>
                <w:sz w:val="18"/>
                <w:szCs w:val="18"/>
                <w:lang w:eastAsia="en-GB"/>
              </w:rPr>
            </w:pPr>
          </w:p>
          <w:p w14:paraId="217512A4" w14:textId="1D03A753" w:rsidR="00CA4EB6" w:rsidRPr="00B85D62" w:rsidRDefault="00CA4EB6" w:rsidP="00581161">
            <w:pPr>
              <w:jc w:val="center"/>
              <w:textAlignment w:val="baseline"/>
              <w:rPr>
                <w:rFonts w:cs="Arial"/>
                <w:sz w:val="18"/>
                <w:szCs w:val="18"/>
                <w:lang w:eastAsia="en-GB"/>
              </w:rPr>
            </w:pPr>
            <w:r w:rsidRPr="00B85D62">
              <w:rPr>
                <w:rFonts w:cs="Arial"/>
                <w:b/>
                <w:bCs/>
                <w:sz w:val="18"/>
                <w:szCs w:val="18"/>
                <w:lang w:eastAsia="en-GB"/>
              </w:rPr>
              <w:t>Non-FH subjects</w:t>
            </w:r>
            <w:r w:rsidR="00B85D62" w:rsidRPr="00B85D62">
              <w:rPr>
                <w:rFonts w:cs="Arial"/>
                <w:sz w:val="18"/>
                <w:szCs w:val="18"/>
                <w:lang w:eastAsia="en-GB"/>
              </w:rPr>
              <w:t xml:space="preserve"> </w:t>
            </w:r>
          </w:p>
        </w:tc>
        <w:tc>
          <w:tcPr>
            <w:tcW w:w="0" w:type="auto"/>
            <w:shd w:val="clear" w:color="auto" w:fill="auto"/>
            <w:hideMark/>
          </w:tcPr>
          <w:p w14:paraId="4A2F8A03" w14:textId="77777777" w:rsidR="00B85D62" w:rsidRPr="00B85D62" w:rsidRDefault="00B85D62" w:rsidP="00581161">
            <w:pPr>
              <w:jc w:val="center"/>
              <w:textAlignment w:val="baseline"/>
              <w:rPr>
                <w:rFonts w:cs="Arial"/>
                <w:b/>
                <w:bCs/>
                <w:sz w:val="18"/>
                <w:szCs w:val="18"/>
                <w:lang w:eastAsia="en-GB"/>
              </w:rPr>
            </w:pPr>
          </w:p>
          <w:p w14:paraId="26A2BAD9" w14:textId="420663A2" w:rsidR="00CA4EB6" w:rsidRPr="00B85D62" w:rsidRDefault="00CA4EB6" w:rsidP="00581161">
            <w:pPr>
              <w:jc w:val="center"/>
              <w:textAlignment w:val="baseline"/>
              <w:rPr>
                <w:rFonts w:cs="Arial"/>
                <w:sz w:val="18"/>
                <w:szCs w:val="18"/>
                <w:lang w:eastAsia="en-GB"/>
              </w:rPr>
            </w:pPr>
            <w:r w:rsidRPr="00B85D62">
              <w:rPr>
                <w:rFonts w:cs="Arial"/>
                <w:b/>
                <w:bCs/>
                <w:sz w:val="18"/>
                <w:szCs w:val="18"/>
                <w:lang w:eastAsia="en-GB"/>
              </w:rPr>
              <w:t>FH subjects</w:t>
            </w:r>
            <w:r w:rsidR="00B85D62" w:rsidRPr="00B85D62">
              <w:rPr>
                <w:rFonts w:cs="Arial"/>
                <w:sz w:val="18"/>
                <w:szCs w:val="18"/>
                <w:lang w:eastAsia="en-GB"/>
              </w:rPr>
              <w:t xml:space="preserve"> </w:t>
            </w:r>
          </w:p>
        </w:tc>
        <w:tc>
          <w:tcPr>
            <w:tcW w:w="0" w:type="auto"/>
            <w:shd w:val="clear" w:color="auto" w:fill="auto"/>
            <w:hideMark/>
          </w:tcPr>
          <w:p w14:paraId="1CCE7586" w14:textId="77777777" w:rsidR="00B85D62" w:rsidRPr="00B85D62" w:rsidRDefault="00B85D62" w:rsidP="00581161">
            <w:pPr>
              <w:jc w:val="center"/>
              <w:textAlignment w:val="baseline"/>
              <w:rPr>
                <w:rFonts w:cs="Arial"/>
                <w:b/>
                <w:bCs/>
                <w:sz w:val="18"/>
                <w:szCs w:val="18"/>
                <w:lang w:eastAsia="en-GB"/>
              </w:rPr>
            </w:pPr>
          </w:p>
          <w:p w14:paraId="722DD060" w14:textId="66CF03D7" w:rsidR="00CA4EB6" w:rsidRPr="00B85D62" w:rsidRDefault="00CA4EB6" w:rsidP="00581161">
            <w:pPr>
              <w:jc w:val="center"/>
              <w:textAlignment w:val="baseline"/>
              <w:rPr>
                <w:rFonts w:cs="Arial"/>
                <w:sz w:val="18"/>
                <w:szCs w:val="18"/>
                <w:lang w:eastAsia="en-GB"/>
              </w:rPr>
            </w:pPr>
            <w:r w:rsidRPr="00B85D62">
              <w:rPr>
                <w:rFonts w:cs="Arial"/>
                <w:b/>
                <w:bCs/>
                <w:sz w:val="18"/>
                <w:szCs w:val="18"/>
                <w:lang w:eastAsia="en-GB"/>
              </w:rPr>
              <w:t>Non-FH subjects</w:t>
            </w:r>
            <w:r w:rsidR="00B85D62" w:rsidRPr="00B85D62">
              <w:rPr>
                <w:rFonts w:cs="Arial"/>
                <w:sz w:val="18"/>
                <w:szCs w:val="18"/>
                <w:lang w:eastAsia="en-GB"/>
              </w:rPr>
              <w:t xml:space="preserve"> </w:t>
            </w:r>
          </w:p>
        </w:tc>
        <w:tc>
          <w:tcPr>
            <w:tcW w:w="0" w:type="auto"/>
            <w:shd w:val="clear" w:color="auto" w:fill="auto"/>
            <w:hideMark/>
          </w:tcPr>
          <w:p w14:paraId="377F66C1" w14:textId="77777777" w:rsidR="00B85D62" w:rsidRPr="00B85D62" w:rsidRDefault="00B85D62" w:rsidP="00581161">
            <w:pPr>
              <w:jc w:val="center"/>
              <w:textAlignment w:val="baseline"/>
              <w:rPr>
                <w:rFonts w:cs="Arial"/>
                <w:b/>
                <w:bCs/>
                <w:sz w:val="18"/>
                <w:szCs w:val="18"/>
                <w:lang w:eastAsia="en-GB"/>
              </w:rPr>
            </w:pPr>
          </w:p>
          <w:p w14:paraId="29C4E00D" w14:textId="7840A1C7" w:rsidR="00CA4EB6" w:rsidRPr="00B85D62" w:rsidRDefault="00CA4EB6" w:rsidP="00581161">
            <w:pPr>
              <w:jc w:val="center"/>
              <w:textAlignment w:val="baseline"/>
              <w:rPr>
                <w:rFonts w:cs="Arial"/>
                <w:sz w:val="18"/>
                <w:szCs w:val="18"/>
                <w:lang w:eastAsia="en-GB"/>
              </w:rPr>
            </w:pPr>
            <w:r w:rsidRPr="00B85D62">
              <w:rPr>
                <w:rFonts w:cs="Arial"/>
                <w:b/>
                <w:bCs/>
                <w:sz w:val="18"/>
                <w:szCs w:val="18"/>
                <w:lang w:eastAsia="en-GB"/>
              </w:rPr>
              <w:t>FH subjects</w:t>
            </w:r>
            <w:r w:rsidR="00B85D62" w:rsidRPr="00B85D62">
              <w:rPr>
                <w:rFonts w:cs="Arial"/>
                <w:sz w:val="18"/>
                <w:szCs w:val="18"/>
                <w:lang w:eastAsia="en-GB"/>
              </w:rPr>
              <w:t xml:space="preserve"> </w:t>
            </w:r>
          </w:p>
        </w:tc>
        <w:tc>
          <w:tcPr>
            <w:tcW w:w="0" w:type="auto"/>
            <w:shd w:val="clear" w:color="auto" w:fill="auto"/>
            <w:hideMark/>
          </w:tcPr>
          <w:p w14:paraId="2D95C21F" w14:textId="77777777" w:rsidR="00B85D62" w:rsidRPr="00B85D62" w:rsidRDefault="00B85D62" w:rsidP="00581161">
            <w:pPr>
              <w:jc w:val="center"/>
              <w:textAlignment w:val="baseline"/>
              <w:rPr>
                <w:rFonts w:cs="Arial"/>
                <w:b/>
                <w:bCs/>
                <w:sz w:val="18"/>
                <w:szCs w:val="18"/>
                <w:lang w:eastAsia="en-GB"/>
              </w:rPr>
            </w:pPr>
          </w:p>
          <w:p w14:paraId="6420A01E" w14:textId="14D773ED" w:rsidR="00CA4EB6" w:rsidRPr="00B85D62" w:rsidRDefault="00CA4EB6" w:rsidP="00581161">
            <w:pPr>
              <w:jc w:val="center"/>
              <w:textAlignment w:val="baseline"/>
              <w:rPr>
                <w:rFonts w:cs="Arial"/>
                <w:sz w:val="18"/>
                <w:szCs w:val="18"/>
                <w:lang w:eastAsia="en-GB"/>
              </w:rPr>
            </w:pPr>
            <w:r w:rsidRPr="00B85D62">
              <w:rPr>
                <w:rFonts w:cs="Arial"/>
                <w:b/>
                <w:bCs/>
                <w:sz w:val="18"/>
                <w:szCs w:val="18"/>
                <w:lang w:eastAsia="en-GB"/>
              </w:rPr>
              <w:t>Non-FH subjects</w:t>
            </w:r>
            <w:r w:rsidR="00B85D62" w:rsidRPr="00B85D62">
              <w:rPr>
                <w:rFonts w:cs="Arial"/>
                <w:sz w:val="18"/>
                <w:szCs w:val="18"/>
                <w:lang w:eastAsia="en-GB"/>
              </w:rPr>
              <w:t xml:space="preserve"> </w:t>
            </w:r>
          </w:p>
        </w:tc>
        <w:tc>
          <w:tcPr>
            <w:tcW w:w="0" w:type="auto"/>
            <w:shd w:val="clear" w:color="auto" w:fill="auto"/>
            <w:hideMark/>
          </w:tcPr>
          <w:p w14:paraId="52AB796A" w14:textId="4A4B0B42" w:rsidR="00CA4EB6" w:rsidRPr="00B85D62" w:rsidRDefault="006A155D" w:rsidP="00581161">
            <w:pPr>
              <w:jc w:val="center"/>
              <w:textAlignment w:val="baseline"/>
              <w:rPr>
                <w:rFonts w:cs="Arial"/>
                <w:sz w:val="18"/>
                <w:szCs w:val="18"/>
                <w:lang w:eastAsia="en-GB"/>
              </w:rPr>
            </w:pPr>
            <w:r w:rsidRPr="00B85D62">
              <w:rPr>
                <w:rFonts w:cs="Arial"/>
                <w:b/>
                <w:bCs/>
                <w:sz w:val="18"/>
                <w:szCs w:val="18"/>
                <w:lang w:eastAsia="en-GB"/>
              </w:rPr>
              <w:t xml:space="preserve"> </w:t>
            </w:r>
          </w:p>
        </w:tc>
      </w:tr>
      <w:tr w:rsidR="00CA4EB6" w:rsidRPr="00B85D62" w14:paraId="466F5A46" w14:textId="77777777" w:rsidTr="00B85D62">
        <w:trPr>
          <w:cantSplit/>
        </w:trPr>
        <w:tc>
          <w:tcPr>
            <w:tcW w:w="0" w:type="auto"/>
            <w:shd w:val="clear" w:color="auto" w:fill="auto"/>
            <w:hideMark/>
          </w:tcPr>
          <w:p w14:paraId="7ECE677E" w14:textId="5D48C5ED" w:rsidR="00CA4EB6" w:rsidRPr="00B85D62" w:rsidRDefault="00CA4EB6" w:rsidP="00581161">
            <w:pPr>
              <w:textAlignment w:val="baseline"/>
              <w:rPr>
                <w:rFonts w:cs="Arial"/>
                <w:sz w:val="18"/>
                <w:szCs w:val="18"/>
                <w:lang w:eastAsia="en-GB"/>
              </w:rPr>
            </w:pPr>
            <w:r w:rsidRPr="00B85D62">
              <w:rPr>
                <w:rFonts w:cs="Arial"/>
                <w:sz w:val="18"/>
                <w:szCs w:val="18"/>
                <w:lang w:eastAsia="en-GB"/>
              </w:rPr>
              <w:t>Any Cardiovascular disease</w:t>
            </w:r>
            <w:r w:rsidR="00B85D62" w:rsidRPr="00B85D62">
              <w:rPr>
                <w:rFonts w:cs="Arial"/>
                <w:sz w:val="18"/>
                <w:szCs w:val="18"/>
                <w:lang w:eastAsia="en-GB"/>
              </w:rPr>
              <w:t xml:space="preserve"> </w:t>
            </w:r>
          </w:p>
        </w:tc>
        <w:tc>
          <w:tcPr>
            <w:tcW w:w="0" w:type="auto"/>
            <w:shd w:val="clear" w:color="auto" w:fill="auto"/>
            <w:hideMark/>
          </w:tcPr>
          <w:p w14:paraId="4F655A63" w14:textId="3BFBCD4D" w:rsidR="00CA4EB6" w:rsidRPr="00B85D62" w:rsidRDefault="006A155D" w:rsidP="00581161">
            <w:pPr>
              <w:jc w:val="center"/>
              <w:textAlignment w:val="baseline"/>
              <w:rPr>
                <w:rFonts w:cs="Arial"/>
                <w:sz w:val="18"/>
                <w:szCs w:val="18"/>
                <w:lang w:eastAsia="en-GB"/>
              </w:rPr>
            </w:pPr>
            <w:r w:rsidRPr="00B85D62">
              <w:rPr>
                <w:rFonts w:cs="Arial"/>
                <w:sz w:val="18"/>
                <w:szCs w:val="18"/>
                <w:lang w:eastAsia="en-GB"/>
              </w:rPr>
              <w:t xml:space="preserve"> </w:t>
            </w:r>
          </w:p>
        </w:tc>
        <w:tc>
          <w:tcPr>
            <w:tcW w:w="0" w:type="auto"/>
            <w:shd w:val="clear" w:color="auto" w:fill="auto"/>
            <w:hideMark/>
          </w:tcPr>
          <w:p w14:paraId="7E496D7D" w14:textId="45FFD325" w:rsidR="00CA4EB6" w:rsidRPr="00B85D62" w:rsidRDefault="006A155D" w:rsidP="00581161">
            <w:pPr>
              <w:jc w:val="center"/>
              <w:textAlignment w:val="baseline"/>
              <w:rPr>
                <w:rFonts w:cs="Arial"/>
                <w:sz w:val="18"/>
                <w:szCs w:val="18"/>
                <w:lang w:eastAsia="en-GB"/>
              </w:rPr>
            </w:pPr>
            <w:r w:rsidRPr="00B85D62">
              <w:rPr>
                <w:rFonts w:cs="Arial"/>
                <w:sz w:val="18"/>
                <w:szCs w:val="18"/>
                <w:lang w:eastAsia="en-GB"/>
              </w:rPr>
              <w:t xml:space="preserve"> </w:t>
            </w:r>
          </w:p>
        </w:tc>
        <w:tc>
          <w:tcPr>
            <w:tcW w:w="0" w:type="auto"/>
            <w:shd w:val="clear" w:color="auto" w:fill="auto"/>
            <w:hideMark/>
          </w:tcPr>
          <w:p w14:paraId="61FA5955" w14:textId="200F71BA"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4,474</w:t>
            </w:r>
            <w:r w:rsidR="00B85D62" w:rsidRPr="00B85D62">
              <w:rPr>
                <w:rFonts w:cs="Arial"/>
                <w:sz w:val="18"/>
                <w:szCs w:val="18"/>
                <w:lang w:eastAsia="en-GB"/>
              </w:rPr>
              <w:t xml:space="preserve"> </w:t>
            </w:r>
          </w:p>
        </w:tc>
        <w:tc>
          <w:tcPr>
            <w:tcW w:w="0" w:type="auto"/>
            <w:shd w:val="clear" w:color="auto" w:fill="auto"/>
            <w:hideMark/>
          </w:tcPr>
          <w:p w14:paraId="5C41F4B5" w14:textId="6307BD0D"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1,728</w:t>
            </w:r>
            <w:r w:rsidR="00B85D62" w:rsidRPr="00B85D62">
              <w:rPr>
                <w:rFonts w:cs="Arial"/>
                <w:sz w:val="18"/>
                <w:szCs w:val="18"/>
                <w:lang w:eastAsia="en-GB"/>
              </w:rPr>
              <w:t xml:space="preserve"> </w:t>
            </w:r>
          </w:p>
        </w:tc>
        <w:tc>
          <w:tcPr>
            <w:tcW w:w="0" w:type="auto"/>
            <w:shd w:val="clear" w:color="auto" w:fill="auto"/>
            <w:hideMark/>
          </w:tcPr>
          <w:p w14:paraId="1F88A97A" w14:textId="77777777" w:rsidR="00B85D62" w:rsidRPr="00B85D62" w:rsidRDefault="00CA4EB6" w:rsidP="00581161">
            <w:pPr>
              <w:jc w:val="center"/>
              <w:textAlignment w:val="baseline"/>
              <w:rPr>
                <w:rFonts w:cs="Arial"/>
                <w:sz w:val="18"/>
                <w:szCs w:val="18"/>
                <w:lang w:eastAsia="en-GB"/>
              </w:rPr>
            </w:pPr>
            <w:r w:rsidRPr="00B85D62">
              <w:rPr>
                <w:rFonts w:cs="Arial"/>
                <w:sz w:val="18"/>
                <w:szCs w:val="18"/>
                <w:lang w:eastAsia="en-GB"/>
              </w:rPr>
              <w:t>25.6</w:t>
            </w:r>
          </w:p>
          <w:p w14:paraId="17E71B3A" w14:textId="0B16C09C"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(24.8</w:t>
            </w:r>
            <w:r w:rsidR="00B85D62" w:rsidRPr="00B85D62">
              <w:rPr>
                <w:rFonts w:cs="Arial"/>
                <w:color w:val="00B0F0"/>
                <w:sz w:val="18"/>
                <w:szCs w:val="18"/>
                <w:lang w:eastAsia="en-GB"/>
              </w:rPr>
              <w:t>–</w:t>
            </w:r>
            <w:r w:rsidR="00B85D62" w:rsidRPr="00B85D62">
              <w:rPr>
                <w:rFonts w:cs="Arial"/>
                <w:color w:val="00B0F0"/>
                <w:sz w:val="18"/>
                <w:szCs w:val="18"/>
                <w:lang w:eastAsia="en-GB"/>
              </w:rPr>
              <w:t>2</w:t>
            </w:r>
            <w:r w:rsidRPr="00B85D62">
              <w:rPr>
                <w:rFonts w:cs="Arial"/>
                <w:sz w:val="18"/>
                <w:szCs w:val="18"/>
                <w:lang w:eastAsia="en-GB"/>
              </w:rPr>
              <w:t>6.3)</w:t>
            </w:r>
            <w:r w:rsidR="00B85D62" w:rsidRPr="00B85D62">
              <w:rPr>
                <w:rFonts w:cs="Arial"/>
                <w:sz w:val="18"/>
                <w:szCs w:val="18"/>
                <w:lang w:eastAsia="en-GB"/>
              </w:rPr>
              <w:t xml:space="preserve"> </w:t>
            </w:r>
          </w:p>
        </w:tc>
        <w:tc>
          <w:tcPr>
            <w:tcW w:w="0" w:type="auto"/>
            <w:shd w:val="clear" w:color="auto" w:fill="auto"/>
            <w:hideMark/>
          </w:tcPr>
          <w:p w14:paraId="48AF35A9" w14:textId="77777777" w:rsidR="00B85D62" w:rsidRPr="00B85D62" w:rsidRDefault="00CA4EB6" w:rsidP="00581161">
            <w:pPr>
              <w:jc w:val="center"/>
              <w:textAlignment w:val="baseline"/>
              <w:rPr>
                <w:rFonts w:cs="Arial"/>
                <w:sz w:val="18"/>
                <w:szCs w:val="18"/>
                <w:lang w:eastAsia="en-GB"/>
              </w:rPr>
            </w:pPr>
            <w:r w:rsidRPr="00B85D62">
              <w:rPr>
                <w:rFonts w:cs="Arial"/>
                <w:sz w:val="18"/>
                <w:szCs w:val="18"/>
                <w:lang w:eastAsia="en-GB"/>
              </w:rPr>
              <w:t>2.9</w:t>
            </w:r>
          </w:p>
          <w:p w14:paraId="2661BC33" w14:textId="30A10803"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(2.8</w:t>
            </w:r>
            <w:r w:rsidR="00B85D62" w:rsidRPr="00B85D62">
              <w:rPr>
                <w:rFonts w:cs="Arial"/>
                <w:color w:val="00B0F0"/>
                <w:sz w:val="18"/>
                <w:szCs w:val="18"/>
                <w:lang w:eastAsia="en-GB"/>
              </w:rPr>
              <w:t>–</w:t>
            </w:r>
            <w:r w:rsidR="00B85D62" w:rsidRPr="00B85D62">
              <w:rPr>
                <w:rFonts w:cs="Arial"/>
                <w:color w:val="00B0F0"/>
                <w:sz w:val="18"/>
                <w:szCs w:val="18"/>
                <w:lang w:eastAsia="en-GB"/>
              </w:rPr>
              <w:t>3</w:t>
            </w:r>
            <w:r w:rsidRPr="00B85D62">
              <w:rPr>
                <w:rFonts w:cs="Arial"/>
                <w:sz w:val="18"/>
                <w:szCs w:val="18"/>
                <w:lang w:eastAsia="en-GB"/>
              </w:rPr>
              <w:t>.1)</w:t>
            </w:r>
            <w:r w:rsidR="00B85D62" w:rsidRPr="00B85D62">
              <w:rPr>
                <w:rFonts w:cs="Arial"/>
                <w:sz w:val="18"/>
                <w:szCs w:val="18"/>
                <w:lang w:eastAsia="en-GB"/>
              </w:rPr>
              <w:t xml:space="preserve"> </w:t>
            </w:r>
          </w:p>
        </w:tc>
        <w:tc>
          <w:tcPr>
            <w:tcW w:w="0" w:type="auto"/>
            <w:shd w:val="clear" w:color="auto" w:fill="auto"/>
            <w:hideMark/>
          </w:tcPr>
          <w:p w14:paraId="4D7E2A29" w14:textId="77777777" w:rsidR="00B85D62" w:rsidRPr="00B85D62" w:rsidRDefault="00B85D62" w:rsidP="00581161">
            <w:pPr>
              <w:jc w:val="center"/>
              <w:textAlignment w:val="baseline"/>
              <w:rPr>
                <w:rFonts w:cs="Arial"/>
                <w:sz w:val="18"/>
                <w:szCs w:val="18"/>
                <w:lang w:eastAsia="en-GB"/>
              </w:rPr>
            </w:pPr>
          </w:p>
          <w:p w14:paraId="061A9FC1" w14:textId="27E21285" w:rsidR="00CA4EB6" w:rsidRPr="00B85D62" w:rsidRDefault="00B85D62" w:rsidP="00581161">
            <w:pPr>
              <w:jc w:val="center"/>
              <w:textAlignment w:val="baseline"/>
              <w:rPr>
                <w:rFonts w:cs="Arial"/>
                <w:sz w:val="18"/>
                <w:szCs w:val="18"/>
                <w:lang w:eastAsia="en-GB"/>
              </w:rPr>
            </w:pPr>
            <w:r w:rsidRPr="00B85D62">
              <w:rPr>
                <w:rFonts w:cs="Arial"/>
                <w:color w:val="00B0F0"/>
                <w:sz w:val="18"/>
                <w:szCs w:val="18"/>
                <w:lang w:eastAsia="en-GB"/>
              </w:rPr>
              <w:t>&lt;</w:t>
            </w:r>
            <w:r w:rsidRPr="00B85D62">
              <w:rPr>
                <w:rFonts w:cs="Arial"/>
                <w:color w:val="00B0F0"/>
                <w:sz w:val="18"/>
                <w:szCs w:val="18"/>
                <w:lang w:eastAsia="en-GB"/>
              </w:rPr>
              <w:t> </w:t>
            </w:r>
            <w:r w:rsidRPr="00B85D62">
              <w:rPr>
                <w:rFonts w:cs="Arial"/>
                <w:color w:val="00B0F0"/>
                <w:sz w:val="18"/>
                <w:szCs w:val="18"/>
                <w:lang w:eastAsia="en-GB"/>
              </w:rPr>
              <w:t>0</w:t>
            </w:r>
            <w:r w:rsidR="00CA4EB6" w:rsidRPr="00B85D62">
              <w:rPr>
                <w:rFonts w:cs="Arial"/>
                <w:sz w:val="18"/>
                <w:szCs w:val="18"/>
                <w:lang w:eastAsia="en-GB"/>
              </w:rPr>
              <w:t>.0001</w:t>
            </w:r>
            <w:r w:rsidRPr="00B85D62">
              <w:rPr>
                <w:rFonts w:cs="Arial"/>
                <w:sz w:val="18"/>
                <w:szCs w:val="18"/>
                <w:lang w:eastAsia="en-GB"/>
              </w:rPr>
              <w:t xml:space="preserve"> </w:t>
            </w:r>
          </w:p>
        </w:tc>
      </w:tr>
      <w:tr w:rsidR="00CA4EB6" w:rsidRPr="00B85D62" w14:paraId="37CDBC3A" w14:textId="77777777" w:rsidTr="00B85D62">
        <w:trPr>
          <w:cantSplit/>
        </w:trPr>
        <w:tc>
          <w:tcPr>
            <w:tcW w:w="0" w:type="auto"/>
            <w:shd w:val="clear" w:color="auto" w:fill="auto"/>
            <w:hideMark/>
          </w:tcPr>
          <w:p w14:paraId="38E6FAE2" w14:textId="0B22A2EF" w:rsidR="00CA4EB6" w:rsidRPr="00B85D62" w:rsidRDefault="00CA4EB6" w:rsidP="00581161">
            <w:pPr>
              <w:textAlignment w:val="baseline"/>
              <w:rPr>
                <w:rFonts w:cs="Arial"/>
                <w:sz w:val="18"/>
                <w:szCs w:val="18"/>
                <w:lang w:eastAsia="en-GB"/>
              </w:rPr>
            </w:pPr>
            <w:r w:rsidRPr="00B85D62">
              <w:rPr>
                <w:rFonts w:cs="Arial"/>
                <w:sz w:val="18"/>
                <w:szCs w:val="18"/>
                <w:lang w:eastAsia="en-GB"/>
              </w:rPr>
              <w:t>Coronary heart disease</w:t>
            </w:r>
            <w:r w:rsidR="00B85D62" w:rsidRPr="00B85D62">
              <w:rPr>
                <w:rFonts w:cs="Arial"/>
                <w:sz w:val="18"/>
                <w:szCs w:val="18"/>
                <w:lang w:eastAsia="en-GB"/>
              </w:rPr>
              <w:t xml:space="preserve"> </w:t>
            </w:r>
          </w:p>
        </w:tc>
        <w:tc>
          <w:tcPr>
            <w:tcW w:w="0" w:type="auto"/>
            <w:shd w:val="clear" w:color="auto" w:fill="auto"/>
            <w:hideMark/>
          </w:tcPr>
          <w:p w14:paraId="10338692" w14:textId="5D9FBBB2"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50.7 (7.5)</w:t>
            </w:r>
            <w:r w:rsidR="00B85D62" w:rsidRPr="00B85D62">
              <w:rPr>
                <w:rFonts w:cs="Arial"/>
                <w:sz w:val="18"/>
                <w:szCs w:val="18"/>
                <w:lang w:eastAsia="en-GB"/>
              </w:rPr>
              <w:t xml:space="preserve"> </w:t>
            </w:r>
          </w:p>
        </w:tc>
        <w:tc>
          <w:tcPr>
            <w:tcW w:w="0" w:type="auto"/>
            <w:shd w:val="clear" w:color="auto" w:fill="auto"/>
            <w:hideMark/>
          </w:tcPr>
          <w:p w14:paraId="23BE5A0B" w14:textId="4B1DA46E"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61.1 (10.9)</w:t>
            </w:r>
            <w:r w:rsidR="00B85D62" w:rsidRPr="00B85D62">
              <w:rPr>
                <w:rFonts w:cs="Arial"/>
                <w:sz w:val="18"/>
                <w:szCs w:val="18"/>
                <w:lang w:eastAsia="en-GB"/>
              </w:rPr>
              <w:t xml:space="preserve"> </w:t>
            </w:r>
          </w:p>
        </w:tc>
        <w:tc>
          <w:tcPr>
            <w:tcW w:w="0" w:type="auto"/>
            <w:shd w:val="clear" w:color="auto" w:fill="auto"/>
            <w:hideMark/>
          </w:tcPr>
          <w:p w14:paraId="58912B04" w14:textId="0A26D3FD"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3,545</w:t>
            </w:r>
            <w:r w:rsidR="00B85D62" w:rsidRPr="00B85D62">
              <w:rPr>
                <w:rFonts w:cs="Arial"/>
                <w:sz w:val="18"/>
                <w:szCs w:val="18"/>
                <w:lang w:eastAsia="en-GB"/>
              </w:rPr>
              <w:t xml:space="preserve"> </w:t>
            </w:r>
          </w:p>
        </w:tc>
        <w:tc>
          <w:tcPr>
            <w:tcW w:w="0" w:type="auto"/>
            <w:shd w:val="clear" w:color="auto" w:fill="auto"/>
            <w:hideMark/>
          </w:tcPr>
          <w:p w14:paraId="542C1C2F" w14:textId="1187BF30"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1,173</w:t>
            </w:r>
            <w:r w:rsidR="00B85D62" w:rsidRPr="00B85D62">
              <w:rPr>
                <w:rFonts w:cs="Arial"/>
                <w:sz w:val="18"/>
                <w:szCs w:val="18"/>
                <w:lang w:eastAsia="en-GB"/>
              </w:rPr>
              <w:t xml:space="preserve"> </w:t>
            </w:r>
          </w:p>
        </w:tc>
        <w:tc>
          <w:tcPr>
            <w:tcW w:w="0" w:type="auto"/>
            <w:shd w:val="clear" w:color="auto" w:fill="auto"/>
            <w:hideMark/>
          </w:tcPr>
          <w:p w14:paraId="19ACE176" w14:textId="77777777" w:rsidR="00B85D62" w:rsidRPr="00B85D62" w:rsidRDefault="00CA4EB6" w:rsidP="00581161">
            <w:pPr>
              <w:jc w:val="center"/>
              <w:textAlignment w:val="baseline"/>
              <w:rPr>
                <w:rFonts w:cs="Arial"/>
                <w:sz w:val="18"/>
                <w:szCs w:val="18"/>
                <w:lang w:eastAsia="en-GB"/>
              </w:rPr>
            </w:pPr>
            <w:r w:rsidRPr="00B85D62">
              <w:rPr>
                <w:rFonts w:cs="Arial"/>
                <w:sz w:val="18"/>
                <w:szCs w:val="18"/>
                <w:lang w:eastAsia="en-GB"/>
              </w:rPr>
              <w:t>20.3</w:t>
            </w:r>
          </w:p>
          <w:p w14:paraId="6F33E253" w14:textId="5ED48D37"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(19.6</w:t>
            </w:r>
            <w:r w:rsidR="00B85D62" w:rsidRPr="00B85D62">
              <w:rPr>
                <w:rFonts w:cs="Arial"/>
                <w:color w:val="00B0F0"/>
                <w:sz w:val="18"/>
                <w:szCs w:val="18"/>
                <w:lang w:eastAsia="en-GB"/>
              </w:rPr>
              <w:t>–</w:t>
            </w:r>
            <w:r w:rsidR="00B85D62" w:rsidRPr="00B85D62">
              <w:rPr>
                <w:rFonts w:cs="Arial"/>
                <w:color w:val="00B0F0"/>
                <w:sz w:val="18"/>
                <w:szCs w:val="18"/>
                <w:lang w:eastAsia="en-GB"/>
              </w:rPr>
              <w:t>2</w:t>
            </w:r>
            <w:r w:rsidRPr="00B85D62">
              <w:rPr>
                <w:rFonts w:cs="Arial"/>
                <w:sz w:val="18"/>
                <w:szCs w:val="18"/>
                <w:lang w:eastAsia="en-GB"/>
              </w:rPr>
              <w:t>0.9)</w:t>
            </w:r>
            <w:r w:rsidR="00B85D62" w:rsidRPr="00B85D62">
              <w:rPr>
                <w:rFonts w:cs="Arial"/>
                <w:sz w:val="18"/>
                <w:szCs w:val="18"/>
                <w:lang w:eastAsia="en-GB"/>
              </w:rPr>
              <w:t xml:space="preserve"> </w:t>
            </w:r>
          </w:p>
        </w:tc>
        <w:tc>
          <w:tcPr>
            <w:tcW w:w="0" w:type="auto"/>
            <w:shd w:val="clear" w:color="auto" w:fill="auto"/>
            <w:hideMark/>
          </w:tcPr>
          <w:p w14:paraId="2551F90F" w14:textId="77777777" w:rsidR="00B85D62" w:rsidRPr="00B85D62" w:rsidRDefault="00CA4EB6" w:rsidP="00581161">
            <w:pPr>
              <w:jc w:val="center"/>
              <w:textAlignment w:val="baseline"/>
              <w:rPr>
                <w:rFonts w:cs="Arial"/>
                <w:sz w:val="18"/>
                <w:szCs w:val="18"/>
                <w:lang w:eastAsia="en-GB"/>
              </w:rPr>
            </w:pPr>
            <w:r w:rsidRPr="00B85D62">
              <w:rPr>
                <w:rFonts w:cs="Arial"/>
                <w:sz w:val="18"/>
                <w:szCs w:val="18"/>
                <w:lang w:eastAsia="en-GB"/>
              </w:rPr>
              <w:t>2.0</w:t>
            </w:r>
          </w:p>
          <w:p w14:paraId="757A77A2" w14:textId="17D9AC78"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(1.9</w:t>
            </w:r>
            <w:r w:rsidR="00B85D62" w:rsidRPr="00B85D62">
              <w:rPr>
                <w:rFonts w:cs="Arial"/>
                <w:color w:val="00B0F0"/>
                <w:sz w:val="18"/>
                <w:szCs w:val="18"/>
                <w:lang w:eastAsia="en-GB"/>
              </w:rPr>
              <w:t>–</w:t>
            </w:r>
            <w:r w:rsidR="00B85D62" w:rsidRPr="00B85D62">
              <w:rPr>
                <w:rFonts w:cs="Arial"/>
                <w:color w:val="00B0F0"/>
                <w:sz w:val="18"/>
                <w:szCs w:val="18"/>
                <w:lang w:eastAsia="en-GB"/>
              </w:rPr>
              <w:t>2</w:t>
            </w:r>
            <w:r w:rsidRPr="00B85D62">
              <w:rPr>
                <w:rFonts w:cs="Arial"/>
                <w:sz w:val="18"/>
                <w:szCs w:val="18"/>
                <w:lang w:eastAsia="en-GB"/>
              </w:rPr>
              <w:t>.1)</w:t>
            </w:r>
            <w:r w:rsidR="00B85D62" w:rsidRPr="00B85D62">
              <w:rPr>
                <w:rFonts w:cs="Arial"/>
                <w:sz w:val="18"/>
                <w:szCs w:val="18"/>
                <w:lang w:eastAsia="en-GB"/>
              </w:rPr>
              <w:t xml:space="preserve"> </w:t>
            </w:r>
          </w:p>
        </w:tc>
        <w:tc>
          <w:tcPr>
            <w:tcW w:w="0" w:type="auto"/>
            <w:shd w:val="clear" w:color="auto" w:fill="auto"/>
            <w:hideMark/>
          </w:tcPr>
          <w:p w14:paraId="76F7EA3B" w14:textId="77777777" w:rsidR="00B85D62" w:rsidRPr="00B85D62" w:rsidRDefault="00B85D62" w:rsidP="00581161">
            <w:pPr>
              <w:jc w:val="center"/>
              <w:textAlignment w:val="baseline"/>
              <w:rPr>
                <w:rFonts w:cs="Arial"/>
                <w:sz w:val="18"/>
                <w:szCs w:val="18"/>
                <w:lang w:eastAsia="en-GB"/>
              </w:rPr>
            </w:pPr>
          </w:p>
          <w:p w14:paraId="6EA7D61B" w14:textId="7008F3CA" w:rsidR="00CA4EB6" w:rsidRPr="00B85D62" w:rsidRDefault="00B85D62" w:rsidP="00581161">
            <w:pPr>
              <w:jc w:val="center"/>
              <w:textAlignment w:val="baseline"/>
              <w:rPr>
                <w:rFonts w:cs="Arial"/>
                <w:sz w:val="18"/>
                <w:szCs w:val="18"/>
                <w:lang w:eastAsia="en-GB"/>
              </w:rPr>
            </w:pPr>
            <w:r w:rsidRPr="00B85D62">
              <w:rPr>
                <w:rFonts w:cs="Arial"/>
                <w:color w:val="00B0F0"/>
                <w:sz w:val="18"/>
                <w:szCs w:val="18"/>
                <w:lang w:eastAsia="en-GB"/>
              </w:rPr>
              <w:t>&lt;</w:t>
            </w:r>
            <w:r w:rsidRPr="00B85D62">
              <w:rPr>
                <w:rFonts w:cs="Arial"/>
                <w:color w:val="00B0F0"/>
                <w:sz w:val="18"/>
                <w:szCs w:val="18"/>
                <w:lang w:eastAsia="en-GB"/>
              </w:rPr>
              <w:t> </w:t>
            </w:r>
            <w:r w:rsidRPr="00B85D62">
              <w:rPr>
                <w:rFonts w:cs="Arial"/>
                <w:color w:val="00B0F0"/>
                <w:sz w:val="18"/>
                <w:szCs w:val="18"/>
                <w:lang w:eastAsia="en-GB"/>
              </w:rPr>
              <w:t>0</w:t>
            </w:r>
            <w:r w:rsidR="00CA4EB6" w:rsidRPr="00B85D62">
              <w:rPr>
                <w:rFonts w:cs="Arial"/>
                <w:sz w:val="18"/>
                <w:szCs w:val="18"/>
                <w:lang w:eastAsia="en-GB"/>
              </w:rPr>
              <w:t>.0001</w:t>
            </w:r>
            <w:r w:rsidRPr="00B85D62">
              <w:rPr>
                <w:rFonts w:cs="Arial"/>
                <w:sz w:val="18"/>
                <w:szCs w:val="18"/>
                <w:lang w:eastAsia="en-GB"/>
              </w:rPr>
              <w:t xml:space="preserve"> </w:t>
            </w:r>
          </w:p>
        </w:tc>
      </w:tr>
      <w:tr w:rsidR="00CA4EB6" w:rsidRPr="00B85D62" w14:paraId="6283DACD" w14:textId="77777777" w:rsidTr="00B85D62">
        <w:trPr>
          <w:cantSplit/>
        </w:trPr>
        <w:tc>
          <w:tcPr>
            <w:tcW w:w="0" w:type="auto"/>
            <w:shd w:val="clear" w:color="auto" w:fill="auto"/>
            <w:hideMark/>
          </w:tcPr>
          <w:p w14:paraId="6ABABEA1" w14:textId="1B3C8B81" w:rsidR="00CA4EB6" w:rsidRPr="00B85D62" w:rsidRDefault="00CA4EB6" w:rsidP="00581161">
            <w:pPr>
              <w:textAlignment w:val="baseline"/>
              <w:rPr>
                <w:rFonts w:cs="Arial"/>
                <w:sz w:val="18"/>
                <w:szCs w:val="18"/>
                <w:lang w:eastAsia="en-GB"/>
              </w:rPr>
            </w:pPr>
            <w:r w:rsidRPr="00B85D62">
              <w:rPr>
                <w:rFonts w:cs="Arial"/>
                <w:sz w:val="18"/>
                <w:szCs w:val="18"/>
                <w:lang w:eastAsia="en-GB"/>
              </w:rPr>
              <w:t>Stroke</w:t>
            </w:r>
            <w:r w:rsidR="00B85D62" w:rsidRPr="00B85D62">
              <w:rPr>
                <w:rFonts w:cs="Arial"/>
                <w:color w:val="00B0F0"/>
                <w:sz w:val="18"/>
                <w:szCs w:val="18"/>
                <w:lang w:eastAsia="en-GB"/>
              </w:rPr>
              <w:t>/</w:t>
            </w:r>
            <w:r w:rsidRPr="00B85D62">
              <w:rPr>
                <w:rFonts w:cs="Arial"/>
                <w:sz w:val="18"/>
                <w:szCs w:val="18"/>
                <w:lang w:eastAsia="en-GB"/>
              </w:rPr>
              <w:t>TIA</w:t>
            </w:r>
            <w:r w:rsidR="00B85D62" w:rsidRPr="00B85D62">
              <w:rPr>
                <w:rFonts w:cs="Arial"/>
                <w:sz w:val="18"/>
                <w:szCs w:val="18"/>
                <w:lang w:eastAsia="en-GB"/>
              </w:rPr>
              <w:t xml:space="preserve"> </w:t>
            </w:r>
          </w:p>
        </w:tc>
        <w:tc>
          <w:tcPr>
            <w:tcW w:w="0" w:type="auto"/>
            <w:shd w:val="clear" w:color="auto" w:fill="auto"/>
            <w:hideMark/>
          </w:tcPr>
          <w:p w14:paraId="19302438" w14:textId="33ED7687"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51.9 (8.5)</w:t>
            </w:r>
            <w:r w:rsidR="00B85D62" w:rsidRPr="00B85D62">
              <w:rPr>
                <w:rFonts w:cs="Arial"/>
                <w:sz w:val="18"/>
                <w:szCs w:val="18"/>
                <w:lang w:eastAsia="en-GB"/>
              </w:rPr>
              <w:t xml:space="preserve"> </w:t>
            </w:r>
          </w:p>
        </w:tc>
        <w:tc>
          <w:tcPr>
            <w:tcW w:w="0" w:type="auto"/>
            <w:shd w:val="clear" w:color="auto" w:fill="auto"/>
            <w:hideMark/>
          </w:tcPr>
          <w:p w14:paraId="66EA4A3D" w14:textId="7E41DF34"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63.7 (11.2)</w:t>
            </w:r>
            <w:r w:rsidR="00B85D62" w:rsidRPr="00B85D62">
              <w:rPr>
                <w:rFonts w:cs="Arial"/>
                <w:sz w:val="18"/>
                <w:szCs w:val="18"/>
                <w:lang w:eastAsia="en-GB"/>
              </w:rPr>
              <w:t xml:space="preserve"> </w:t>
            </w:r>
          </w:p>
        </w:tc>
        <w:tc>
          <w:tcPr>
            <w:tcW w:w="0" w:type="auto"/>
            <w:shd w:val="clear" w:color="auto" w:fill="auto"/>
            <w:hideMark/>
          </w:tcPr>
          <w:p w14:paraId="452EF474" w14:textId="293B6193"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764</w:t>
            </w:r>
            <w:r w:rsidR="00B85D62" w:rsidRPr="00B85D62">
              <w:rPr>
                <w:rFonts w:cs="Arial"/>
                <w:sz w:val="18"/>
                <w:szCs w:val="18"/>
                <w:lang w:eastAsia="en-GB"/>
              </w:rPr>
              <w:t xml:space="preserve"> </w:t>
            </w:r>
          </w:p>
        </w:tc>
        <w:tc>
          <w:tcPr>
            <w:tcW w:w="0" w:type="auto"/>
            <w:shd w:val="clear" w:color="auto" w:fill="auto"/>
            <w:hideMark/>
          </w:tcPr>
          <w:p w14:paraId="3564EE5E" w14:textId="377E380D"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405</w:t>
            </w:r>
            <w:r w:rsidR="00B85D62" w:rsidRPr="00B85D62">
              <w:rPr>
                <w:rFonts w:cs="Arial"/>
                <w:sz w:val="18"/>
                <w:szCs w:val="18"/>
                <w:lang w:eastAsia="en-GB"/>
              </w:rPr>
              <w:t xml:space="preserve"> </w:t>
            </w:r>
          </w:p>
        </w:tc>
        <w:tc>
          <w:tcPr>
            <w:tcW w:w="0" w:type="auto"/>
            <w:shd w:val="clear" w:color="auto" w:fill="auto"/>
            <w:hideMark/>
          </w:tcPr>
          <w:p w14:paraId="363ED5C6" w14:textId="77777777" w:rsidR="00B85D62" w:rsidRPr="00B85D62" w:rsidRDefault="00CA4EB6" w:rsidP="00581161">
            <w:pPr>
              <w:jc w:val="center"/>
              <w:textAlignment w:val="baseline"/>
              <w:rPr>
                <w:rFonts w:cs="Arial"/>
                <w:sz w:val="18"/>
                <w:szCs w:val="18"/>
                <w:lang w:eastAsia="en-GB"/>
              </w:rPr>
            </w:pPr>
            <w:r w:rsidRPr="00B85D62">
              <w:rPr>
                <w:rFonts w:cs="Arial"/>
                <w:sz w:val="18"/>
                <w:szCs w:val="18"/>
                <w:lang w:eastAsia="en-GB"/>
              </w:rPr>
              <w:t>4.3</w:t>
            </w:r>
          </w:p>
          <w:p w14:paraId="737922F4" w14:textId="66630865"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(4.1</w:t>
            </w:r>
            <w:r w:rsidR="00B85D62" w:rsidRPr="00B85D62">
              <w:rPr>
                <w:rFonts w:cs="Arial"/>
                <w:color w:val="00B0F0"/>
                <w:sz w:val="18"/>
                <w:szCs w:val="18"/>
                <w:lang w:eastAsia="en-GB"/>
              </w:rPr>
              <w:t>–</w:t>
            </w:r>
            <w:r w:rsidR="00B85D62" w:rsidRPr="00B85D62">
              <w:rPr>
                <w:rFonts w:cs="Arial"/>
                <w:color w:val="00B0F0"/>
                <w:sz w:val="18"/>
                <w:szCs w:val="18"/>
                <w:lang w:eastAsia="en-GB"/>
              </w:rPr>
              <w:t>4</w:t>
            </w:r>
            <w:r w:rsidRPr="00B85D62">
              <w:rPr>
                <w:rFonts w:cs="Arial"/>
                <w:sz w:val="18"/>
                <w:szCs w:val="18"/>
                <w:lang w:eastAsia="en-GB"/>
              </w:rPr>
              <w:t>.7)</w:t>
            </w:r>
            <w:r w:rsidR="00B85D62" w:rsidRPr="00B85D62">
              <w:rPr>
                <w:rFonts w:cs="Arial"/>
                <w:sz w:val="18"/>
                <w:szCs w:val="18"/>
                <w:lang w:eastAsia="en-GB"/>
              </w:rPr>
              <w:t xml:space="preserve"> </w:t>
            </w:r>
          </w:p>
        </w:tc>
        <w:tc>
          <w:tcPr>
            <w:tcW w:w="0" w:type="auto"/>
            <w:shd w:val="clear" w:color="auto" w:fill="auto"/>
            <w:hideMark/>
          </w:tcPr>
          <w:p w14:paraId="45422CA7" w14:textId="77777777" w:rsidR="00B85D62" w:rsidRPr="00B85D62" w:rsidRDefault="00CA4EB6" w:rsidP="00581161">
            <w:pPr>
              <w:jc w:val="center"/>
              <w:textAlignment w:val="baseline"/>
              <w:rPr>
                <w:rFonts w:cs="Arial"/>
                <w:sz w:val="18"/>
                <w:szCs w:val="18"/>
                <w:lang w:eastAsia="en-GB"/>
              </w:rPr>
            </w:pPr>
            <w:r w:rsidRPr="00B85D62">
              <w:rPr>
                <w:rFonts w:cs="Arial"/>
                <w:sz w:val="18"/>
                <w:szCs w:val="18"/>
                <w:lang w:eastAsia="en-GB"/>
              </w:rPr>
              <w:t>0.7</w:t>
            </w:r>
          </w:p>
          <w:p w14:paraId="4B518E68" w14:textId="40D54753"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(0.6</w:t>
            </w:r>
            <w:r w:rsidR="00B85D62" w:rsidRPr="00B85D62">
              <w:rPr>
                <w:rFonts w:cs="Arial"/>
                <w:color w:val="00B0F0"/>
                <w:sz w:val="18"/>
                <w:szCs w:val="18"/>
                <w:lang w:eastAsia="en-GB"/>
              </w:rPr>
              <w:t>–</w:t>
            </w:r>
            <w:r w:rsidR="00B85D62" w:rsidRPr="00B85D62">
              <w:rPr>
                <w:rFonts w:cs="Arial"/>
                <w:color w:val="00B0F0"/>
                <w:sz w:val="18"/>
                <w:szCs w:val="18"/>
                <w:lang w:eastAsia="en-GB"/>
              </w:rPr>
              <w:t>0</w:t>
            </w:r>
            <w:r w:rsidRPr="00B85D62">
              <w:rPr>
                <w:rFonts w:cs="Arial"/>
                <w:sz w:val="18"/>
                <w:szCs w:val="18"/>
                <w:lang w:eastAsia="en-GB"/>
              </w:rPr>
              <w:t>.8)</w:t>
            </w:r>
            <w:r w:rsidR="00B85D62" w:rsidRPr="00B85D62">
              <w:rPr>
                <w:rFonts w:cs="Arial"/>
                <w:sz w:val="18"/>
                <w:szCs w:val="18"/>
                <w:lang w:eastAsia="en-GB"/>
              </w:rPr>
              <w:t xml:space="preserve"> </w:t>
            </w:r>
          </w:p>
        </w:tc>
        <w:tc>
          <w:tcPr>
            <w:tcW w:w="0" w:type="auto"/>
            <w:shd w:val="clear" w:color="auto" w:fill="auto"/>
            <w:hideMark/>
          </w:tcPr>
          <w:p w14:paraId="7AA81ACE" w14:textId="77777777" w:rsidR="00B85D62" w:rsidRPr="00B85D62" w:rsidRDefault="00B85D62" w:rsidP="00581161">
            <w:pPr>
              <w:jc w:val="center"/>
              <w:textAlignment w:val="baseline"/>
              <w:rPr>
                <w:rFonts w:cs="Arial"/>
                <w:sz w:val="18"/>
                <w:szCs w:val="18"/>
                <w:lang w:eastAsia="en-GB"/>
              </w:rPr>
            </w:pPr>
          </w:p>
          <w:p w14:paraId="7B32AF81" w14:textId="3005C124" w:rsidR="00CA4EB6" w:rsidRPr="00B85D62" w:rsidRDefault="00B85D62" w:rsidP="00581161">
            <w:pPr>
              <w:jc w:val="center"/>
              <w:textAlignment w:val="baseline"/>
              <w:rPr>
                <w:rFonts w:cs="Arial"/>
                <w:sz w:val="18"/>
                <w:szCs w:val="18"/>
                <w:lang w:eastAsia="en-GB"/>
              </w:rPr>
            </w:pPr>
            <w:r w:rsidRPr="00B85D62">
              <w:rPr>
                <w:rFonts w:cs="Arial"/>
                <w:color w:val="00B0F0"/>
                <w:sz w:val="18"/>
                <w:szCs w:val="18"/>
                <w:lang w:eastAsia="en-GB"/>
              </w:rPr>
              <w:t>&lt;</w:t>
            </w:r>
            <w:r w:rsidRPr="00B85D62">
              <w:rPr>
                <w:rFonts w:cs="Arial"/>
                <w:color w:val="00B0F0"/>
                <w:sz w:val="18"/>
                <w:szCs w:val="18"/>
                <w:lang w:eastAsia="en-GB"/>
              </w:rPr>
              <w:t> </w:t>
            </w:r>
            <w:r w:rsidRPr="00B85D62">
              <w:rPr>
                <w:rFonts w:cs="Arial"/>
                <w:color w:val="00B0F0"/>
                <w:sz w:val="18"/>
                <w:szCs w:val="18"/>
                <w:lang w:eastAsia="en-GB"/>
              </w:rPr>
              <w:t>0</w:t>
            </w:r>
            <w:r w:rsidR="00CA4EB6" w:rsidRPr="00B85D62">
              <w:rPr>
                <w:rFonts w:cs="Arial"/>
                <w:sz w:val="18"/>
                <w:szCs w:val="18"/>
                <w:lang w:eastAsia="en-GB"/>
              </w:rPr>
              <w:t>.0001</w:t>
            </w:r>
            <w:r w:rsidRPr="00B85D62">
              <w:rPr>
                <w:rFonts w:cs="Arial"/>
                <w:sz w:val="18"/>
                <w:szCs w:val="18"/>
                <w:lang w:eastAsia="en-GB"/>
              </w:rPr>
              <w:t xml:space="preserve"> </w:t>
            </w:r>
          </w:p>
        </w:tc>
      </w:tr>
      <w:tr w:rsidR="00CA4EB6" w:rsidRPr="00B85D62" w14:paraId="44FE45C6" w14:textId="77777777" w:rsidTr="00B85D62">
        <w:trPr>
          <w:cantSplit/>
        </w:trPr>
        <w:tc>
          <w:tcPr>
            <w:tcW w:w="0" w:type="auto"/>
            <w:shd w:val="clear" w:color="auto" w:fill="auto"/>
            <w:hideMark/>
          </w:tcPr>
          <w:p w14:paraId="776DDCE3" w14:textId="4371E5B6" w:rsidR="00CA4EB6" w:rsidRPr="00B85D62" w:rsidRDefault="00CA4EB6" w:rsidP="00581161">
            <w:pPr>
              <w:textAlignment w:val="baseline"/>
              <w:rPr>
                <w:rFonts w:cs="Arial"/>
                <w:sz w:val="18"/>
                <w:szCs w:val="18"/>
                <w:lang w:eastAsia="en-GB"/>
              </w:rPr>
            </w:pPr>
            <w:r w:rsidRPr="00B85D62">
              <w:rPr>
                <w:rFonts w:cs="Arial"/>
                <w:sz w:val="18"/>
                <w:szCs w:val="18"/>
                <w:lang w:eastAsia="en-GB"/>
              </w:rPr>
              <w:t>Peripheral vascular disease</w:t>
            </w:r>
            <w:r w:rsidR="00B85D62" w:rsidRPr="00B85D62">
              <w:rPr>
                <w:rFonts w:cs="Arial"/>
                <w:sz w:val="18"/>
                <w:szCs w:val="18"/>
                <w:lang w:eastAsia="en-GB"/>
              </w:rPr>
              <w:t xml:space="preserve"> </w:t>
            </w:r>
          </w:p>
        </w:tc>
        <w:tc>
          <w:tcPr>
            <w:tcW w:w="0" w:type="auto"/>
            <w:shd w:val="clear" w:color="auto" w:fill="auto"/>
            <w:hideMark/>
          </w:tcPr>
          <w:p w14:paraId="4CBFD851" w14:textId="50F3EEA9"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52.4 (8.2)</w:t>
            </w:r>
            <w:r w:rsidR="00B85D62" w:rsidRPr="00B85D62">
              <w:rPr>
                <w:rFonts w:cs="Arial"/>
                <w:sz w:val="18"/>
                <w:szCs w:val="18"/>
                <w:lang w:eastAsia="en-GB"/>
              </w:rPr>
              <w:t xml:space="preserve"> </w:t>
            </w:r>
          </w:p>
        </w:tc>
        <w:tc>
          <w:tcPr>
            <w:tcW w:w="0" w:type="auto"/>
            <w:shd w:val="clear" w:color="auto" w:fill="auto"/>
            <w:hideMark/>
          </w:tcPr>
          <w:p w14:paraId="76DA6BF8" w14:textId="5C4DF5EA"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61.7 (10.9)</w:t>
            </w:r>
            <w:r w:rsidR="00B85D62" w:rsidRPr="00B85D62">
              <w:rPr>
                <w:rFonts w:cs="Arial"/>
                <w:sz w:val="18"/>
                <w:szCs w:val="18"/>
                <w:lang w:eastAsia="en-GB"/>
              </w:rPr>
              <w:t xml:space="preserve"> </w:t>
            </w:r>
          </w:p>
        </w:tc>
        <w:tc>
          <w:tcPr>
            <w:tcW w:w="0" w:type="auto"/>
            <w:shd w:val="clear" w:color="auto" w:fill="auto"/>
            <w:hideMark/>
          </w:tcPr>
          <w:p w14:paraId="346D136A" w14:textId="6BC665B9"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592</w:t>
            </w:r>
            <w:r w:rsidR="00B85D62" w:rsidRPr="00B85D62">
              <w:rPr>
                <w:rFonts w:cs="Arial"/>
                <w:sz w:val="18"/>
                <w:szCs w:val="18"/>
                <w:lang w:eastAsia="en-GB"/>
              </w:rPr>
              <w:t xml:space="preserve"> </w:t>
            </w:r>
          </w:p>
        </w:tc>
        <w:tc>
          <w:tcPr>
            <w:tcW w:w="0" w:type="auto"/>
            <w:shd w:val="clear" w:color="auto" w:fill="auto"/>
            <w:hideMark/>
          </w:tcPr>
          <w:p w14:paraId="578E88F9" w14:textId="760797A6"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295</w:t>
            </w:r>
            <w:r w:rsidR="00B85D62" w:rsidRPr="00B85D62">
              <w:rPr>
                <w:rFonts w:cs="Arial"/>
                <w:sz w:val="18"/>
                <w:szCs w:val="18"/>
                <w:lang w:eastAsia="en-GB"/>
              </w:rPr>
              <w:t xml:space="preserve"> </w:t>
            </w:r>
          </w:p>
        </w:tc>
        <w:tc>
          <w:tcPr>
            <w:tcW w:w="0" w:type="auto"/>
            <w:shd w:val="clear" w:color="auto" w:fill="auto"/>
            <w:hideMark/>
          </w:tcPr>
          <w:p w14:paraId="4CA879FB" w14:textId="77777777" w:rsidR="00B85D62" w:rsidRPr="00B85D62" w:rsidRDefault="00CA4EB6" w:rsidP="00581161">
            <w:pPr>
              <w:jc w:val="center"/>
              <w:textAlignment w:val="baseline"/>
              <w:rPr>
                <w:rFonts w:cs="Arial"/>
                <w:sz w:val="18"/>
                <w:szCs w:val="18"/>
                <w:lang w:eastAsia="en-GB"/>
              </w:rPr>
            </w:pPr>
            <w:r w:rsidRPr="00B85D62">
              <w:rPr>
                <w:rFonts w:cs="Arial"/>
                <w:sz w:val="18"/>
                <w:szCs w:val="18"/>
                <w:lang w:eastAsia="en-GB"/>
              </w:rPr>
              <w:t>3.4</w:t>
            </w:r>
          </w:p>
          <w:p w14:paraId="5F00E93D" w14:textId="63F73ADE"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(3.1</w:t>
            </w:r>
            <w:r w:rsidR="00B85D62" w:rsidRPr="00B85D62">
              <w:rPr>
                <w:rFonts w:cs="Arial"/>
                <w:color w:val="00B0F0"/>
                <w:sz w:val="18"/>
                <w:szCs w:val="18"/>
                <w:lang w:eastAsia="en-GB"/>
              </w:rPr>
              <w:t>–</w:t>
            </w:r>
            <w:r w:rsidR="00B85D62" w:rsidRPr="00B85D62">
              <w:rPr>
                <w:rFonts w:cs="Arial"/>
                <w:color w:val="00B0F0"/>
                <w:sz w:val="18"/>
                <w:szCs w:val="18"/>
                <w:lang w:eastAsia="en-GB"/>
              </w:rPr>
              <w:t>3</w:t>
            </w:r>
            <w:r w:rsidRPr="00B85D62">
              <w:rPr>
                <w:rFonts w:cs="Arial"/>
                <w:sz w:val="18"/>
                <w:szCs w:val="18"/>
                <w:lang w:eastAsia="en-GB"/>
              </w:rPr>
              <w:t>.7)</w:t>
            </w:r>
            <w:r w:rsidR="00B85D62" w:rsidRPr="00B85D62">
              <w:rPr>
                <w:rFonts w:cs="Arial"/>
                <w:sz w:val="18"/>
                <w:szCs w:val="18"/>
                <w:lang w:eastAsia="en-GB"/>
              </w:rPr>
              <w:t xml:space="preserve"> </w:t>
            </w:r>
          </w:p>
        </w:tc>
        <w:tc>
          <w:tcPr>
            <w:tcW w:w="0" w:type="auto"/>
            <w:shd w:val="clear" w:color="auto" w:fill="auto"/>
            <w:hideMark/>
          </w:tcPr>
          <w:p w14:paraId="24D5ACF2" w14:textId="77777777" w:rsidR="00B85D62" w:rsidRPr="00B85D62" w:rsidRDefault="00CA4EB6" w:rsidP="00581161">
            <w:pPr>
              <w:jc w:val="center"/>
              <w:textAlignment w:val="baseline"/>
              <w:rPr>
                <w:rFonts w:cs="Arial"/>
                <w:sz w:val="18"/>
                <w:szCs w:val="18"/>
                <w:lang w:eastAsia="en-GB"/>
              </w:rPr>
            </w:pPr>
            <w:r w:rsidRPr="00B85D62">
              <w:rPr>
                <w:rFonts w:cs="Arial"/>
                <w:sz w:val="18"/>
                <w:szCs w:val="18"/>
                <w:lang w:eastAsia="en-GB"/>
              </w:rPr>
              <w:t>0.5</w:t>
            </w:r>
          </w:p>
          <w:p w14:paraId="51F85779" w14:textId="19480BED" w:rsidR="00CA4EB6" w:rsidRPr="00B85D62" w:rsidRDefault="00CA4EB6" w:rsidP="00581161">
            <w:pPr>
              <w:jc w:val="center"/>
              <w:textAlignment w:val="baseline"/>
              <w:rPr>
                <w:rFonts w:cs="Arial"/>
                <w:sz w:val="18"/>
                <w:szCs w:val="18"/>
                <w:lang w:eastAsia="en-GB"/>
              </w:rPr>
            </w:pPr>
            <w:r w:rsidRPr="00B85D62">
              <w:rPr>
                <w:rFonts w:cs="Arial"/>
                <w:sz w:val="18"/>
                <w:szCs w:val="18"/>
                <w:lang w:eastAsia="en-GB"/>
              </w:rPr>
              <w:t>(0.4</w:t>
            </w:r>
            <w:r w:rsidR="00B85D62" w:rsidRPr="00B85D62">
              <w:rPr>
                <w:rFonts w:cs="Arial"/>
                <w:color w:val="00B0F0"/>
                <w:sz w:val="18"/>
                <w:szCs w:val="18"/>
                <w:lang w:eastAsia="en-GB"/>
              </w:rPr>
              <w:t>–</w:t>
            </w:r>
            <w:r w:rsidR="00B85D62" w:rsidRPr="00B85D62">
              <w:rPr>
                <w:rFonts w:cs="Arial"/>
                <w:color w:val="00B0F0"/>
                <w:sz w:val="18"/>
                <w:szCs w:val="18"/>
                <w:lang w:eastAsia="en-GB"/>
              </w:rPr>
              <w:t>0</w:t>
            </w:r>
            <w:r w:rsidRPr="00B85D62">
              <w:rPr>
                <w:rFonts w:cs="Arial"/>
                <w:sz w:val="18"/>
                <w:szCs w:val="18"/>
                <w:lang w:eastAsia="en-GB"/>
              </w:rPr>
              <w:t>.6)</w:t>
            </w:r>
            <w:r w:rsidR="00B85D62" w:rsidRPr="00B85D62">
              <w:rPr>
                <w:rFonts w:cs="Arial"/>
                <w:sz w:val="18"/>
                <w:szCs w:val="18"/>
                <w:lang w:eastAsia="en-GB"/>
              </w:rPr>
              <w:t xml:space="preserve"> </w:t>
            </w:r>
          </w:p>
        </w:tc>
        <w:tc>
          <w:tcPr>
            <w:tcW w:w="0" w:type="auto"/>
            <w:shd w:val="clear" w:color="auto" w:fill="auto"/>
            <w:hideMark/>
          </w:tcPr>
          <w:p w14:paraId="5D8368AF" w14:textId="77777777" w:rsidR="00B85D62" w:rsidRPr="00B85D62" w:rsidRDefault="00B85D62" w:rsidP="00581161">
            <w:pPr>
              <w:jc w:val="center"/>
              <w:textAlignment w:val="baseline"/>
              <w:rPr>
                <w:rFonts w:cs="Arial"/>
                <w:sz w:val="18"/>
                <w:szCs w:val="18"/>
                <w:lang w:eastAsia="en-GB"/>
              </w:rPr>
            </w:pPr>
          </w:p>
          <w:p w14:paraId="2A2E1592" w14:textId="72FB21AD" w:rsidR="00CA4EB6" w:rsidRPr="00B85D62" w:rsidRDefault="00B85D62" w:rsidP="00581161">
            <w:pPr>
              <w:jc w:val="center"/>
              <w:textAlignment w:val="baseline"/>
              <w:rPr>
                <w:rFonts w:cs="Arial"/>
                <w:sz w:val="18"/>
                <w:szCs w:val="18"/>
                <w:lang w:eastAsia="en-GB"/>
              </w:rPr>
            </w:pPr>
            <w:r w:rsidRPr="00B85D62">
              <w:rPr>
                <w:rFonts w:cs="Arial"/>
                <w:color w:val="00B0F0"/>
                <w:sz w:val="18"/>
                <w:szCs w:val="18"/>
                <w:lang w:eastAsia="en-GB"/>
              </w:rPr>
              <w:t>&lt;</w:t>
            </w:r>
            <w:r w:rsidRPr="00B85D62">
              <w:rPr>
                <w:rFonts w:cs="Arial"/>
                <w:color w:val="00B0F0"/>
                <w:sz w:val="18"/>
                <w:szCs w:val="18"/>
                <w:lang w:eastAsia="en-GB"/>
              </w:rPr>
              <w:t> </w:t>
            </w:r>
            <w:r w:rsidRPr="00B85D62">
              <w:rPr>
                <w:rFonts w:cs="Arial"/>
                <w:color w:val="00B0F0"/>
                <w:sz w:val="18"/>
                <w:szCs w:val="18"/>
                <w:lang w:eastAsia="en-GB"/>
              </w:rPr>
              <w:t>0</w:t>
            </w:r>
            <w:r w:rsidR="00CA4EB6" w:rsidRPr="00B85D62">
              <w:rPr>
                <w:rFonts w:cs="Arial"/>
                <w:sz w:val="18"/>
                <w:szCs w:val="18"/>
                <w:lang w:eastAsia="en-GB"/>
              </w:rPr>
              <w:t>.0001</w:t>
            </w:r>
            <w:r w:rsidRPr="00B85D62">
              <w:rPr>
                <w:rFonts w:cs="Arial"/>
                <w:sz w:val="18"/>
                <w:szCs w:val="18"/>
                <w:lang w:eastAsia="en-GB"/>
              </w:rPr>
              <w:t xml:space="preserve"> </w:t>
            </w:r>
          </w:p>
        </w:tc>
      </w:tr>
    </w:tbl>
    <w:p w14:paraId="4FC44445" w14:textId="77777777" w:rsidR="00B85D62" w:rsidRPr="00B85D62" w:rsidRDefault="00CA4EB6" w:rsidP="00CA4EB6">
      <w:pPr>
        <w:textAlignment w:val="baseline"/>
        <w:rPr>
          <w:rFonts w:cs="Arial"/>
          <w:sz w:val="18"/>
          <w:szCs w:val="18"/>
          <w:lang w:eastAsia="en-GB"/>
        </w:rPr>
      </w:pPr>
      <w:r w:rsidRPr="00B85D62">
        <w:rPr>
          <w:rFonts w:cs="Arial"/>
          <w:sz w:val="18"/>
          <w:szCs w:val="18"/>
          <w:lang w:eastAsia="en-GB"/>
        </w:rPr>
        <w:t>Person-time at risk for subjects with FH (1,000 person-years): 174.95</w:t>
      </w:r>
    </w:p>
    <w:p w14:paraId="21502E90" w14:textId="77777777" w:rsidR="00B85D62" w:rsidRPr="00B85D62" w:rsidRDefault="00CA4EB6" w:rsidP="00CA4EB6">
      <w:pPr>
        <w:textAlignment w:val="baseline"/>
        <w:rPr>
          <w:rFonts w:cs="Arial"/>
          <w:sz w:val="18"/>
          <w:szCs w:val="18"/>
          <w:lang w:eastAsia="en-GB"/>
        </w:rPr>
      </w:pPr>
      <w:r w:rsidRPr="00B85D62">
        <w:rPr>
          <w:rFonts w:cs="Arial"/>
          <w:sz w:val="18"/>
          <w:szCs w:val="18"/>
          <w:lang w:eastAsia="en-GB"/>
        </w:rPr>
        <w:t>Person-time at risk for non-FH subjects (1,000 person-years): 588.47</w:t>
      </w:r>
    </w:p>
    <w:p w14:paraId="031CB928" w14:textId="7DD7F500" w:rsidR="00B85D62" w:rsidRPr="00B85D62" w:rsidRDefault="00B85D62" w:rsidP="00E06F79">
      <w:pPr>
        <w:pStyle w:val="Caption"/>
        <w:rPr>
          <w:rStyle w:val="eop"/>
          <w:rFonts w:cs="Arial"/>
          <w:b w:val="0"/>
          <w:bCs/>
          <w:shd w:val="clear" w:color="auto" w:fill="FFFFFF"/>
        </w:rPr>
      </w:pPr>
      <w:bookmarkStart w:id="325" w:name="_Toc107157400"/>
      <w:r w:rsidRPr="00B85D62">
        <w:rPr>
          <w:i/>
          <w:color w:val="FF0000"/>
        </w:rPr>
        <w:t>F</w:t>
      </w:r>
      <w:r w:rsidRPr="00B85D62">
        <w:rPr>
          <w:i/>
          <w:color w:val="FF0000"/>
        </w:rPr>
        <w:t>igure</w:t>
      </w:r>
      <w:r w:rsidRPr="00B85D62">
        <w:rPr>
          <w:i/>
          <w:color w:val="FF0000"/>
        </w:rPr>
        <w:t xml:space="preserve"> </w:t>
      </w:r>
      <w:r w:rsidRPr="00B85D62">
        <w:rPr>
          <w:i/>
          <w:noProof/>
          <w:color w:val="FF0000"/>
        </w:rPr>
        <w:t>18</w:t>
      </w:r>
      <w:r w:rsidR="0052758D" w:rsidRPr="00B85D62">
        <w:t>:</w:t>
      </w:r>
      <w:r w:rsidR="00CA4EB6" w:rsidRPr="00B85D62">
        <w:rPr>
          <w:rStyle w:val="normaltextrun"/>
          <w:rFonts w:cs="Arial"/>
          <w:b w:val="0"/>
          <w:bCs/>
          <w:shd w:val="clear" w:color="auto" w:fill="FFFFFF"/>
        </w:rPr>
        <w:t>.</w:t>
      </w:r>
      <w:r w:rsidRPr="00B85D62">
        <w:rPr>
          <w:rStyle w:val="normaltextrun"/>
          <w:rFonts w:cs="Arial"/>
          <w:b w:val="0"/>
          <w:bCs/>
          <w:shd w:val="clear" w:color="auto" w:fill="FFFFFF"/>
        </w:rPr>
        <w:t xml:space="preserve"> </w:t>
      </w:r>
      <w:r w:rsidR="00CA4EB6" w:rsidRPr="00B85D62">
        <w:rPr>
          <w:rStyle w:val="normaltextrun"/>
          <w:rFonts w:cs="Arial"/>
          <w:b w:val="0"/>
          <w:bCs/>
          <w:shd w:val="clear" w:color="auto" w:fill="FFFFFF"/>
        </w:rPr>
        <w:t>Distribution of total cholesterol level (mmol/l) in FH and non-FH subjects</w:t>
      </w:r>
      <w:bookmarkEnd w:id="325"/>
    </w:p>
    <w:p w14:paraId="754F8C87" w14:textId="11556741" w:rsidR="00B85D62" w:rsidRPr="00B85D62" w:rsidRDefault="00B85D62" w:rsidP="00E06F79">
      <w:pPr>
        <w:pStyle w:val="Caption"/>
        <w:rPr>
          <w:rFonts w:cs="Arial"/>
          <w:bCs/>
        </w:rPr>
      </w:pPr>
      <w:bookmarkStart w:id="326" w:name="_Toc107157401"/>
      <w:r w:rsidRPr="00B85D62">
        <w:rPr>
          <w:i/>
          <w:color w:val="FF0000"/>
        </w:rPr>
        <w:t>F</w:t>
      </w:r>
      <w:r w:rsidRPr="00B85D62">
        <w:rPr>
          <w:i/>
          <w:color w:val="FF0000"/>
        </w:rPr>
        <w:t>igure</w:t>
      </w:r>
      <w:r w:rsidRPr="00B85D62">
        <w:rPr>
          <w:i/>
          <w:color w:val="FF0000"/>
        </w:rPr>
        <w:t xml:space="preserve"> </w:t>
      </w:r>
      <w:r w:rsidRPr="00B85D62">
        <w:rPr>
          <w:i/>
          <w:noProof/>
          <w:color w:val="FF0000"/>
        </w:rPr>
        <w:t>19</w:t>
      </w:r>
      <w:r w:rsidR="0052758D" w:rsidRPr="00B85D62">
        <w:t>:</w:t>
      </w:r>
      <w:r w:rsidR="009C790E" w:rsidRPr="00B85D62">
        <w:t xml:space="preserve"> </w:t>
      </w:r>
      <w:r w:rsidR="00CA4EB6" w:rsidRPr="00B85D62">
        <w:rPr>
          <w:rStyle w:val="normaltextrun"/>
          <w:rFonts w:cs="Arial"/>
          <w:b w:val="0"/>
          <w:bCs/>
          <w:shd w:val="clear" w:color="auto" w:fill="FFFFFF"/>
        </w:rPr>
        <w:t>Hazards ratio for CVD outcomes in subjects with FH, stratified by sex</w:t>
      </w:r>
      <w:bookmarkEnd w:id="326"/>
    </w:p>
    <w:p w14:paraId="17D76BA5" w14:textId="4C40C972" w:rsidR="00B85D62" w:rsidRPr="00B85D62" w:rsidRDefault="00B85D62" w:rsidP="00E06F79">
      <w:pPr>
        <w:pStyle w:val="Caption"/>
        <w:rPr>
          <w:bCs/>
        </w:rPr>
      </w:pPr>
      <w:bookmarkStart w:id="327" w:name="_Toc107157402"/>
      <w:r w:rsidRPr="00B85D62">
        <w:rPr>
          <w:i/>
          <w:color w:val="FF0000"/>
        </w:rPr>
        <w:t>F</w:t>
      </w:r>
      <w:r w:rsidRPr="00B85D62">
        <w:rPr>
          <w:i/>
          <w:color w:val="FF0000"/>
        </w:rPr>
        <w:t>igure</w:t>
      </w:r>
      <w:r w:rsidRPr="00B85D62">
        <w:rPr>
          <w:i/>
          <w:color w:val="FF0000"/>
        </w:rPr>
        <w:t xml:space="preserve"> </w:t>
      </w:r>
      <w:r w:rsidRPr="00B85D62">
        <w:rPr>
          <w:i/>
          <w:noProof/>
          <w:color w:val="FF0000"/>
        </w:rPr>
        <w:t>20</w:t>
      </w:r>
      <w:r w:rsidR="0052758D" w:rsidRPr="00B85D62">
        <w:t>:</w:t>
      </w:r>
      <w:r w:rsidRPr="00B85D62">
        <w:t xml:space="preserve"> </w:t>
      </w:r>
      <w:r w:rsidR="00CA4EB6" w:rsidRPr="00B85D62">
        <w:rPr>
          <w:rStyle w:val="normaltextrun"/>
          <w:rFonts w:ascii="Calibri" w:hAnsi="Calibri" w:cs="Calibri"/>
          <w:b w:val="0"/>
          <w:bCs/>
          <w:shd w:val="clear" w:color="auto" w:fill="FFFFFF"/>
        </w:rPr>
        <w:t>Standardised morbidity ratios for composite CVD in men and women with familial hypercholesterolaemia in the Simon Broome register</w:t>
      </w:r>
      <w:bookmarkEnd w:id="327"/>
    </w:p>
    <w:p w14:paraId="112BFDCC" w14:textId="77777777" w:rsidR="00B85D62" w:rsidRPr="00B85D62" w:rsidRDefault="15EDC835" w:rsidP="00581161">
      <w:pPr>
        <w:pStyle w:val="Heading1"/>
        <w:spacing w:line="360" w:lineRule="auto"/>
      </w:pPr>
      <w:bookmarkStart w:id="328" w:name="_Toc107157536"/>
      <w:r w:rsidRPr="00B85D62">
        <w:rPr>
          <w:rFonts w:ascii="Arial" w:hAnsi="Arial" w:cs="Arial"/>
          <w:sz w:val="22"/>
          <w:szCs w:val="22"/>
        </w:rPr>
        <w:t xml:space="preserve">Appendix </w:t>
      </w:r>
      <w:r w:rsidR="00103352" w:rsidRPr="00B85D62">
        <w:rPr>
          <w:rFonts w:ascii="Arial" w:hAnsi="Arial" w:cs="Arial"/>
          <w:sz w:val="22"/>
          <w:szCs w:val="22"/>
        </w:rPr>
        <w:t>3</w:t>
      </w:r>
      <w:r w:rsidR="42AB548F" w:rsidRPr="00B85D62">
        <w:rPr>
          <w:rFonts w:ascii="Arial" w:hAnsi="Arial" w:cs="Arial"/>
          <w:sz w:val="22"/>
          <w:szCs w:val="22"/>
        </w:rPr>
        <w:t>:</w:t>
      </w:r>
      <w:r w:rsidR="00895586" w:rsidRPr="00B85D62">
        <w:rPr>
          <w:rFonts w:ascii="Arial" w:hAnsi="Arial" w:cs="Arial"/>
          <w:sz w:val="22"/>
          <w:szCs w:val="22"/>
        </w:rPr>
        <w:t xml:space="preserve"> </w:t>
      </w:r>
      <w:r w:rsidR="00103352" w:rsidRPr="00B85D62">
        <w:rPr>
          <w:rFonts w:cs="Arial"/>
          <w:bCs/>
        </w:rPr>
        <w:t xml:space="preserve">Examples of </w:t>
      </w:r>
      <w:r w:rsidR="00103352" w:rsidRPr="00B85D62">
        <w:rPr>
          <w:bCs/>
        </w:rPr>
        <w:t>Comments obtained on Member checking</w:t>
      </w:r>
      <w:bookmarkEnd w:id="328"/>
    </w:p>
    <w:p w14:paraId="316D4328" w14:textId="3814CDE8" w:rsidR="00103352" w:rsidRPr="00B85D62" w:rsidRDefault="00103352" w:rsidP="00103352">
      <w:pPr>
        <w:jc w:val="both"/>
        <w:rPr>
          <w:rFonts w:asciiTheme="majorHAnsi" w:hAnsiTheme="majorHAnsi" w:cs="Arial"/>
          <w:b/>
        </w:rPr>
      </w:pPr>
      <w:r w:rsidRPr="00B85D62">
        <w:rPr>
          <w:rFonts w:asciiTheme="majorHAnsi" w:hAnsiTheme="majorHAnsi" w:cs="Arial"/>
          <w:b/>
        </w:rPr>
        <w:t>Index patients and relatives</w:t>
      </w:r>
    </w:p>
    <w:p w14:paraId="47B63344" w14:textId="72CA720C" w:rsidR="00103352" w:rsidRPr="00B85D62" w:rsidRDefault="00103352" w:rsidP="00E06F79">
      <w:pPr>
        <w:pStyle w:val="ListParagraph"/>
        <w:numPr>
          <w:ilvl w:val="0"/>
          <w:numId w:val="26"/>
        </w:numPr>
        <w:jc w:val="both"/>
        <w:rPr>
          <w:rFonts w:asciiTheme="majorHAnsi" w:hAnsiTheme="majorHAnsi" w:cs="Arial"/>
          <w:i/>
        </w:rPr>
      </w:pPr>
      <w:r w:rsidRPr="00B85D62">
        <w:rPr>
          <w:rFonts w:asciiTheme="majorHAnsi" w:hAnsiTheme="majorHAnsi" w:cs="Arial"/>
          <w:i/>
        </w:rPr>
        <w:t xml:space="preserve">There </w:t>
      </w:r>
      <w:r w:rsidR="00B85D62" w:rsidRPr="00B85D62">
        <w:rPr>
          <w:rFonts w:asciiTheme="majorHAnsi" w:hAnsiTheme="majorHAnsi" w:cs="Arial"/>
          <w:i/>
          <w:color w:val="00B0F0"/>
        </w:rPr>
        <w:t>is not</w:t>
      </w:r>
      <w:r w:rsidRPr="00B85D62">
        <w:rPr>
          <w:rFonts w:asciiTheme="majorHAnsi" w:hAnsiTheme="majorHAnsi" w:cs="Arial"/>
          <w:i/>
        </w:rPr>
        <w:t xml:space="preserve"> anything there that I would disagree with.</w:t>
      </w:r>
      <w:r w:rsidR="00B85D62" w:rsidRPr="00B85D62">
        <w:rPr>
          <w:rFonts w:asciiTheme="majorHAnsi" w:hAnsiTheme="majorHAnsi" w:cs="Arial"/>
          <w:i/>
        </w:rPr>
        <w:t xml:space="preserve"> </w:t>
      </w:r>
      <w:r w:rsidRPr="00B85D62">
        <w:rPr>
          <w:rFonts w:asciiTheme="majorHAnsi" w:hAnsiTheme="majorHAnsi" w:cs="Arial"/>
          <w:i/>
        </w:rPr>
        <w:t>I can appreciate all the comments made.</w:t>
      </w:r>
    </w:p>
    <w:p w14:paraId="3E0763C7" w14:textId="77777777" w:rsidR="00103352" w:rsidRPr="00B85D62" w:rsidRDefault="00103352" w:rsidP="00E06F79">
      <w:pPr>
        <w:pStyle w:val="ListParagraph"/>
        <w:numPr>
          <w:ilvl w:val="0"/>
          <w:numId w:val="26"/>
        </w:numPr>
        <w:jc w:val="both"/>
        <w:rPr>
          <w:rFonts w:asciiTheme="majorHAnsi" w:hAnsiTheme="majorHAnsi" w:cs="Arial"/>
          <w:i/>
        </w:rPr>
      </w:pPr>
      <w:r w:rsidRPr="00B85D62">
        <w:rPr>
          <w:rFonts w:asciiTheme="majorHAnsi" w:hAnsiTheme="majorHAnsi" w:cs="Arial"/>
          <w:i/>
        </w:rPr>
        <w:t>I think receiving a letter from the service has more gravitas than hearing from a family member so may be taken more seriously. I preferred to speak to my (relative) as I have a close relationship.</w:t>
      </w:r>
    </w:p>
    <w:p w14:paraId="1D4A5E8B" w14:textId="528B84CC" w:rsidR="00B85D62" w:rsidRPr="00B85D62" w:rsidRDefault="00103352" w:rsidP="00E06F79">
      <w:pPr>
        <w:pStyle w:val="ListParagraph"/>
        <w:numPr>
          <w:ilvl w:val="0"/>
          <w:numId w:val="26"/>
        </w:numPr>
        <w:jc w:val="both"/>
        <w:rPr>
          <w:rFonts w:asciiTheme="majorHAnsi" w:hAnsiTheme="majorHAnsi" w:cs="Arial"/>
          <w:i/>
        </w:rPr>
      </w:pPr>
      <w:r w:rsidRPr="00B85D62">
        <w:rPr>
          <w:rFonts w:asciiTheme="majorHAnsi" w:hAnsiTheme="majorHAnsi" w:cs="Arial"/>
          <w:i/>
        </w:rPr>
        <w:t>I experienced a lack of concern from a GP</w:t>
      </w:r>
      <w:r w:rsidR="00B85D62" w:rsidRPr="00B85D62">
        <w:rPr>
          <w:rFonts w:asciiTheme="majorHAnsi" w:hAnsiTheme="majorHAnsi" w:cs="Arial"/>
          <w:i/>
          <w:color w:val="00B0F0"/>
        </w:rPr>
        <w:t xml:space="preserve"> – </w:t>
      </w:r>
      <w:r w:rsidRPr="00B85D62">
        <w:rPr>
          <w:rFonts w:asciiTheme="majorHAnsi" w:hAnsiTheme="majorHAnsi" w:cs="Arial"/>
          <w:i/>
        </w:rPr>
        <w:t>I think further educatio</w:t>
      </w:r>
      <w:r w:rsidRPr="00B85D62">
        <w:rPr>
          <w:rFonts w:asciiTheme="majorHAnsi" w:hAnsiTheme="majorHAnsi" w:cs="Arial"/>
        </w:rPr>
        <w:t>n/a</w:t>
      </w:r>
      <w:r w:rsidRPr="00B85D62">
        <w:rPr>
          <w:rFonts w:asciiTheme="majorHAnsi" w:hAnsiTheme="majorHAnsi" w:cs="Arial"/>
          <w:i/>
        </w:rPr>
        <w:t>wareness raising for GP</w:t>
      </w:r>
      <w:r w:rsidR="00B85D62" w:rsidRPr="00B85D62">
        <w:rPr>
          <w:rFonts w:asciiTheme="majorHAnsi" w:hAnsiTheme="majorHAnsi" w:cs="Arial"/>
          <w:i/>
        </w:rPr>
        <w:t>’</w:t>
      </w:r>
      <w:r w:rsidRPr="00B85D62">
        <w:rPr>
          <w:rFonts w:asciiTheme="majorHAnsi" w:hAnsiTheme="majorHAnsi" w:cs="Arial"/>
          <w:i/>
        </w:rPr>
        <w:t>s is likely needed</w:t>
      </w:r>
    </w:p>
    <w:p w14:paraId="1A2F8134" w14:textId="6A4CBF0E" w:rsidR="00103352" w:rsidRPr="00B85D62" w:rsidRDefault="00103352" w:rsidP="00E06F79">
      <w:pPr>
        <w:pStyle w:val="ListParagraph"/>
        <w:numPr>
          <w:ilvl w:val="0"/>
          <w:numId w:val="26"/>
        </w:numPr>
        <w:jc w:val="both"/>
        <w:rPr>
          <w:rFonts w:asciiTheme="majorHAnsi" w:hAnsiTheme="majorHAnsi"/>
          <w:i/>
        </w:rPr>
      </w:pPr>
      <w:r w:rsidRPr="00B85D62">
        <w:rPr>
          <w:rFonts w:asciiTheme="majorHAnsi" w:hAnsiTheme="majorHAnsi" w:cs="Arial"/>
          <w:i/>
        </w:rPr>
        <w:t>Nurse-led service sounds ideal</w:t>
      </w:r>
    </w:p>
    <w:p w14:paraId="2B7C64A9" w14:textId="77777777" w:rsidR="00103352" w:rsidRPr="00B85D62" w:rsidRDefault="00103352" w:rsidP="00103352">
      <w:pPr>
        <w:jc w:val="both"/>
        <w:rPr>
          <w:rFonts w:asciiTheme="majorHAnsi" w:hAnsiTheme="majorHAnsi"/>
        </w:rPr>
      </w:pPr>
      <w:r w:rsidRPr="00B85D62">
        <w:rPr>
          <w:rFonts w:asciiTheme="majorHAnsi" w:hAnsiTheme="majorHAnsi"/>
          <w:b/>
          <w:highlight w:val="green"/>
        </w:rPr>
        <w:t>Health professionals</w:t>
      </w:r>
    </w:p>
    <w:p w14:paraId="5E2E66C8" w14:textId="77777777" w:rsidR="00103352" w:rsidRPr="00B85D62" w:rsidRDefault="00103352" w:rsidP="00E06F79">
      <w:pPr>
        <w:pStyle w:val="ListParagraph"/>
        <w:numPr>
          <w:ilvl w:val="0"/>
          <w:numId w:val="27"/>
        </w:numPr>
        <w:jc w:val="both"/>
        <w:rPr>
          <w:rFonts w:asciiTheme="majorHAnsi" w:hAnsiTheme="majorHAnsi"/>
          <w:i/>
          <w:highlight w:val="green"/>
        </w:rPr>
      </w:pPr>
      <w:r w:rsidRPr="00B85D62">
        <w:rPr>
          <w:rFonts w:asciiTheme="majorHAnsi" w:hAnsiTheme="majorHAnsi"/>
          <w:i/>
          <w:highlight w:val="green"/>
        </w:rPr>
        <w:t>This seems in line with my experience. Having had some recent cases where family members appeared utterly surprised by why they were in clinic, including one lad who thought he was there for his toes to be looked at, relying on indirect communication can definitely lead to gaps in the passing on of information. Especially where there may be reduced communication between family members due to physical or emotional distance. (Consultant)</w:t>
      </w:r>
    </w:p>
    <w:p w14:paraId="266D4D95" w14:textId="5C09664F" w:rsidR="00103352" w:rsidRPr="00B85D62" w:rsidRDefault="00103352" w:rsidP="00E06F79">
      <w:pPr>
        <w:pStyle w:val="ListParagraph"/>
        <w:numPr>
          <w:ilvl w:val="0"/>
          <w:numId w:val="27"/>
        </w:numPr>
        <w:jc w:val="both"/>
        <w:rPr>
          <w:rFonts w:asciiTheme="majorHAnsi" w:hAnsiTheme="majorHAnsi"/>
          <w:i/>
          <w:highlight w:val="green"/>
        </w:rPr>
      </w:pPr>
      <w:r w:rsidRPr="00B85D62">
        <w:rPr>
          <w:rFonts w:asciiTheme="majorHAnsi" w:hAnsiTheme="majorHAnsi"/>
          <w:i/>
          <w:highlight w:val="green"/>
        </w:rPr>
        <w:t>Thank you for inviting comments on the summary</w:t>
      </w:r>
      <w:r w:rsidR="00B85D62" w:rsidRPr="00B85D62">
        <w:rPr>
          <w:rFonts w:asciiTheme="majorHAnsi" w:hAnsiTheme="majorHAnsi"/>
          <w:i/>
          <w:color w:val="00B0F0"/>
        </w:rPr>
        <w:t>. . .</w:t>
      </w:r>
      <w:r w:rsidRPr="00B85D62">
        <w:rPr>
          <w:rFonts w:asciiTheme="majorHAnsi" w:hAnsiTheme="majorHAnsi"/>
          <w:i/>
          <w:highlight w:val="green"/>
        </w:rPr>
        <w:t xml:space="preserve"> I completely agree with all the points made and I am struggling to add anything of value to it. (FH nurse)</w:t>
      </w:r>
    </w:p>
    <w:p w14:paraId="7C01FB6C" w14:textId="77777777" w:rsidR="00103352" w:rsidRPr="00B85D62" w:rsidRDefault="00103352" w:rsidP="00E06F79">
      <w:pPr>
        <w:pStyle w:val="ListParagraph"/>
        <w:numPr>
          <w:ilvl w:val="0"/>
          <w:numId w:val="27"/>
        </w:numPr>
        <w:jc w:val="both"/>
        <w:rPr>
          <w:rFonts w:asciiTheme="majorHAnsi" w:hAnsiTheme="majorHAnsi"/>
          <w:i/>
          <w:highlight w:val="green"/>
        </w:rPr>
      </w:pPr>
      <w:r w:rsidRPr="00B85D62">
        <w:rPr>
          <w:rFonts w:asciiTheme="majorHAnsi" w:hAnsiTheme="majorHAnsi"/>
          <w:i/>
          <w:highlight w:val="green"/>
        </w:rPr>
        <w:t>I absolutely agree that a FH nurse and/or genetic counsellor lead approach is the best; I simply do not have time in clinics to do the job well. Indirect approached via the index case from clinic has not worked for me; relatives do not realise the importance of screening or the relative ease of treating it once discovered if the message comes via the relative. (Consultant)</w:t>
      </w:r>
    </w:p>
    <w:p w14:paraId="63ED70A8" w14:textId="77777777" w:rsidR="00103352" w:rsidRPr="00B85D62" w:rsidRDefault="00103352" w:rsidP="00E06F79">
      <w:pPr>
        <w:pStyle w:val="ListParagraph"/>
        <w:numPr>
          <w:ilvl w:val="0"/>
          <w:numId w:val="27"/>
        </w:numPr>
        <w:jc w:val="both"/>
        <w:rPr>
          <w:rFonts w:asciiTheme="majorHAnsi" w:hAnsiTheme="majorHAnsi"/>
          <w:i/>
          <w:highlight w:val="green"/>
        </w:rPr>
      </w:pPr>
      <w:r w:rsidRPr="00B85D62">
        <w:rPr>
          <w:rFonts w:asciiTheme="majorHAnsi" w:hAnsiTheme="majorHAnsi"/>
          <w:i/>
          <w:highlight w:val="green"/>
        </w:rPr>
        <w:t>Interesting and accurate. I don’t have anything significant to add. (FH nurse)</w:t>
      </w:r>
    </w:p>
    <w:p w14:paraId="20ADC82C" w14:textId="77777777" w:rsidR="00B85D62" w:rsidRPr="00B85D62" w:rsidRDefault="00103352" w:rsidP="006E1295">
      <w:pPr>
        <w:pStyle w:val="ListParagraph"/>
        <w:rPr>
          <w:rFonts w:asciiTheme="majorHAnsi" w:hAnsiTheme="majorHAnsi"/>
          <w:i/>
        </w:rPr>
      </w:pPr>
      <w:r w:rsidRPr="00B85D62">
        <w:rPr>
          <w:rFonts w:asciiTheme="majorHAnsi" w:hAnsiTheme="majorHAnsi"/>
          <w:i/>
          <w:highlight w:val="green"/>
        </w:rPr>
        <w:t>This looks good. Clearly written and explicable (recognisable) to our audience familiar with this area. (Consultant)</w:t>
      </w:r>
    </w:p>
    <w:p w14:paraId="1DEDAEC3" w14:textId="5FB43DA5" w:rsidR="004672DB" w:rsidRPr="00B85D62" w:rsidRDefault="004672DB" w:rsidP="004672DB">
      <w:pPr>
        <w:pStyle w:val="Heading1"/>
        <w:spacing w:line="360" w:lineRule="auto"/>
        <w:rPr>
          <w:rFonts w:cs="Arial"/>
          <w:bCs/>
        </w:rPr>
      </w:pPr>
      <w:bookmarkStart w:id="329" w:name="_Toc107157537"/>
      <w:r w:rsidRPr="00B85D62">
        <w:rPr>
          <w:rFonts w:ascii="Arial" w:hAnsi="Arial" w:cs="Arial"/>
          <w:sz w:val="22"/>
          <w:szCs w:val="22"/>
        </w:rPr>
        <w:t xml:space="preserve">Appendix 4: </w:t>
      </w:r>
      <w:r w:rsidRPr="00B85D62">
        <w:rPr>
          <w:rFonts w:cs="Arial"/>
          <w:bCs/>
        </w:rPr>
        <w:t>Disease codes used for cardiovascular disease</w:t>
      </w:r>
      <w:bookmarkEnd w:id="329"/>
    </w:p>
    <w:p w14:paraId="47702F2D" w14:textId="77777777" w:rsidR="004672DB" w:rsidRPr="00B85D62" w:rsidRDefault="004672DB" w:rsidP="004672DB">
      <w:pPr>
        <w:rPr>
          <w:rFonts w:eastAsia="Arial" w:cs="Arial"/>
        </w:rPr>
      </w:pPr>
      <w:r w:rsidRPr="00B85D62">
        <w:rPr>
          <w:rFonts w:eastAsia="Arial" w:cs="Arial"/>
          <w:b/>
          <w:bCs/>
        </w:rPr>
        <w:t xml:space="preserve">Coronary artery disease </w:t>
      </w:r>
      <w:r w:rsidRPr="00B85D62">
        <w:rPr>
          <w:rFonts w:eastAsia="Arial" w:cs="Arial"/>
        </w:rPr>
        <w:t>diagnostic codes (Read code lists)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95"/>
        <w:gridCol w:w="875"/>
        <w:gridCol w:w="4584"/>
      </w:tblGrid>
      <w:tr w:rsidR="004672DB" w:rsidRPr="00B85D62" w14:paraId="43E24C46" w14:textId="77777777" w:rsidTr="00B85D62">
        <w:trPr>
          <w:cantSplit/>
        </w:trPr>
        <w:tc>
          <w:tcPr>
            <w:tcW w:w="0" w:type="auto"/>
            <w:shd w:val="clear" w:color="auto" w:fill="auto"/>
          </w:tcPr>
          <w:p w14:paraId="35CEB454" w14:textId="77777777" w:rsidR="004672DB" w:rsidRPr="00B85D62" w:rsidRDefault="004672DB" w:rsidP="004672DB">
            <w:r w:rsidRPr="00B85D62">
              <w:rPr>
                <w:rFonts w:eastAsia="Arial" w:cs="Arial"/>
                <w:sz w:val="18"/>
                <w:szCs w:val="18"/>
              </w:rPr>
              <w:t>Medical code</w:t>
            </w:r>
          </w:p>
        </w:tc>
        <w:tc>
          <w:tcPr>
            <w:tcW w:w="0" w:type="auto"/>
            <w:shd w:val="clear" w:color="auto" w:fill="auto"/>
          </w:tcPr>
          <w:p w14:paraId="55E8D255" w14:textId="77777777" w:rsidR="004672DB" w:rsidRPr="00B85D62" w:rsidRDefault="004672DB" w:rsidP="004672DB">
            <w:r w:rsidRPr="00B85D62">
              <w:rPr>
                <w:rFonts w:eastAsia="Arial" w:cs="Arial"/>
                <w:sz w:val="18"/>
                <w:szCs w:val="18"/>
              </w:rPr>
              <w:t>Read code</w:t>
            </w:r>
          </w:p>
        </w:tc>
        <w:tc>
          <w:tcPr>
            <w:tcW w:w="0" w:type="auto"/>
            <w:shd w:val="clear" w:color="auto" w:fill="auto"/>
          </w:tcPr>
          <w:p w14:paraId="5FD9DC38" w14:textId="77777777" w:rsidR="004672DB" w:rsidRPr="00B85D62" w:rsidRDefault="004672DB" w:rsidP="004672DB">
            <w:r w:rsidRPr="00B85D62">
              <w:rPr>
                <w:rFonts w:eastAsia="Arial" w:cs="Arial"/>
                <w:sz w:val="18"/>
                <w:szCs w:val="18"/>
              </w:rPr>
              <w:t>Read term</w:t>
            </w:r>
          </w:p>
        </w:tc>
      </w:tr>
      <w:tr w:rsidR="004672DB" w:rsidRPr="00B85D62" w14:paraId="1830710A" w14:textId="77777777" w:rsidTr="00B85D62">
        <w:trPr>
          <w:cantSplit/>
        </w:trPr>
        <w:tc>
          <w:tcPr>
            <w:tcW w:w="0" w:type="auto"/>
            <w:shd w:val="clear" w:color="auto" w:fill="auto"/>
          </w:tcPr>
          <w:p w14:paraId="5B9503E7" w14:textId="77777777" w:rsidR="004672DB" w:rsidRPr="00B85D62" w:rsidRDefault="004672DB" w:rsidP="004672DB">
            <w:r w:rsidRPr="00B85D62">
              <w:rPr>
                <w:rFonts w:eastAsia="Arial" w:cs="Arial"/>
                <w:sz w:val="18"/>
                <w:szCs w:val="18"/>
              </w:rPr>
              <w:t>7783</w:t>
            </w:r>
          </w:p>
        </w:tc>
        <w:tc>
          <w:tcPr>
            <w:tcW w:w="0" w:type="auto"/>
            <w:shd w:val="clear" w:color="auto" w:fill="auto"/>
          </w:tcPr>
          <w:p w14:paraId="7EC39306" w14:textId="77777777" w:rsidR="004672DB" w:rsidRPr="00B85D62" w:rsidRDefault="004672DB" w:rsidP="004672DB">
            <w:r w:rsidRPr="00B85D62">
              <w:rPr>
                <w:rFonts w:eastAsia="Arial" w:cs="Arial"/>
                <w:sz w:val="18"/>
                <w:szCs w:val="18"/>
              </w:rPr>
              <w:t>323..00</w:t>
            </w:r>
          </w:p>
        </w:tc>
        <w:tc>
          <w:tcPr>
            <w:tcW w:w="0" w:type="auto"/>
            <w:shd w:val="clear" w:color="auto" w:fill="auto"/>
          </w:tcPr>
          <w:p w14:paraId="2FEC52C7" w14:textId="77777777" w:rsidR="004672DB" w:rsidRPr="00B85D62" w:rsidRDefault="004672DB" w:rsidP="004672DB">
            <w:r w:rsidRPr="00B85D62">
              <w:rPr>
                <w:rFonts w:eastAsia="Arial" w:cs="Arial"/>
                <w:sz w:val="18"/>
                <w:szCs w:val="18"/>
              </w:rPr>
              <w:t>ECG: myocardial infarction</w:t>
            </w:r>
          </w:p>
        </w:tc>
      </w:tr>
      <w:tr w:rsidR="004672DB" w:rsidRPr="00B85D62" w14:paraId="21F3395E" w14:textId="77777777" w:rsidTr="00B85D62">
        <w:trPr>
          <w:cantSplit/>
        </w:trPr>
        <w:tc>
          <w:tcPr>
            <w:tcW w:w="0" w:type="auto"/>
            <w:shd w:val="clear" w:color="auto" w:fill="auto"/>
          </w:tcPr>
          <w:p w14:paraId="156D50D2" w14:textId="77777777" w:rsidR="004672DB" w:rsidRPr="00B85D62" w:rsidRDefault="004672DB" w:rsidP="004672DB">
            <w:r w:rsidRPr="00B85D62">
              <w:rPr>
                <w:rFonts w:eastAsia="Arial" w:cs="Arial"/>
                <w:sz w:val="18"/>
                <w:szCs w:val="18"/>
              </w:rPr>
              <w:t>26975</w:t>
            </w:r>
          </w:p>
        </w:tc>
        <w:tc>
          <w:tcPr>
            <w:tcW w:w="0" w:type="auto"/>
            <w:shd w:val="clear" w:color="auto" w:fill="auto"/>
          </w:tcPr>
          <w:p w14:paraId="1DC24702" w14:textId="77777777" w:rsidR="004672DB" w:rsidRPr="00B85D62" w:rsidRDefault="004672DB" w:rsidP="004672DB">
            <w:r w:rsidRPr="00B85D62">
              <w:rPr>
                <w:rFonts w:eastAsia="Arial" w:cs="Arial"/>
                <w:sz w:val="18"/>
                <w:szCs w:val="18"/>
              </w:rPr>
              <w:t>3233.00</w:t>
            </w:r>
          </w:p>
        </w:tc>
        <w:tc>
          <w:tcPr>
            <w:tcW w:w="0" w:type="auto"/>
            <w:shd w:val="clear" w:color="auto" w:fill="auto"/>
          </w:tcPr>
          <w:p w14:paraId="412ACC7A" w14:textId="77777777" w:rsidR="004672DB" w:rsidRPr="00B85D62" w:rsidRDefault="004672DB" w:rsidP="004672DB">
            <w:r w:rsidRPr="00B85D62">
              <w:rPr>
                <w:rFonts w:eastAsia="Arial" w:cs="Arial"/>
                <w:sz w:val="18"/>
                <w:szCs w:val="18"/>
              </w:rPr>
              <w:t>ECG: antero-septal infarct.</w:t>
            </w:r>
          </w:p>
        </w:tc>
      </w:tr>
      <w:tr w:rsidR="004672DB" w:rsidRPr="00B85D62" w14:paraId="3F56B58E" w14:textId="77777777" w:rsidTr="00B85D62">
        <w:trPr>
          <w:cantSplit/>
        </w:trPr>
        <w:tc>
          <w:tcPr>
            <w:tcW w:w="0" w:type="auto"/>
            <w:shd w:val="clear" w:color="auto" w:fill="auto"/>
          </w:tcPr>
          <w:p w14:paraId="0AEC84D9" w14:textId="77777777" w:rsidR="004672DB" w:rsidRPr="00B85D62" w:rsidRDefault="004672DB" w:rsidP="004672DB">
            <w:r w:rsidRPr="00B85D62">
              <w:rPr>
                <w:rFonts w:eastAsia="Arial" w:cs="Arial"/>
                <w:sz w:val="18"/>
                <w:szCs w:val="18"/>
              </w:rPr>
              <w:t>26972</w:t>
            </w:r>
          </w:p>
        </w:tc>
        <w:tc>
          <w:tcPr>
            <w:tcW w:w="0" w:type="auto"/>
            <w:shd w:val="clear" w:color="auto" w:fill="auto"/>
          </w:tcPr>
          <w:p w14:paraId="2EB12710" w14:textId="77777777" w:rsidR="004672DB" w:rsidRPr="00B85D62" w:rsidRDefault="004672DB" w:rsidP="004672DB">
            <w:r w:rsidRPr="00B85D62">
              <w:rPr>
                <w:rFonts w:eastAsia="Arial" w:cs="Arial"/>
                <w:sz w:val="18"/>
                <w:szCs w:val="18"/>
              </w:rPr>
              <w:t>3234.00</w:t>
            </w:r>
          </w:p>
        </w:tc>
        <w:tc>
          <w:tcPr>
            <w:tcW w:w="0" w:type="auto"/>
            <w:shd w:val="clear" w:color="auto" w:fill="auto"/>
          </w:tcPr>
          <w:p w14:paraId="5D346D6C" w14:textId="77777777" w:rsidR="004672DB" w:rsidRPr="00B85D62" w:rsidRDefault="004672DB" w:rsidP="004672DB">
            <w:r w:rsidRPr="00B85D62">
              <w:rPr>
                <w:rFonts w:eastAsia="Arial" w:cs="Arial"/>
                <w:sz w:val="18"/>
                <w:szCs w:val="18"/>
              </w:rPr>
              <w:t>ECG:posterior/inferior infarct</w:t>
            </w:r>
          </w:p>
        </w:tc>
      </w:tr>
      <w:tr w:rsidR="004672DB" w:rsidRPr="00B85D62" w14:paraId="0081E106" w14:textId="77777777" w:rsidTr="00B85D62">
        <w:trPr>
          <w:cantSplit/>
        </w:trPr>
        <w:tc>
          <w:tcPr>
            <w:tcW w:w="0" w:type="auto"/>
            <w:shd w:val="clear" w:color="auto" w:fill="auto"/>
          </w:tcPr>
          <w:p w14:paraId="7C7FE2F2" w14:textId="77777777" w:rsidR="004672DB" w:rsidRPr="00B85D62" w:rsidRDefault="004672DB" w:rsidP="004672DB">
            <w:r w:rsidRPr="00B85D62">
              <w:rPr>
                <w:rFonts w:eastAsia="Arial" w:cs="Arial"/>
                <w:sz w:val="18"/>
                <w:szCs w:val="18"/>
              </w:rPr>
              <w:t>55401</w:t>
            </w:r>
          </w:p>
        </w:tc>
        <w:tc>
          <w:tcPr>
            <w:tcW w:w="0" w:type="auto"/>
            <w:shd w:val="clear" w:color="auto" w:fill="auto"/>
          </w:tcPr>
          <w:p w14:paraId="5132605D" w14:textId="77777777" w:rsidR="004672DB" w:rsidRPr="00B85D62" w:rsidRDefault="004672DB" w:rsidP="004672DB">
            <w:r w:rsidRPr="00B85D62">
              <w:rPr>
                <w:rFonts w:eastAsia="Arial" w:cs="Arial"/>
                <w:sz w:val="18"/>
                <w:szCs w:val="18"/>
              </w:rPr>
              <w:t>3235.00</w:t>
            </w:r>
          </w:p>
        </w:tc>
        <w:tc>
          <w:tcPr>
            <w:tcW w:w="0" w:type="auto"/>
            <w:shd w:val="clear" w:color="auto" w:fill="auto"/>
          </w:tcPr>
          <w:p w14:paraId="14A7B2C5" w14:textId="77777777" w:rsidR="004672DB" w:rsidRPr="00B85D62" w:rsidRDefault="004672DB" w:rsidP="004672DB">
            <w:r w:rsidRPr="00B85D62">
              <w:rPr>
                <w:rFonts w:eastAsia="Arial" w:cs="Arial"/>
                <w:sz w:val="18"/>
                <w:szCs w:val="18"/>
              </w:rPr>
              <w:t>ECG: subendocardial infarct</w:t>
            </w:r>
          </w:p>
        </w:tc>
      </w:tr>
      <w:tr w:rsidR="004672DB" w:rsidRPr="00B85D62" w14:paraId="0A5A9CDE" w14:textId="77777777" w:rsidTr="00B85D62">
        <w:trPr>
          <w:cantSplit/>
        </w:trPr>
        <w:tc>
          <w:tcPr>
            <w:tcW w:w="0" w:type="auto"/>
            <w:shd w:val="clear" w:color="auto" w:fill="auto"/>
          </w:tcPr>
          <w:p w14:paraId="11A2522A" w14:textId="77777777" w:rsidR="004672DB" w:rsidRPr="00B85D62" w:rsidRDefault="004672DB" w:rsidP="004672DB">
            <w:r w:rsidRPr="00B85D62">
              <w:rPr>
                <w:rFonts w:eastAsia="Arial" w:cs="Arial"/>
                <w:sz w:val="18"/>
                <w:szCs w:val="18"/>
              </w:rPr>
              <w:t>52705</w:t>
            </w:r>
          </w:p>
        </w:tc>
        <w:tc>
          <w:tcPr>
            <w:tcW w:w="0" w:type="auto"/>
            <w:shd w:val="clear" w:color="auto" w:fill="auto"/>
          </w:tcPr>
          <w:p w14:paraId="1B36C477" w14:textId="77777777" w:rsidR="004672DB" w:rsidRPr="00B85D62" w:rsidRDefault="004672DB" w:rsidP="004672DB">
            <w:r w:rsidRPr="00B85D62">
              <w:rPr>
                <w:rFonts w:eastAsia="Arial" w:cs="Arial"/>
                <w:sz w:val="18"/>
                <w:szCs w:val="18"/>
              </w:rPr>
              <w:t>3236.00</w:t>
            </w:r>
          </w:p>
        </w:tc>
        <w:tc>
          <w:tcPr>
            <w:tcW w:w="0" w:type="auto"/>
            <w:shd w:val="clear" w:color="auto" w:fill="auto"/>
          </w:tcPr>
          <w:p w14:paraId="1F1BD8D8" w14:textId="77777777" w:rsidR="004672DB" w:rsidRPr="00B85D62" w:rsidRDefault="004672DB" w:rsidP="004672DB">
            <w:r w:rsidRPr="00B85D62">
              <w:rPr>
                <w:rFonts w:eastAsia="Arial" w:cs="Arial"/>
                <w:sz w:val="18"/>
                <w:szCs w:val="18"/>
              </w:rPr>
              <w:t>ECG: lateral infarction</w:t>
            </w:r>
          </w:p>
        </w:tc>
      </w:tr>
      <w:tr w:rsidR="004672DB" w:rsidRPr="00B85D62" w14:paraId="72A24800" w14:textId="77777777" w:rsidTr="00B85D62">
        <w:trPr>
          <w:cantSplit/>
        </w:trPr>
        <w:tc>
          <w:tcPr>
            <w:tcW w:w="0" w:type="auto"/>
            <w:shd w:val="clear" w:color="auto" w:fill="auto"/>
          </w:tcPr>
          <w:p w14:paraId="5140A9EE" w14:textId="77777777" w:rsidR="004672DB" w:rsidRPr="00B85D62" w:rsidRDefault="004672DB" w:rsidP="004672DB">
            <w:r w:rsidRPr="00B85D62">
              <w:rPr>
                <w:rFonts w:eastAsia="Arial" w:cs="Arial"/>
                <w:sz w:val="18"/>
                <w:szCs w:val="18"/>
              </w:rPr>
              <w:t>59032</w:t>
            </w:r>
          </w:p>
        </w:tc>
        <w:tc>
          <w:tcPr>
            <w:tcW w:w="0" w:type="auto"/>
            <w:shd w:val="clear" w:color="auto" w:fill="auto"/>
          </w:tcPr>
          <w:p w14:paraId="38C3F746" w14:textId="77777777" w:rsidR="004672DB" w:rsidRPr="00B85D62" w:rsidRDefault="004672DB" w:rsidP="004672DB">
            <w:r w:rsidRPr="00B85D62">
              <w:rPr>
                <w:rFonts w:eastAsia="Arial" w:cs="Arial"/>
                <w:sz w:val="18"/>
                <w:szCs w:val="18"/>
              </w:rPr>
              <w:t>323Z.00</w:t>
            </w:r>
          </w:p>
        </w:tc>
        <w:tc>
          <w:tcPr>
            <w:tcW w:w="0" w:type="auto"/>
            <w:shd w:val="clear" w:color="auto" w:fill="auto"/>
          </w:tcPr>
          <w:p w14:paraId="50F2187D" w14:textId="77777777" w:rsidR="004672DB" w:rsidRPr="00B85D62" w:rsidRDefault="004672DB" w:rsidP="004672DB">
            <w:r w:rsidRPr="00B85D62">
              <w:rPr>
                <w:rFonts w:eastAsia="Arial" w:cs="Arial"/>
                <w:sz w:val="18"/>
                <w:szCs w:val="18"/>
              </w:rPr>
              <w:t>ECG: myocardial infarct NOS</w:t>
            </w:r>
          </w:p>
        </w:tc>
      </w:tr>
      <w:tr w:rsidR="004672DB" w:rsidRPr="00B85D62" w14:paraId="7BEF3C1D" w14:textId="77777777" w:rsidTr="00B85D62">
        <w:trPr>
          <w:cantSplit/>
        </w:trPr>
        <w:tc>
          <w:tcPr>
            <w:tcW w:w="0" w:type="auto"/>
            <w:shd w:val="clear" w:color="auto" w:fill="auto"/>
          </w:tcPr>
          <w:p w14:paraId="56B12AF9" w14:textId="77777777" w:rsidR="004672DB" w:rsidRPr="00B85D62" w:rsidRDefault="004672DB" w:rsidP="004672DB">
            <w:r w:rsidRPr="00B85D62">
              <w:rPr>
                <w:rFonts w:eastAsia="Arial" w:cs="Arial"/>
                <w:sz w:val="18"/>
                <w:szCs w:val="18"/>
              </w:rPr>
              <w:t>737</w:t>
            </w:r>
          </w:p>
        </w:tc>
        <w:tc>
          <w:tcPr>
            <w:tcW w:w="0" w:type="auto"/>
            <w:shd w:val="clear" w:color="auto" w:fill="auto"/>
          </w:tcPr>
          <w:p w14:paraId="65CA7FC7" w14:textId="77777777" w:rsidR="004672DB" w:rsidRPr="00B85D62" w:rsidRDefault="004672DB" w:rsidP="004672DB">
            <w:r w:rsidRPr="00B85D62">
              <w:rPr>
                <w:rFonts w:eastAsia="Arial" w:cs="Arial"/>
                <w:sz w:val="18"/>
                <w:szCs w:val="18"/>
              </w:rPr>
              <w:t>792..11</w:t>
            </w:r>
          </w:p>
        </w:tc>
        <w:tc>
          <w:tcPr>
            <w:tcW w:w="0" w:type="auto"/>
            <w:shd w:val="clear" w:color="auto" w:fill="auto"/>
          </w:tcPr>
          <w:p w14:paraId="2494CFA9" w14:textId="77777777" w:rsidR="004672DB" w:rsidRPr="00B85D62" w:rsidRDefault="004672DB" w:rsidP="004672DB">
            <w:r w:rsidRPr="00B85D62">
              <w:rPr>
                <w:rFonts w:eastAsia="Arial" w:cs="Arial"/>
                <w:sz w:val="18"/>
                <w:szCs w:val="18"/>
              </w:rPr>
              <w:t>Coronary artery bypass graft operations</w:t>
            </w:r>
          </w:p>
        </w:tc>
      </w:tr>
      <w:tr w:rsidR="004672DB" w:rsidRPr="00B85D62" w14:paraId="692483D3" w14:textId="77777777" w:rsidTr="00B85D62">
        <w:trPr>
          <w:cantSplit/>
        </w:trPr>
        <w:tc>
          <w:tcPr>
            <w:tcW w:w="0" w:type="auto"/>
            <w:shd w:val="clear" w:color="auto" w:fill="auto"/>
          </w:tcPr>
          <w:p w14:paraId="23E22DCE" w14:textId="77777777" w:rsidR="004672DB" w:rsidRPr="00B85D62" w:rsidRDefault="004672DB" w:rsidP="004672DB">
            <w:r w:rsidRPr="00B85D62">
              <w:rPr>
                <w:rFonts w:eastAsia="Arial" w:cs="Arial"/>
                <w:sz w:val="18"/>
                <w:szCs w:val="18"/>
              </w:rPr>
              <w:t>18249</w:t>
            </w:r>
          </w:p>
        </w:tc>
        <w:tc>
          <w:tcPr>
            <w:tcW w:w="0" w:type="auto"/>
            <w:shd w:val="clear" w:color="auto" w:fill="auto"/>
          </w:tcPr>
          <w:p w14:paraId="370408AF" w14:textId="77777777" w:rsidR="004672DB" w:rsidRPr="00B85D62" w:rsidRDefault="004672DB" w:rsidP="004672DB">
            <w:r w:rsidRPr="00B85D62">
              <w:rPr>
                <w:rFonts w:eastAsia="Arial" w:cs="Arial"/>
                <w:sz w:val="18"/>
                <w:szCs w:val="18"/>
              </w:rPr>
              <w:t>7920.00</w:t>
            </w:r>
          </w:p>
        </w:tc>
        <w:tc>
          <w:tcPr>
            <w:tcW w:w="0" w:type="auto"/>
            <w:shd w:val="clear" w:color="auto" w:fill="auto"/>
          </w:tcPr>
          <w:p w14:paraId="30CDFB0A" w14:textId="77777777" w:rsidR="004672DB" w:rsidRPr="00B85D62" w:rsidRDefault="004672DB" w:rsidP="004672DB">
            <w:r w:rsidRPr="00B85D62">
              <w:rPr>
                <w:rFonts w:eastAsia="Arial" w:cs="Arial"/>
                <w:sz w:val="18"/>
                <w:szCs w:val="18"/>
              </w:rPr>
              <w:t>Saphenous vein graft replacement of coronary artery</w:t>
            </w:r>
          </w:p>
        </w:tc>
      </w:tr>
      <w:tr w:rsidR="004672DB" w:rsidRPr="00B85D62" w14:paraId="32BC3F9B" w14:textId="77777777" w:rsidTr="00B85D62">
        <w:trPr>
          <w:cantSplit/>
        </w:trPr>
        <w:tc>
          <w:tcPr>
            <w:tcW w:w="0" w:type="auto"/>
            <w:shd w:val="clear" w:color="auto" w:fill="auto"/>
          </w:tcPr>
          <w:p w14:paraId="38E223A6" w14:textId="77777777" w:rsidR="004672DB" w:rsidRPr="00B85D62" w:rsidRDefault="004672DB" w:rsidP="004672DB">
            <w:r w:rsidRPr="00B85D62">
              <w:rPr>
                <w:rFonts w:eastAsia="Arial" w:cs="Arial"/>
                <w:sz w:val="18"/>
                <w:szCs w:val="18"/>
              </w:rPr>
              <w:t>11610</w:t>
            </w:r>
          </w:p>
        </w:tc>
        <w:tc>
          <w:tcPr>
            <w:tcW w:w="0" w:type="auto"/>
            <w:shd w:val="clear" w:color="auto" w:fill="auto"/>
          </w:tcPr>
          <w:p w14:paraId="567E63A8" w14:textId="77777777" w:rsidR="004672DB" w:rsidRPr="00B85D62" w:rsidRDefault="004672DB" w:rsidP="004672DB">
            <w:r w:rsidRPr="00B85D62">
              <w:rPr>
                <w:rFonts w:eastAsia="Arial" w:cs="Arial"/>
                <w:sz w:val="18"/>
                <w:szCs w:val="18"/>
              </w:rPr>
              <w:t>7920300</w:t>
            </w:r>
          </w:p>
        </w:tc>
        <w:tc>
          <w:tcPr>
            <w:tcW w:w="0" w:type="auto"/>
            <w:shd w:val="clear" w:color="auto" w:fill="auto"/>
          </w:tcPr>
          <w:p w14:paraId="49C20164" w14:textId="77777777" w:rsidR="004672DB" w:rsidRPr="00B85D62" w:rsidRDefault="004672DB" w:rsidP="004672DB">
            <w:r w:rsidRPr="00B85D62">
              <w:rPr>
                <w:rFonts w:eastAsia="Arial" w:cs="Arial"/>
                <w:sz w:val="18"/>
                <w:szCs w:val="18"/>
              </w:rPr>
              <w:t>Saphenous vein graft replacement of four+ coronary arteries</w:t>
            </w:r>
          </w:p>
        </w:tc>
      </w:tr>
      <w:tr w:rsidR="004672DB" w:rsidRPr="00B85D62" w14:paraId="13BEE8EE" w14:textId="77777777" w:rsidTr="00B85D62">
        <w:trPr>
          <w:cantSplit/>
        </w:trPr>
        <w:tc>
          <w:tcPr>
            <w:tcW w:w="0" w:type="auto"/>
            <w:shd w:val="clear" w:color="auto" w:fill="auto"/>
          </w:tcPr>
          <w:p w14:paraId="7AE0F4D2" w14:textId="77777777" w:rsidR="004672DB" w:rsidRPr="00B85D62" w:rsidRDefault="004672DB" w:rsidP="004672DB">
            <w:r w:rsidRPr="00B85D62">
              <w:rPr>
                <w:rFonts w:eastAsia="Arial" w:cs="Arial"/>
                <w:sz w:val="18"/>
                <w:szCs w:val="18"/>
              </w:rPr>
              <w:t>7137</w:t>
            </w:r>
          </w:p>
        </w:tc>
        <w:tc>
          <w:tcPr>
            <w:tcW w:w="0" w:type="auto"/>
            <w:shd w:val="clear" w:color="auto" w:fill="auto"/>
          </w:tcPr>
          <w:p w14:paraId="231D227D" w14:textId="77777777" w:rsidR="004672DB" w:rsidRPr="00B85D62" w:rsidRDefault="004672DB" w:rsidP="004672DB">
            <w:r w:rsidRPr="00B85D62">
              <w:rPr>
                <w:rFonts w:eastAsia="Arial" w:cs="Arial"/>
                <w:sz w:val="18"/>
                <w:szCs w:val="18"/>
              </w:rPr>
              <w:t>7920y00</w:t>
            </w:r>
          </w:p>
        </w:tc>
        <w:tc>
          <w:tcPr>
            <w:tcW w:w="0" w:type="auto"/>
            <w:shd w:val="clear" w:color="auto" w:fill="auto"/>
          </w:tcPr>
          <w:p w14:paraId="2FC0D52D" w14:textId="77777777" w:rsidR="004672DB" w:rsidRPr="00B85D62" w:rsidRDefault="004672DB" w:rsidP="004672DB">
            <w:r w:rsidRPr="00B85D62">
              <w:rPr>
                <w:rFonts w:eastAsia="Arial" w:cs="Arial"/>
                <w:sz w:val="18"/>
                <w:szCs w:val="18"/>
              </w:rPr>
              <w:t>Saphenous vein graft replacement of coronary artery OS</w:t>
            </w:r>
          </w:p>
        </w:tc>
      </w:tr>
      <w:tr w:rsidR="004672DB" w:rsidRPr="00B85D62" w14:paraId="35297FD0" w14:textId="77777777" w:rsidTr="00B85D62">
        <w:trPr>
          <w:cantSplit/>
        </w:trPr>
        <w:tc>
          <w:tcPr>
            <w:tcW w:w="0" w:type="auto"/>
            <w:shd w:val="clear" w:color="auto" w:fill="auto"/>
          </w:tcPr>
          <w:p w14:paraId="1DFAB42D" w14:textId="77777777" w:rsidR="004672DB" w:rsidRPr="00B85D62" w:rsidRDefault="004672DB" w:rsidP="004672DB">
            <w:r w:rsidRPr="00B85D62">
              <w:rPr>
                <w:rFonts w:eastAsia="Arial" w:cs="Arial"/>
                <w:sz w:val="18"/>
                <w:szCs w:val="18"/>
              </w:rPr>
              <w:t>66236</w:t>
            </w:r>
          </w:p>
        </w:tc>
        <w:tc>
          <w:tcPr>
            <w:tcW w:w="0" w:type="auto"/>
            <w:shd w:val="clear" w:color="auto" w:fill="auto"/>
          </w:tcPr>
          <w:p w14:paraId="35DEE14A" w14:textId="77777777" w:rsidR="004672DB" w:rsidRPr="00B85D62" w:rsidRDefault="004672DB" w:rsidP="004672DB">
            <w:r w:rsidRPr="00B85D62">
              <w:rPr>
                <w:rFonts w:eastAsia="Arial" w:cs="Arial"/>
                <w:sz w:val="18"/>
                <w:szCs w:val="18"/>
              </w:rPr>
              <w:t>7923200</w:t>
            </w:r>
          </w:p>
        </w:tc>
        <w:tc>
          <w:tcPr>
            <w:tcW w:w="0" w:type="auto"/>
            <w:shd w:val="clear" w:color="auto" w:fill="auto"/>
          </w:tcPr>
          <w:p w14:paraId="42759D8A" w14:textId="77777777" w:rsidR="004672DB" w:rsidRPr="00B85D62" w:rsidRDefault="004672DB" w:rsidP="004672DB">
            <w:r w:rsidRPr="00B85D62">
              <w:rPr>
                <w:rFonts w:eastAsia="Arial" w:cs="Arial"/>
                <w:sz w:val="18"/>
                <w:szCs w:val="18"/>
              </w:rPr>
              <w:t>Prosthetic replacement of three coronary arteries</w:t>
            </w:r>
          </w:p>
        </w:tc>
      </w:tr>
      <w:tr w:rsidR="004672DB" w:rsidRPr="00B85D62" w14:paraId="4657317C" w14:textId="77777777" w:rsidTr="00B85D62">
        <w:trPr>
          <w:cantSplit/>
        </w:trPr>
        <w:tc>
          <w:tcPr>
            <w:tcW w:w="0" w:type="auto"/>
            <w:shd w:val="clear" w:color="auto" w:fill="auto"/>
          </w:tcPr>
          <w:p w14:paraId="14192FBF" w14:textId="77777777" w:rsidR="004672DB" w:rsidRPr="00B85D62" w:rsidRDefault="004672DB" w:rsidP="004672DB">
            <w:r w:rsidRPr="00B85D62">
              <w:rPr>
                <w:rFonts w:eastAsia="Arial" w:cs="Arial"/>
                <w:sz w:val="18"/>
                <w:szCs w:val="18"/>
              </w:rPr>
              <w:t>5744</w:t>
            </w:r>
          </w:p>
        </w:tc>
        <w:tc>
          <w:tcPr>
            <w:tcW w:w="0" w:type="auto"/>
            <w:shd w:val="clear" w:color="auto" w:fill="auto"/>
          </w:tcPr>
          <w:p w14:paraId="25497C6B" w14:textId="77777777" w:rsidR="004672DB" w:rsidRPr="00B85D62" w:rsidRDefault="004672DB" w:rsidP="004672DB">
            <w:r w:rsidRPr="00B85D62">
              <w:rPr>
                <w:rFonts w:eastAsia="Arial" w:cs="Arial"/>
                <w:sz w:val="18"/>
                <w:szCs w:val="18"/>
              </w:rPr>
              <w:t>7927500</w:t>
            </w:r>
          </w:p>
        </w:tc>
        <w:tc>
          <w:tcPr>
            <w:tcW w:w="0" w:type="auto"/>
            <w:shd w:val="clear" w:color="auto" w:fill="auto"/>
          </w:tcPr>
          <w:p w14:paraId="0F36DA09" w14:textId="77777777" w:rsidR="004672DB" w:rsidRPr="00B85D62" w:rsidRDefault="004672DB" w:rsidP="004672DB">
            <w:r w:rsidRPr="00B85D62">
              <w:rPr>
                <w:rFonts w:eastAsia="Arial" w:cs="Arial"/>
                <w:sz w:val="18"/>
                <w:szCs w:val="18"/>
              </w:rPr>
              <w:t>Open angioplasty of coronary artery</w:t>
            </w:r>
          </w:p>
        </w:tc>
      </w:tr>
      <w:tr w:rsidR="004672DB" w:rsidRPr="00B85D62" w14:paraId="31F87952" w14:textId="77777777" w:rsidTr="00B85D62">
        <w:trPr>
          <w:cantSplit/>
        </w:trPr>
        <w:tc>
          <w:tcPr>
            <w:tcW w:w="0" w:type="auto"/>
            <w:shd w:val="clear" w:color="auto" w:fill="auto"/>
          </w:tcPr>
          <w:p w14:paraId="1A122DF4" w14:textId="77777777" w:rsidR="004672DB" w:rsidRPr="00B85D62" w:rsidRDefault="004672DB" w:rsidP="004672DB">
            <w:r w:rsidRPr="00B85D62">
              <w:rPr>
                <w:rFonts w:eastAsia="Arial" w:cs="Arial"/>
                <w:sz w:val="18"/>
                <w:szCs w:val="18"/>
              </w:rPr>
              <w:t>2901</w:t>
            </w:r>
          </w:p>
        </w:tc>
        <w:tc>
          <w:tcPr>
            <w:tcW w:w="0" w:type="auto"/>
            <w:shd w:val="clear" w:color="auto" w:fill="auto"/>
          </w:tcPr>
          <w:p w14:paraId="46799D31" w14:textId="77777777" w:rsidR="004672DB" w:rsidRPr="00B85D62" w:rsidRDefault="004672DB" w:rsidP="004672DB">
            <w:r w:rsidRPr="00B85D62">
              <w:rPr>
                <w:rFonts w:eastAsia="Arial" w:cs="Arial"/>
                <w:sz w:val="18"/>
                <w:szCs w:val="18"/>
              </w:rPr>
              <w:t>7928.00</w:t>
            </w:r>
          </w:p>
        </w:tc>
        <w:tc>
          <w:tcPr>
            <w:tcW w:w="0" w:type="auto"/>
            <w:shd w:val="clear" w:color="auto" w:fill="auto"/>
          </w:tcPr>
          <w:p w14:paraId="42903971" w14:textId="77777777" w:rsidR="004672DB" w:rsidRPr="00B85D62" w:rsidRDefault="004672DB" w:rsidP="004672DB">
            <w:r w:rsidRPr="00B85D62">
              <w:rPr>
                <w:rFonts w:eastAsia="Arial" w:cs="Arial"/>
                <w:sz w:val="18"/>
                <w:szCs w:val="18"/>
              </w:rPr>
              <w:t>Transluminal balloon angioplasty of coronary artery</w:t>
            </w:r>
          </w:p>
        </w:tc>
      </w:tr>
      <w:tr w:rsidR="004672DB" w:rsidRPr="00B85D62" w14:paraId="61068054" w14:textId="77777777" w:rsidTr="00B85D62">
        <w:trPr>
          <w:cantSplit/>
        </w:trPr>
        <w:tc>
          <w:tcPr>
            <w:tcW w:w="0" w:type="auto"/>
            <w:shd w:val="clear" w:color="auto" w:fill="auto"/>
          </w:tcPr>
          <w:p w14:paraId="24530D64" w14:textId="77777777" w:rsidR="004672DB" w:rsidRPr="00B85D62" w:rsidRDefault="004672DB" w:rsidP="004672DB">
            <w:r w:rsidRPr="00B85D62">
              <w:rPr>
                <w:rFonts w:eastAsia="Arial" w:cs="Arial"/>
                <w:sz w:val="18"/>
                <w:szCs w:val="18"/>
              </w:rPr>
              <w:t>5703</w:t>
            </w:r>
          </w:p>
        </w:tc>
        <w:tc>
          <w:tcPr>
            <w:tcW w:w="0" w:type="auto"/>
            <w:shd w:val="clear" w:color="auto" w:fill="auto"/>
          </w:tcPr>
          <w:p w14:paraId="21357D90" w14:textId="77777777" w:rsidR="004672DB" w:rsidRPr="00B85D62" w:rsidRDefault="004672DB" w:rsidP="004672DB">
            <w:r w:rsidRPr="00B85D62">
              <w:rPr>
                <w:rFonts w:eastAsia="Arial" w:cs="Arial"/>
                <w:sz w:val="18"/>
                <w:szCs w:val="18"/>
              </w:rPr>
              <w:t>7928.11</w:t>
            </w:r>
          </w:p>
        </w:tc>
        <w:tc>
          <w:tcPr>
            <w:tcW w:w="0" w:type="auto"/>
            <w:shd w:val="clear" w:color="auto" w:fill="auto"/>
          </w:tcPr>
          <w:p w14:paraId="1C1EB4B0" w14:textId="77777777" w:rsidR="004672DB" w:rsidRPr="00B85D62" w:rsidRDefault="004672DB" w:rsidP="004672DB">
            <w:r w:rsidRPr="00B85D62">
              <w:rPr>
                <w:rFonts w:eastAsia="Arial" w:cs="Arial"/>
                <w:sz w:val="18"/>
                <w:szCs w:val="18"/>
              </w:rPr>
              <w:t>Percutaneous balloon coronary angioplasty</w:t>
            </w:r>
          </w:p>
        </w:tc>
      </w:tr>
      <w:tr w:rsidR="004672DB" w:rsidRPr="00B85D62" w14:paraId="17AB8F26" w14:textId="77777777" w:rsidTr="00B85D62">
        <w:trPr>
          <w:cantSplit/>
        </w:trPr>
        <w:tc>
          <w:tcPr>
            <w:tcW w:w="0" w:type="auto"/>
            <w:shd w:val="clear" w:color="auto" w:fill="auto"/>
          </w:tcPr>
          <w:p w14:paraId="5175FFCA" w14:textId="77777777" w:rsidR="004672DB" w:rsidRPr="00B85D62" w:rsidRDefault="004672DB" w:rsidP="004672DB">
            <w:r w:rsidRPr="00B85D62">
              <w:rPr>
                <w:rFonts w:eastAsia="Arial" w:cs="Arial"/>
                <w:sz w:val="18"/>
                <w:szCs w:val="18"/>
              </w:rPr>
              <w:t>18670</w:t>
            </w:r>
          </w:p>
        </w:tc>
        <w:tc>
          <w:tcPr>
            <w:tcW w:w="0" w:type="auto"/>
            <w:shd w:val="clear" w:color="auto" w:fill="auto"/>
          </w:tcPr>
          <w:p w14:paraId="36E2CA17" w14:textId="77777777" w:rsidR="004672DB" w:rsidRPr="00B85D62" w:rsidRDefault="004672DB" w:rsidP="004672DB">
            <w:r w:rsidRPr="00B85D62">
              <w:rPr>
                <w:rFonts w:eastAsia="Arial" w:cs="Arial"/>
                <w:sz w:val="18"/>
                <w:szCs w:val="18"/>
              </w:rPr>
              <w:t>7928000</w:t>
            </w:r>
          </w:p>
        </w:tc>
        <w:tc>
          <w:tcPr>
            <w:tcW w:w="0" w:type="auto"/>
            <w:shd w:val="clear" w:color="auto" w:fill="auto"/>
          </w:tcPr>
          <w:p w14:paraId="356FA8CD" w14:textId="77777777" w:rsidR="004672DB" w:rsidRPr="00B85D62" w:rsidRDefault="004672DB" w:rsidP="004672DB">
            <w:r w:rsidRPr="00B85D62">
              <w:rPr>
                <w:rFonts w:eastAsia="Arial" w:cs="Arial"/>
                <w:sz w:val="18"/>
                <w:szCs w:val="18"/>
              </w:rPr>
              <w:t>Percut transluminal balloon angioplasty one coronary artery</w:t>
            </w:r>
          </w:p>
        </w:tc>
      </w:tr>
      <w:tr w:rsidR="004672DB" w:rsidRPr="00B85D62" w14:paraId="14E62008" w14:textId="77777777" w:rsidTr="00B85D62">
        <w:trPr>
          <w:cantSplit/>
        </w:trPr>
        <w:tc>
          <w:tcPr>
            <w:tcW w:w="0" w:type="auto"/>
            <w:shd w:val="clear" w:color="auto" w:fill="auto"/>
          </w:tcPr>
          <w:p w14:paraId="2B9F7401" w14:textId="77777777" w:rsidR="004672DB" w:rsidRPr="00B85D62" w:rsidRDefault="004672DB" w:rsidP="004672DB">
            <w:r w:rsidRPr="00B85D62">
              <w:rPr>
                <w:rFonts w:eastAsia="Arial" w:cs="Arial"/>
                <w:sz w:val="18"/>
                <w:szCs w:val="18"/>
              </w:rPr>
              <w:t>42462</w:t>
            </w:r>
          </w:p>
        </w:tc>
        <w:tc>
          <w:tcPr>
            <w:tcW w:w="0" w:type="auto"/>
            <w:shd w:val="clear" w:color="auto" w:fill="auto"/>
          </w:tcPr>
          <w:p w14:paraId="1F3223FB" w14:textId="77777777" w:rsidR="004672DB" w:rsidRPr="00B85D62" w:rsidRDefault="004672DB" w:rsidP="004672DB">
            <w:r w:rsidRPr="00B85D62">
              <w:rPr>
                <w:rFonts w:eastAsia="Arial" w:cs="Arial"/>
                <w:sz w:val="18"/>
                <w:szCs w:val="18"/>
              </w:rPr>
              <w:t>7928200</w:t>
            </w:r>
          </w:p>
        </w:tc>
        <w:tc>
          <w:tcPr>
            <w:tcW w:w="0" w:type="auto"/>
            <w:shd w:val="clear" w:color="auto" w:fill="auto"/>
          </w:tcPr>
          <w:p w14:paraId="619B10F3" w14:textId="77777777" w:rsidR="004672DB" w:rsidRPr="00B85D62" w:rsidRDefault="004672DB" w:rsidP="004672DB">
            <w:r w:rsidRPr="00B85D62">
              <w:rPr>
                <w:rFonts w:eastAsia="Arial" w:cs="Arial"/>
                <w:sz w:val="18"/>
                <w:szCs w:val="18"/>
              </w:rPr>
              <w:t>Percut translum balloon angioplasty bypass graft coronary a</w:t>
            </w:r>
          </w:p>
        </w:tc>
      </w:tr>
      <w:tr w:rsidR="004672DB" w:rsidRPr="00B85D62" w14:paraId="42E890DC" w14:textId="77777777" w:rsidTr="00B85D62">
        <w:trPr>
          <w:cantSplit/>
        </w:trPr>
        <w:tc>
          <w:tcPr>
            <w:tcW w:w="0" w:type="auto"/>
            <w:shd w:val="clear" w:color="auto" w:fill="auto"/>
          </w:tcPr>
          <w:p w14:paraId="5B67A002" w14:textId="77777777" w:rsidR="004672DB" w:rsidRPr="00B85D62" w:rsidRDefault="004672DB" w:rsidP="004672DB">
            <w:r w:rsidRPr="00B85D62">
              <w:rPr>
                <w:rFonts w:eastAsia="Arial" w:cs="Arial"/>
                <w:sz w:val="18"/>
                <w:szCs w:val="18"/>
              </w:rPr>
              <w:t>41547</w:t>
            </w:r>
          </w:p>
        </w:tc>
        <w:tc>
          <w:tcPr>
            <w:tcW w:w="0" w:type="auto"/>
            <w:shd w:val="clear" w:color="auto" w:fill="auto"/>
          </w:tcPr>
          <w:p w14:paraId="3172430C" w14:textId="77777777" w:rsidR="004672DB" w:rsidRPr="00B85D62" w:rsidRDefault="004672DB" w:rsidP="004672DB">
            <w:r w:rsidRPr="00B85D62">
              <w:rPr>
                <w:rFonts w:eastAsia="Arial" w:cs="Arial"/>
                <w:sz w:val="18"/>
                <w:szCs w:val="18"/>
              </w:rPr>
              <w:t>7928y00</w:t>
            </w:r>
          </w:p>
        </w:tc>
        <w:tc>
          <w:tcPr>
            <w:tcW w:w="0" w:type="auto"/>
            <w:shd w:val="clear" w:color="auto" w:fill="auto"/>
          </w:tcPr>
          <w:p w14:paraId="0782E06E" w14:textId="77777777" w:rsidR="004672DB" w:rsidRPr="00B85D62" w:rsidRDefault="004672DB" w:rsidP="004672DB">
            <w:r w:rsidRPr="00B85D62">
              <w:rPr>
                <w:rFonts w:eastAsia="Arial" w:cs="Arial"/>
                <w:sz w:val="18"/>
                <w:szCs w:val="18"/>
              </w:rPr>
              <w:t>Transluminal balloon angioplasty of coronary artery OS</w:t>
            </w:r>
          </w:p>
        </w:tc>
      </w:tr>
      <w:tr w:rsidR="004672DB" w:rsidRPr="00B85D62" w14:paraId="75D77538" w14:textId="77777777" w:rsidTr="00B85D62">
        <w:trPr>
          <w:cantSplit/>
        </w:trPr>
        <w:tc>
          <w:tcPr>
            <w:tcW w:w="0" w:type="auto"/>
            <w:shd w:val="clear" w:color="auto" w:fill="auto"/>
          </w:tcPr>
          <w:p w14:paraId="6F0A2AE6" w14:textId="77777777" w:rsidR="004672DB" w:rsidRPr="00B85D62" w:rsidRDefault="004672DB" w:rsidP="004672DB">
            <w:r w:rsidRPr="00B85D62">
              <w:rPr>
                <w:rFonts w:eastAsia="Arial" w:cs="Arial"/>
                <w:sz w:val="18"/>
                <w:szCs w:val="18"/>
              </w:rPr>
              <w:t>732</w:t>
            </w:r>
          </w:p>
        </w:tc>
        <w:tc>
          <w:tcPr>
            <w:tcW w:w="0" w:type="auto"/>
            <w:shd w:val="clear" w:color="auto" w:fill="auto"/>
          </w:tcPr>
          <w:p w14:paraId="741CB7BB" w14:textId="77777777" w:rsidR="004672DB" w:rsidRPr="00B85D62" w:rsidRDefault="004672DB" w:rsidP="004672DB">
            <w:r w:rsidRPr="00B85D62">
              <w:rPr>
                <w:rFonts w:eastAsia="Arial" w:cs="Arial"/>
                <w:sz w:val="18"/>
                <w:szCs w:val="18"/>
              </w:rPr>
              <w:t>7928z00</w:t>
            </w:r>
          </w:p>
        </w:tc>
        <w:tc>
          <w:tcPr>
            <w:tcW w:w="0" w:type="auto"/>
            <w:shd w:val="clear" w:color="auto" w:fill="auto"/>
          </w:tcPr>
          <w:p w14:paraId="0CC17CA5" w14:textId="77777777" w:rsidR="004672DB" w:rsidRPr="00B85D62" w:rsidRDefault="004672DB" w:rsidP="004672DB">
            <w:r w:rsidRPr="00B85D62">
              <w:rPr>
                <w:rFonts w:eastAsia="Arial" w:cs="Arial"/>
                <w:sz w:val="18"/>
                <w:szCs w:val="18"/>
              </w:rPr>
              <w:t>Transluminal balloon angioplasty of coronary artery NOS</w:t>
            </w:r>
          </w:p>
        </w:tc>
      </w:tr>
      <w:tr w:rsidR="004672DB" w:rsidRPr="00B85D62" w14:paraId="5B563352" w14:textId="77777777" w:rsidTr="00B85D62">
        <w:trPr>
          <w:cantSplit/>
        </w:trPr>
        <w:tc>
          <w:tcPr>
            <w:tcW w:w="0" w:type="auto"/>
            <w:shd w:val="clear" w:color="auto" w:fill="auto"/>
          </w:tcPr>
          <w:p w14:paraId="65B8D6C9" w14:textId="77777777" w:rsidR="004672DB" w:rsidRPr="00B85D62" w:rsidRDefault="004672DB" w:rsidP="004672DB">
            <w:r w:rsidRPr="00B85D62">
              <w:rPr>
                <w:rFonts w:eastAsia="Arial" w:cs="Arial"/>
                <w:sz w:val="18"/>
                <w:szCs w:val="18"/>
              </w:rPr>
              <w:t>33650</w:t>
            </w:r>
          </w:p>
        </w:tc>
        <w:tc>
          <w:tcPr>
            <w:tcW w:w="0" w:type="auto"/>
            <w:shd w:val="clear" w:color="auto" w:fill="auto"/>
          </w:tcPr>
          <w:p w14:paraId="7F14B728" w14:textId="77777777" w:rsidR="004672DB" w:rsidRPr="00B85D62" w:rsidRDefault="004672DB" w:rsidP="004672DB">
            <w:r w:rsidRPr="00B85D62">
              <w:rPr>
                <w:rFonts w:eastAsia="Arial" w:cs="Arial"/>
                <w:sz w:val="18"/>
                <w:szCs w:val="18"/>
              </w:rPr>
              <w:t>7929100</w:t>
            </w:r>
          </w:p>
        </w:tc>
        <w:tc>
          <w:tcPr>
            <w:tcW w:w="0" w:type="auto"/>
            <w:shd w:val="clear" w:color="auto" w:fill="auto"/>
          </w:tcPr>
          <w:p w14:paraId="58C36713" w14:textId="77777777" w:rsidR="004672DB" w:rsidRPr="00B85D62" w:rsidRDefault="004672DB" w:rsidP="004672DB">
            <w:r w:rsidRPr="00B85D62">
              <w:rPr>
                <w:rFonts w:eastAsia="Arial" w:cs="Arial"/>
                <w:sz w:val="18"/>
                <w:szCs w:val="18"/>
              </w:rPr>
              <w:t>Percut transluminal coronary thrombolysis with streptokinase</w:t>
            </w:r>
          </w:p>
        </w:tc>
      </w:tr>
      <w:tr w:rsidR="004672DB" w:rsidRPr="00B85D62" w14:paraId="334C5316" w14:textId="77777777" w:rsidTr="00B85D62">
        <w:trPr>
          <w:cantSplit/>
        </w:trPr>
        <w:tc>
          <w:tcPr>
            <w:tcW w:w="0" w:type="auto"/>
            <w:shd w:val="clear" w:color="auto" w:fill="auto"/>
          </w:tcPr>
          <w:p w14:paraId="14FBAE74" w14:textId="77777777" w:rsidR="004672DB" w:rsidRPr="00B85D62" w:rsidRDefault="004672DB" w:rsidP="004672DB">
            <w:r w:rsidRPr="00B85D62">
              <w:rPr>
                <w:rFonts w:eastAsia="Arial" w:cs="Arial"/>
                <w:sz w:val="18"/>
                <w:szCs w:val="18"/>
              </w:rPr>
              <w:t>8942</w:t>
            </w:r>
          </w:p>
        </w:tc>
        <w:tc>
          <w:tcPr>
            <w:tcW w:w="0" w:type="auto"/>
            <w:shd w:val="clear" w:color="auto" w:fill="auto"/>
          </w:tcPr>
          <w:p w14:paraId="16604D91" w14:textId="77777777" w:rsidR="004672DB" w:rsidRPr="00B85D62" w:rsidRDefault="004672DB" w:rsidP="004672DB">
            <w:r w:rsidRPr="00B85D62">
              <w:rPr>
                <w:rFonts w:eastAsia="Arial" w:cs="Arial"/>
                <w:sz w:val="18"/>
                <w:szCs w:val="18"/>
              </w:rPr>
              <w:t>7929400</w:t>
            </w:r>
          </w:p>
        </w:tc>
        <w:tc>
          <w:tcPr>
            <w:tcW w:w="0" w:type="auto"/>
            <w:shd w:val="clear" w:color="auto" w:fill="auto"/>
          </w:tcPr>
          <w:p w14:paraId="078C7AB6" w14:textId="77777777" w:rsidR="004672DB" w:rsidRPr="00B85D62" w:rsidRDefault="004672DB" w:rsidP="004672DB">
            <w:r w:rsidRPr="00B85D62">
              <w:rPr>
                <w:rFonts w:eastAsia="Arial" w:cs="Arial"/>
                <w:sz w:val="18"/>
                <w:szCs w:val="18"/>
              </w:rPr>
              <w:t>Insertion of coronary artery stent</w:t>
            </w:r>
          </w:p>
        </w:tc>
      </w:tr>
      <w:tr w:rsidR="004672DB" w:rsidRPr="00B85D62" w14:paraId="49DC4EB1" w14:textId="77777777" w:rsidTr="00B85D62">
        <w:trPr>
          <w:cantSplit/>
        </w:trPr>
        <w:tc>
          <w:tcPr>
            <w:tcW w:w="0" w:type="auto"/>
            <w:shd w:val="clear" w:color="auto" w:fill="auto"/>
          </w:tcPr>
          <w:p w14:paraId="121C4AF6" w14:textId="77777777" w:rsidR="004672DB" w:rsidRPr="00B85D62" w:rsidRDefault="004672DB" w:rsidP="004672DB">
            <w:r w:rsidRPr="00B85D62">
              <w:rPr>
                <w:rFonts w:eastAsia="Arial" w:cs="Arial"/>
                <w:sz w:val="18"/>
                <w:szCs w:val="18"/>
              </w:rPr>
              <w:t>42304</w:t>
            </w:r>
          </w:p>
        </w:tc>
        <w:tc>
          <w:tcPr>
            <w:tcW w:w="0" w:type="auto"/>
            <w:shd w:val="clear" w:color="auto" w:fill="auto"/>
          </w:tcPr>
          <w:p w14:paraId="62747C48" w14:textId="77777777" w:rsidR="004672DB" w:rsidRPr="00B85D62" w:rsidRDefault="004672DB" w:rsidP="004672DB">
            <w:r w:rsidRPr="00B85D62">
              <w:rPr>
                <w:rFonts w:eastAsia="Arial" w:cs="Arial"/>
                <w:sz w:val="18"/>
                <w:szCs w:val="18"/>
              </w:rPr>
              <w:t>7929500</w:t>
            </w:r>
          </w:p>
        </w:tc>
        <w:tc>
          <w:tcPr>
            <w:tcW w:w="0" w:type="auto"/>
            <w:shd w:val="clear" w:color="auto" w:fill="auto"/>
          </w:tcPr>
          <w:p w14:paraId="29D0C9D9" w14:textId="77777777" w:rsidR="004672DB" w:rsidRPr="00B85D62" w:rsidRDefault="004672DB" w:rsidP="004672DB">
            <w:r w:rsidRPr="00B85D62">
              <w:rPr>
                <w:rFonts w:eastAsia="Arial" w:cs="Arial"/>
                <w:sz w:val="18"/>
                <w:szCs w:val="18"/>
              </w:rPr>
              <w:t>Insertion of drug-eluting coronary artery stent</w:t>
            </w:r>
          </w:p>
        </w:tc>
      </w:tr>
      <w:tr w:rsidR="004672DB" w:rsidRPr="00B85D62" w14:paraId="44F052CD" w14:textId="77777777" w:rsidTr="00B85D62">
        <w:trPr>
          <w:cantSplit/>
        </w:trPr>
        <w:tc>
          <w:tcPr>
            <w:tcW w:w="0" w:type="auto"/>
            <w:shd w:val="clear" w:color="auto" w:fill="auto"/>
          </w:tcPr>
          <w:p w14:paraId="23C3B35F" w14:textId="77777777" w:rsidR="004672DB" w:rsidRPr="00B85D62" w:rsidRDefault="004672DB" w:rsidP="004672DB">
            <w:r w:rsidRPr="00B85D62">
              <w:rPr>
                <w:rFonts w:eastAsia="Arial" w:cs="Arial"/>
                <w:sz w:val="18"/>
                <w:szCs w:val="18"/>
              </w:rPr>
              <w:t>6182</w:t>
            </w:r>
          </w:p>
        </w:tc>
        <w:tc>
          <w:tcPr>
            <w:tcW w:w="0" w:type="auto"/>
            <w:shd w:val="clear" w:color="auto" w:fill="auto"/>
          </w:tcPr>
          <w:p w14:paraId="25C4F989" w14:textId="77777777" w:rsidR="004672DB" w:rsidRPr="00B85D62" w:rsidRDefault="004672DB" w:rsidP="004672DB">
            <w:r w:rsidRPr="00B85D62">
              <w:rPr>
                <w:rFonts w:eastAsia="Arial" w:cs="Arial"/>
                <w:sz w:val="18"/>
                <w:szCs w:val="18"/>
              </w:rPr>
              <w:t>7929y00</w:t>
            </w:r>
          </w:p>
        </w:tc>
        <w:tc>
          <w:tcPr>
            <w:tcW w:w="0" w:type="auto"/>
            <w:shd w:val="clear" w:color="auto" w:fill="auto"/>
          </w:tcPr>
          <w:p w14:paraId="10A5D530" w14:textId="77777777" w:rsidR="004672DB" w:rsidRPr="00B85D62" w:rsidRDefault="004672DB" w:rsidP="004672DB">
            <w:r w:rsidRPr="00B85D62">
              <w:rPr>
                <w:rFonts w:eastAsia="Arial" w:cs="Arial"/>
                <w:sz w:val="18"/>
                <w:szCs w:val="18"/>
              </w:rPr>
              <w:t>Other therapeutic transluminal op on coronary artery OS</w:t>
            </w:r>
          </w:p>
        </w:tc>
      </w:tr>
      <w:tr w:rsidR="004672DB" w:rsidRPr="00B85D62" w14:paraId="2AEF3C35" w14:textId="77777777" w:rsidTr="00B85D62">
        <w:trPr>
          <w:cantSplit/>
        </w:trPr>
        <w:tc>
          <w:tcPr>
            <w:tcW w:w="0" w:type="auto"/>
            <w:shd w:val="clear" w:color="auto" w:fill="auto"/>
          </w:tcPr>
          <w:p w14:paraId="52A55D6F" w14:textId="77777777" w:rsidR="004672DB" w:rsidRPr="00B85D62" w:rsidRDefault="004672DB" w:rsidP="004672DB">
            <w:r w:rsidRPr="00B85D62">
              <w:rPr>
                <w:rFonts w:eastAsia="Arial" w:cs="Arial"/>
                <w:sz w:val="18"/>
                <w:szCs w:val="18"/>
              </w:rPr>
              <w:t>33471</w:t>
            </w:r>
          </w:p>
        </w:tc>
        <w:tc>
          <w:tcPr>
            <w:tcW w:w="0" w:type="auto"/>
            <w:shd w:val="clear" w:color="auto" w:fill="auto"/>
          </w:tcPr>
          <w:p w14:paraId="2CFE58CC" w14:textId="77777777" w:rsidR="004672DB" w:rsidRPr="00B85D62" w:rsidRDefault="004672DB" w:rsidP="004672DB">
            <w:r w:rsidRPr="00B85D62">
              <w:rPr>
                <w:rFonts w:eastAsia="Arial" w:cs="Arial"/>
                <w:sz w:val="18"/>
                <w:szCs w:val="18"/>
              </w:rPr>
              <w:t>792Dz00</w:t>
            </w:r>
          </w:p>
        </w:tc>
        <w:tc>
          <w:tcPr>
            <w:tcW w:w="0" w:type="auto"/>
            <w:shd w:val="clear" w:color="auto" w:fill="auto"/>
          </w:tcPr>
          <w:p w14:paraId="34A14C0C" w14:textId="77777777" w:rsidR="004672DB" w:rsidRPr="00B85D62" w:rsidRDefault="004672DB" w:rsidP="004672DB">
            <w:r w:rsidRPr="00B85D62">
              <w:rPr>
                <w:rFonts w:eastAsia="Arial" w:cs="Arial"/>
                <w:sz w:val="18"/>
                <w:szCs w:val="18"/>
              </w:rPr>
              <w:t>Other bypass of coronary artery NOS</w:t>
            </w:r>
          </w:p>
        </w:tc>
      </w:tr>
      <w:tr w:rsidR="004672DB" w:rsidRPr="00B85D62" w14:paraId="06E891D2" w14:textId="77777777" w:rsidTr="00B85D62">
        <w:trPr>
          <w:cantSplit/>
        </w:trPr>
        <w:tc>
          <w:tcPr>
            <w:tcW w:w="0" w:type="auto"/>
            <w:shd w:val="clear" w:color="auto" w:fill="auto"/>
          </w:tcPr>
          <w:p w14:paraId="36E57A8C" w14:textId="77777777" w:rsidR="004672DB" w:rsidRPr="00B85D62" w:rsidRDefault="004672DB" w:rsidP="004672DB">
            <w:r w:rsidRPr="00B85D62">
              <w:rPr>
                <w:rFonts w:eastAsia="Arial" w:cs="Arial"/>
                <w:sz w:val="18"/>
                <w:szCs w:val="18"/>
              </w:rPr>
              <w:t>105184</w:t>
            </w:r>
          </w:p>
        </w:tc>
        <w:tc>
          <w:tcPr>
            <w:tcW w:w="0" w:type="auto"/>
            <w:shd w:val="clear" w:color="auto" w:fill="auto"/>
          </w:tcPr>
          <w:p w14:paraId="1C9B16AB" w14:textId="77777777" w:rsidR="004672DB" w:rsidRPr="00B85D62" w:rsidRDefault="004672DB" w:rsidP="004672DB">
            <w:r w:rsidRPr="00B85D62">
              <w:rPr>
                <w:rFonts w:eastAsia="Arial" w:cs="Arial"/>
                <w:sz w:val="18"/>
                <w:szCs w:val="18"/>
              </w:rPr>
              <w:t>792E.00</w:t>
            </w:r>
          </w:p>
        </w:tc>
        <w:tc>
          <w:tcPr>
            <w:tcW w:w="0" w:type="auto"/>
            <w:shd w:val="clear" w:color="auto" w:fill="auto"/>
          </w:tcPr>
          <w:p w14:paraId="04C14E61" w14:textId="77777777" w:rsidR="004672DB" w:rsidRPr="00B85D62" w:rsidRDefault="004672DB" w:rsidP="004672DB">
            <w:r w:rsidRPr="00B85D62">
              <w:rPr>
                <w:rFonts w:eastAsia="Arial" w:cs="Arial"/>
                <w:sz w:val="18"/>
                <w:szCs w:val="18"/>
              </w:rPr>
              <w:t>Percutaneous coronary intervention</w:t>
            </w:r>
          </w:p>
        </w:tc>
      </w:tr>
      <w:tr w:rsidR="004672DB" w:rsidRPr="00B85D62" w14:paraId="62119EAC" w14:textId="77777777" w:rsidTr="00B85D62">
        <w:trPr>
          <w:cantSplit/>
        </w:trPr>
        <w:tc>
          <w:tcPr>
            <w:tcW w:w="0" w:type="auto"/>
            <w:shd w:val="clear" w:color="auto" w:fill="auto"/>
          </w:tcPr>
          <w:p w14:paraId="232EC9B5" w14:textId="77777777" w:rsidR="004672DB" w:rsidRPr="00B85D62" w:rsidRDefault="004672DB" w:rsidP="004672DB">
            <w:r w:rsidRPr="00B85D62">
              <w:rPr>
                <w:rFonts w:eastAsia="Arial" w:cs="Arial"/>
                <w:sz w:val="18"/>
                <w:szCs w:val="18"/>
              </w:rPr>
              <w:t>107406</w:t>
            </w:r>
          </w:p>
        </w:tc>
        <w:tc>
          <w:tcPr>
            <w:tcW w:w="0" w:type="auto"/>
            <w:shd w:val="clear" w:color="auto" w:fill="auto"/>
          </w:tcPr>
          <w:p w14:paraId="54FCE2DE" w14:textId="77777777" w:rsidR="004672DB" w:rsidRPr="00B85D62" w:rsidRDefault="004672DB" w:rsidP="004672DB">
            <w:r w:rsidRPr="00B85D62">
              <w:rPr>
                <w:rFonts w:eastAsia="Arial" w:cs="Arial"/>
                <w:sz w:val="18"/>
                <w:szCs w:val="18"/>
              </w:rPr>
              <w:t>792E000</w:t>
            </w:r>
          </w:p>
        </w:tc>
        <w:tc>
          <w:tcPr>
            <w:tcW w:w="0" w:type="auto"/>
            <w:shd w:val="clear" w:color="auto" w:fill="auto"/>
          </w:tcPr>
          <w:p w14:paraId="04984EBF" w14:textId="77777777" w:rsidR="004672DB" w:rsidRPr="00B85D62" w:rsidRDefault="004672DB" w:rsidP="004672DB">
            <w:r w:rsidRPr="00B85D62">
              <w:rPr>
                <w:rFonts w:eastAsia="Arial" w:cs="Arial"/>
                <w:sz w:val="18"/>
                <w:szCs w:val="18"/>
              </w:rPr>
              <w:t>Emergency percutaneous coronary intervention</w:t>
            </w:r>
          </w:p>
        </w:tc>
      </w:tr>
      <w:tr w:rsidR="004672DB" w:rsidRPr="00B85D62" w14:paraId="085DABF2" w14:textId="77777777" w:rsidTr="00B85D62">
        <w:trPr>
          <w:cantSplit/>
        </w:trPr>
        <w:tc>
          <w:tcPr>
            <w:tcW w:w="0" w:type="auto"/>
            <w:shd w:val="clear" w:color="auto" w:fill="auto"/>
          </w:tcPr>
          <w:p w14:paraId="5901098B" w14:textId="77777777" w:rsidR="004672DB" w:rsidRPr="00B85D62" w:rsidRDefault="004672DB" w:rsidP="004672DB">
            <w:r w:rsidRPr="00B85D62">
              <w:rPr>
                <w:rFonts w:eastAsia="Arial" w:cs="Arial"/>
                <w:sz w:val="18"/>
                <w:szCs w:val="18"/>
              </w:rPr>
              <w:t>43939</w:t>
            </w:r>
          </w:p>
        </w:tc>
        <w:tc>
          <w:tcPr>
            <w:tcW w:w="0" w:type="auto"/>
            <w:shd w:val="clear" w:color="auto" w:fill="auto"/>
          </w:tcPr>
          <w:p w14:paraId="17D80A44" w14:textId="77777777" w:rsidR="004672DB" w:rsidRPr="00B85D62" w:rsidRDefault="004672DB" w:rsidP="004672DB">
            <w:r w:rsidRPr="00B85D62">
              <w:rPr>
                <w:rFonts w:eastAsia="Arial" w:cs="Arial"/>
                <w:sz w:val="18"/>
                <w:szCs w:val="18"/>
              </w:rPr>
              <w:t>793G.00</w:t>
            </w:r>
          </w:p>
        </w:tc>
        <w:tc>
          <w:tcPr>
            <w:tcW w:w="0" w:type="auto"/>
            <w:shd w:val="clear" w:color="auto" w:fill="auto"/>
          </w:tcPr>
          <w:p w14:paraId="560E9457" w14:textId="77777777" w:rsidR="004672DB" w:rsidRPr="00B85D62" w:rsidRDefault="004672DB" w:rsidP="004672DB">
            <w:r w:rsidRPr="00B85D62">
              <w:rPr>
                <w:rFonts w:eastAsia="Arial" w:cs="Arial"/>
                <w:sz w:val="18"/>
                <w:szCs w:val="18"/>
              </w:rPr>
              <w:t>Perc translumin balloon angioplasty stenting coronary artery</w:t>
            </w:r>
          </w:p>
        </w:tc>
      </w:tr>
      <w:tr w:rsidR="004672DB" w:rsidRPr="00B85D62" w14:paraId="081B5AE9" w14:textId="77777777" w:rsidTr="00B85D62">
        <w:trPr>
          <w:cantSplit/>
        </w:trPr>
        <w:tc>
          <w:tcPr>
            <w:tcW w:w="0" w:type="auto"/>
            <w:shd w:val="clear" w:color="auto" w:fill="auto"/>
          </w:tcPr>
          <w:p w14:paraId="0C9A0A54" w14:textId="77777777" w:rsidR="004672DB" w:rsidRPr="00B85D62" w:rsidRDefault="004672DB" w:rsidP="004672DB">
            <w:r w:rsidRPr="00B85D62">
              <w:rPr>
                <w:rFonts w:eastAsia="Arial" w:cs="Arial"/>
                <w:sz w:val="18"/>
                <w:szCs w:val="18"/>
              </w:rPr>
              <w:t>61208</w:t>
            </w:r>
          </w:p>
        </w:tc>
        <w:tc>
          <w:tcPr>
            <w:tcW w:w="0" w:type="auto"/>
            <w:shd w:val="clear" w:color="auto" w:fill="auto"/>
          </w:tcPr>
          <w:p w14:paraId="0C8B00D3" w14:textId="77777777" w:rsidR="004672DB" w:rsidRPr="00B85D62" w:rsidRDefault="004672DB" w:rsidP="004672DB">
            <w:r w:rsidRPr="00B85D62">
              <w:rPr>
                <w:rFonts w:eastAsia="Arial" w:cs="Arial"/>
                <w:sz w:val="18"/>
                <w:szCs w:val="18"/>
              </w:rPr>
              <w:t>793Gz00</w:t>
            </w:r>
          </w:p>
        </w:tc>
        <w:tc>
          <w:tcPr>
            <w:tcW w:w="0" w:type="auto"/>
            <w:shd w:val="clear" w:color="auto" w:fill="auto"/>
          </w:tcPr>
          <w:p w14:paraId="4BAB5CFE" w14:textId="77777777" w:rsidR="004672DB" w:rsidRPr="00B85D62" w:rsidRDefault="004672DB" w:rsidP="004672DB">
            <w:r w:rsidRPr="00B85D62">
              <w:rPr>
                <w:rFonts w:eastAsia="Arial" w:cs="Arial"/>
                <w:sz w:val="18"/>
                <w:szCs w:val="18"/>
              </w:rPr>
              <w:t>Perc translum balloon angioplasty stenting coronary art NOS</w:t>
            </w:r>
          </w:p>
        </w:tc>
      </w:tr>
      <w:tr w:rsidR="004672DB" w:rsidRPr="00B85D62" w14:paraId="70A11EFD" w14:textId="77777777" w:rsidTr="00B85D62">
        <w:trPr>
          <w:cantSplit/>
        </w:trPr>
        <w:tc>
          <w:tcPr>
            <w:tcW w:w="0" w:type="auto"/>
            <w:shd w:val="clear" w:color="auto" w:fill="auto"/>
          </w:tcPr>
          <w:p w14:paraId="1C7B5FEF" w14:textId="77777777" w:rsidR="004672DB" w:rsidRPr="00B85D62" w:rsidRDefault="004672DB" w:rsidP="004672DB">
            <w:r w:rsidRPr="00B85D62">
              <w:rPr>
                <w:rFonts w:eastAsia="Arial" w:cs="Arial"/>
                <w:sz w:val="18"/>
                <w:szCs w:val="18"/>
              </w:rPr>
              <w:t>45960</w:t>
            </w:r>
          </w:p>
        </w:tc>
        <w:tc>
          <w:tcPr>
            <w:tcW w:w="0" w:type="auto"/>
            <w:shd w:val="clear" w:color="auto" w:fill="auto"/>
          </w:tcPr>
          <w:p w14:paraId="441C0BA5" w14:textId="77777777" w:rsidR="004672DB" w:rsidRPr="00B85D62" w:rsidRDefault="004672DB" w:rsidP="004672DB">
            <w:r w:rsidRPr="00B85D62">
              <w:rPr>
                <w:rFonts w:eastAsia="Arial" w:cs="Arial"/>
                <w:sz w:val="18"/>
                <w:szCs w:val="18"/>
              </w:rPr>
              <w:t>8B27.00</w:t>
            </w:r>
          </w:p>
        </w:tc>
        <w:tc>
          <w:tcPr>
            <w:tcW w:w="0" w:type="auto"/>
            <w:shd w:val="clear" w:color="auto" w:fill="auto"/>
          </w:tcPr>
          <w:p w14:paraId="02F79F26" w14:textId="77777777" w:rsidR="004672DB" w:rsidRPr="00B85D62" w:rsidRDefault="004672DB" w:rsidP="004672DB">
            <w:r w:rsidRPr="00B85D62">
              <w:rPr>
                <w:rFonts w:eastAsia="Arial" w:cs="Arial"/>
                <w:sz w:val="18"/>
                <w:szCs w:val="18"/>
              </w:rPr>
              <w:t>Antianginal therapy</w:t>
            </w:r>
          </w:p>
        </w:tc>
      </w:tr>
      <w:tr w:rsidR="004672DB" w:rsidRPr="00B85D62" w14:paraId="4EED1DEB" w14:textId="77777777" w:rsidTr="00B85D62">
        <w:trPr>
          <w:cantSplit/>
        </w:trPr>
        <w:tc>
          <w:tcPr>
            <w:tcW w:w="0" w:type="auto"/>
            <w:shd w:val="clear" w:color="auto" w:fill="auto"/>
          </w:tcPr>
          <w:p w14:paraId="702EB3DD" w14:textId="77777777" w:rsidR="004672DB" w:rsidRPr="00B85D62" w:rsidRDefault="004672DB" w:rsidP="004672DB">
            <w:r w:rsidRPr="00B85D62">
              <w:rPr>
                <w:rFonts w:eastAsia="Arial" w:cs="Arial"/>
                <w:sz w:val="18"/>
                <w:szCs w:val="18"/>
              </w:rPr>
              <w:t>101121</w:t>
            </w:r>
          </w:p>
        </w:tc>
        <w:tc>
          <w:tcPr>
            <w:tcW w:w="0" w:type="auto"/>
            <w:shd w:val="clear" w:color="auto" w:fill="auto"/>
          </w:tcPr>
          <w:p w14:paraId="4AB7220A" w14:textId="77777777" w:rsidR="004672DB" w:rsidRPr="00B85D62" w:rsidRDefault="004672DB" w:rsidP="004672DB">
            <w:r w:rsidRPr="00B85D62">
              <w:rPr>
                <w:rFonts w:eastAsia="Arial" w:cs="Arial"/>
                <w:sz w:val="18"/>
                <w:szCs w:val="18"/>
              </w:rPr>
              <w:t>8L40.00</w:t>
            </w:r>
          </w:p>
        </w:tc>
        <w:tc>
          <w:tcPr>
            <w:tcW w:w="0" w:type="auto"/>
            <w:shd w:val="clear" w:color="auto" w:fill="auto"/>
          </w:tcPr>
          <w:p w14:paraId="6EA1C41A" w14:textId="77777777" w:rsidR="004672DB" w:rsidRPr="00B85D62" w:rsidRDefault="004672DB" w:rsidP="004672DB">
            <w:r w:rsidRPr="00B85D62">
              <w:rPr>
                <w:rFonts w:eastAsia="Arial" w:cs="Arial"/>
                <w:sz w:val="18"/>
                <w:szCs w:val="18"/>
              </w:rPr>
              <w:t>Coronary artery bypass graft operation planned</w:t>
            </w:r>
          </w:p>
        </w:tc>
      </w:tr>
      <w:tr w:rsidR="004672DB" w:rsidRPr="00B85D62" w14:paraId="06CDBD00" w14:textId="77777777" w:rsidTr="00B85D62">
        <w:trPr>
          <w:cantSplit/>
        </w:trPr>
        <w:tc>
          <w:tcPr>
            <w:tcW w:w="0" w:type="auto"/>
            <w:shd w:val="clear" w:color="auto" w:fill="auto"/>
          </w:tcPr>
          <w:p w14:paraId="79A19F9A" w14:textId="77777777" w:rsidR="004672DB" w:rsidRPr="00B85D62" w:rsidRDefault="004672DB" w:rsidP="004672DB">
            <w:r w:rsidRPr="00B85D62">
              <w:rPr>
                <w:rFonts w:eastAsia="Arial" w:cs="Arial"/>
                <w:sz w:val="18"/>
                <w:szCs w:val="18"/>
              </w:rPr>
              <w:t>101373</w:t>
            </w:r>
          </w:p>
        </w:tc>
        <w:tc>
          <w:tcPr>
            <w:tcW w:w="0" w:type="auto"/>
            <w:shd w:val="clear" w:color="auto" w:fill="auto"/>
          </w:tcPr>
          <w:p w14:paraId="4874D1FA" w14:textId="77777777" w:rsidR="004672DB" w:rsidRPr="00B85D62" w:rsidRDefault="004672DB" w:rsidP="004672DB">
            <w:r w:rsidRPr="00B85D62">
              <w:rPr>
                <w:rFonts w:eastAsia="Arial" w:cs="Arial"/>
                <w:sz w:val="18"/>
                <w:szCs w:val="18"/>
              </w:rPr>
              <w:t>8L41.00</w:t>
            </w:r>
          </w:p>
        </w:tc>
        <w:tc>
          <w:tcPr>
            <w:tcW w:w="0" w:type="auto"/>
            <w:shd w:val="clear" w:color="auto" w:fill="auto"/>
          </w:tcPr>
          <w:p w14:paraId="44A8478D" w14:textId="77777777" w:rsidR="004672DB" w:rsidRPr="00B85D62" w:rsidRDefault="004672DB" w:rsidP="004672DB">
            <w:r w:rsidRPr="00B85D62">
              <w:rPr>
                <w:rFonts w:eastAsia="Arial" w:cs="Arial"/>
                <w:sz w:val="18"/>
                <w:szCs w:val="18"/>
              </w:rPr>
              <w:t>Coronary angioplasty planned</w:t>
            </w:r>
          </w:p>
        </w:tc>
      </w:tr>
      <w:tr w:rsidR="004672DB" w:rsidRPr="00B85D62" w14:paraId="20FDA61D" w14:textId="77777777" w:rsidTr="00B85D62">
        <w:trPr>
          <w:cantSplit/>
        </w:trPr>
        <w:tc>
          <w:tcPr>
            <w:tcW w:w="0" w:type="auto"/>
            <w:shd w:val="clear" w:color="auto" w:fill="auto"/>
          </w:tcPr>
          <w:p w14:paraId="1DD85523" w14:textId="77777777" w:rsidR="004672DB" w:rsidRPr="00B85D62" w:rsidRDefault="004672DB" w:rsidP="004672DB">
            <w:r w:rsidRPr="00B85D62">
              <w:rPr>
                <w:rFonts w:eastAsia="Arial" w:cs="Arial"/>
                <w:sz w:val="18"/>
                <w:szCs w:val="18"/>
              </w:rPr>
              <w:t>240</w:t>
            </w:r>
          </w:p>
        </w:tc>
        <w:tc>
          <w:tcPr>
            <w:tcW w:w="0" w:type="auto"/>
            <w:shd w:val="clear" w:color="auto" w:fill="auto"/>
          </w:tcPr>
          <w:p w14:paraId="0F46D2AB" w14:textId="6AC0479D" w:rsidR="004672DB" w:rsidRPr="00B85D62" w:rsidRDefault="004672DB" w:rsidP="004672DB">
            <w:r w:rsidRPr="00B85D62">
              <w:rPr>
                <w:rFonts w:eastAsia="Arial" w:cs="Arial"/>
                <w:sz w:val="18"/>
                <w:szCs w:val="18"/>
              </w:rPr>
              <w:t>G3</w:t>
            </w:r>
            <w:r w:rsidR="00B85D62" w:rsidRPr="00B85D62">
              <w:rPr>
                <w:rFonts w:eastAsia="Arial" w:cs="Arial"/>
                <w:color w:val="00B0F0"/>
                <w:sz w:val="18"/>
                <w:szCs w:val="18"/>
              </w:rPr>
              <w:t>. . .</w:t>
            </w:r>
            <w:r w:rsidRPr="00B85D62">
              <w:rPr>
                <w:rFonts w:eastAsia="Arial" w:cs="Arial"/>
                <w:sz w:val="18"/>
                <w:szCs w:val="18"/>
              </w:rPr>
              <w:t>00</w:t>
            </w:r>
          </w:p>
        </w:tc>
        <w:tc>
          <w:tcPr>
            <w:tcW w:w="0" w:type="auto"/>
            <w:shd w:val="clear" w:color="auto" w:fill="auto"/>
          </w:tcPr>
          <w:p w14:paraId="2B0CB161" w14:textId="77777777" w:rsidR="004672DB" w:rsidRPr="00B85D62" w:rsidRDefault="004672DB" w:rsidP="004672DB">
            <w:r w:rsidRPr="00B85D62">
              <w:rPr>
                <w:rFonts w:eastAsia="Arial" w:cs="Arial"/>
                <w:sz w:val="18"/>
                <w:szCs w:val="18"/>
              </w:rPr>
              <w:t>Ischaemic heart disease</w:t>
            </w:r>
          </w:p>
        </w:tc>
      </w:tr>
      <w:tr w:rsidR="004672DB" w:rsidRPr="00B85D62" w14:paraId="1C3936F4" w14:textId="77777777" w:rsidTr="00B85D62">
        <w:trPr>
          <w:cantSplit/>
        </w:trPr>
        <w:tc>
          <w:tcPr>
            <w:tcW w:w="0" w:type="auto"/>
            <w:shd w:val="clear" w:color="auto" w:fill="auto"/>
          </w:tcPr>
          <w:p w14:paraId="3DDA7223" w14:textId="77777777" w:rsidR="004672DB" w:rsidRPr="00B85D62" w:rsidRDefault="004672DB" w:rsidP="004672DB">
            <w:r w:rsidRPr="00B85D62">
              <w:rPr>
                <w:rFonts w:eastAsia="Arial" w:cs="Arial"/>
                <w:sz w:val="18"/>
                <w:szCs w:val="18"/>
              </w:rPr>
              <w:t>24783</w:t>
            </w:r>
          </w:p>
        </w:tc>
        <w:tc>
          <w:tcPr>
            <w:tcW w:w="0" w:type="auto"/>
            <w:shd w:val="clear" w:color="auto" w:fill="auto"/>
          </w:tcPr>
          <w:p w14:paraId="00598D1F" w14:textId="1EDC6176" w:rsidR="004672DB" w:rsidRPr="00B85D62" w:rsidRDefault="004672DB" w:rsidP="004672DB">
            <w:r w:rsidRPr="00B85D62">
              <w:rPr>
                <w:rFonts w:eastAsia="Arial" w:cs="Arial"/>
                <w:sz w:val="18"/>
                <w:szCs w:val="18"/>
              </w:rPr>
              <w:t>G3</w:t>
            </w:r>
            <w:r w:rsidR="00B85D62" w:rsidRPr="00B85D62">
              <w:rPr>
                <w:rFonts w:eastAsia="Arial" w:cs="Arial"/>
                <w:color w:val="00B0F0"/>
                <w:sz w:val="18"/>
                <w:szCs w:val="18"/>
              </w:rPr>
              <w:t>. . .</w:t>
            </w:r>
            <w:r w:rsidRPr="00B85D62">
              <w:rPr>
                <w:rFonts w:eastAsia="Arial" w:cs="Arial"/>
                <w:sz w:val="18"/>
                <w:szCs w:val="18"/>
              </w:rPr>
              <w:t>11</w:t>
            </w:r>
          </w:p>
        </w:tc>
        <w:tc>
          <w:tcPr>
            <w:tcW w:w="0" w:type="auto"/>
            <w:shd w:val="clear" w:color="auto" w:fill="auto"/>
          </w:tcPr>
          <w:p w14:paraId="0687A107" w14:textId="77777777" w:rsidR="004672DB" w:rsidRPr="00B85D62" w:rsidRDefault="004672DB" w:rsidP="004672DB">
            <w:r w:rsidRPr="00B85D62">
              <w:rPr>
                <w:rFonts w:eastAsia="Arial" w:cs="Arial"/>
                <w:sz w:val="18"/>
                <w:szCs w:val="18"/>
              </w:rPr>
              <w:t>Arteriosclerotic heart disease</w:t>
            </w:r>
          </w:p>
        </w:tc>
      </w:tr>
      <w:tr w:rsidR="004672DB" w:rsidRPr="00B85D62" w14:paraId="6E92DF19" w14:textId="77777777" w:rsidTr="00B85D62">
        <w:trPr>
          <w:cantSplit/>
        </w:trPr>
        <w:tc>
          <w:tcPr>
            <w:tcW w:w="0" w:type="auto"/>
            <w:shd w:val="clear" w:color="auto" w:fill="auto"/>
          </w:tcPr>
          <w:p w14:paraId="59FDF356" w14:textId="77777777" w:rsidR="004672DB" w:rsidRPr="00B85D62" w:rsidRDefault="004672DB" w:rsidP="004672DB">
            <w:r w:rsidRPr="00B85D62">
              <w:rPr>
                <w:rFonts w:eastAsia="Arial" w:cs="Arial"/>
                <w:sz w:val="18"/>
                <w:szCs w:val="18"/>
              </w:rPr>
              <w:t>20416</w:t>
            </w:r>
          </w:p>
        </w:tc>
        <w:tc>
          <w:tcPr>
            <w:tcW w:w="0" w:type="auto"/>
            <w:shd w:val="clear" w:color="auto" w:fill="auto"/>
          </w:tcPr>
          <w:p w14:paraId="7E6D02D7" w14:textId="44E1C9D0" w:rsidR="004672DB" w:rsidRPr="00B85D62" w:rsidRDefault="004672DB" w:rsidP="004672DB">
            <w:r w:rsidRPr="00B85D62">
              <w:rPr>
                <w:rFonts w:eastAsia="Arial" w:cs="Arial"/>
                <w:sz w:val="18"/>
                <w:szCs w:val="18"/>
              </w:rPr>
              <w:t>G3</w:t>
            </w:r>
            <w:r w:rsidR="00B85D62" w:rsidRPr="00B85D62">
              <w:rPr>
                <w:rFonts w:eastAsia="Arial" w:cs="Arial"/>
                <w:color w:val="00B0F0"/>
                <w:sz w:val="18"/>
                <w:szCs w:val="18"/>
              </w:rPr>
              <w:t>. . .</w:t>
            </w:r>
            <w:r w:rsidRPr="00B85D62">
              <w:rPr>
                <w:rFonts w:eastAsia="Arial" w:cs="Arial"/>
                <w:sz w:val="18"/>
                <w:szCs w:val="18"/>
              </w:rPr>
              <w:t>12</w:t>
            </w:r>
          </w:p>
        </w:tc>
        <w:tc>
          <w:tcPr>
            <w:tcW w:w="0" w:type="auto"/>
            <w:shd w:val="clear" w:color="auto" w:fill="auto"/>
          </w:tcPr>
          <w:p w14:paraId="3712FD79" w14:textId="77777777" w:rsidR="004672DB" w:rsidRPr="00B85D62" w:rsidRDefault="004672DB" w:rsidP="004672DB">
            <w:r w:rsidRPr="00B85D62">
              <w:rPr>
                <w:rFonts w:eastAsia="Arial" w:cs="Arial"/>
                <w:sz w:val="18"/>
                <w:szCs w:val="18"/>
              </w:rPr>
              <w:t>Atherosclerotic heart disease</w:t>
            </w:r>
          </w:p>
        </w:tc>
      </w:tr>
      <w:tr w:rsidR="004672DB" w:rsidRPr="00B85D62" w14:paraId="049C10FC" w14:textId="77777777" w:rsidTr="00B85D62">
        <w:trPr>
          <w:cantSplit/>
        </w:trPr>
        <w:tc>
          <w:tcPr>
            <w:tcW w:w="0" w:type="auto"/>
            <w:shd w:val="clear" w:color="auto" w:fill="auto"/>
          </w:tcPr>
          <w:p w14:paraId="1385C19D" w14:textId="77777777" w:rsidR="004672DB" w:rsidRPr="00B85D62" w:rsidRDefault="004672DB" w:rsidP="004672DB">
            <w:r w:rsidRPr="00B85D62">
              <w:rPr>
                <w:rFonts w:eastAsia="Arial" w:cs="Arial"/>
                <w:sz w:val="18"/>
                <w:szCs w:val="18"/>
              </w:rPr>
              <w:t>1792</w:t>
            </w:r>
          </w:p>
        </w:tc>
        <w:tc>
          <w:tcPr>
            <w:tcW w:w="0" w:type="auto"/>
            <w:shd w:val="clear" w:color="auto" w:fill="auto"/>
          </w:tcPr>
          <w:p w14:paraId="0D615D82" w14:textId="42279035" w:rsidR="004672DB" w:rsidRPr="00B85D62" w:rsidRDefault="004672DB" w:rsidP="004672DB">
            <w:r w:rsidRPr="00B85D62">
              <w:rPr>
                <w:rFonts w:eastAsia="Arial" w:cs="Arial"/>
                <w:sz w:val="18"/>
                <w:szCs w:val="18"/>
              </w:rPr>
              <w:t>G3</w:t>
            </w:r>
            <w:r w:rsidR="00B85D62" w:rsidRPr="00B85D62">
              <w:rPr>
                <w:rFonts w:eastAsia="Arial" w:cs="Arial"/>
                <w:color w:val="00B0F0"/>
                <w:sz w:val="18"/>
                <w:szCs w:val="18"/>
              </w:rPr>
              <w:t>. . .</w:t>
            </w:r>
            <w:r w:rsidRPr="00B85D62">
              <w:rPr>
                <w:rFonts w:eastAsia="Arial" w:cs="Arial"/>
                <w:sz w:val="18"/>
                <w:szCs w:val="18"/>
              </w:rPr>
              <w:t>13</w:t>
            </w:r>
          </w:p>
        </w:tc>
        <w:tc>
          <w:tcPr>
            <w:tcW w:w="0" w:type="auto"/>
            <w:shd w:val="clear" w:color="auto" w:fill="auto"/>
          </w:tcPr>
          <w:p w14:paraId="6B4D03EA" w14:textId="38E0330D" w:rsidR="004672DB" w:rsidRPr="00B85D62" w:rsidRDefault="004672DB" w:rsidP="004672DB">
            <w:r w:rsidRPr="00B85D62">
              <w:rPr>
                <w:rFonts w:eastAsia="Arial" w:cs="Arial"/>
                <w:sz w:val="18"/>
                <w:szCs w:val="18"/>
              </w:rPr>
              <w:t>IHD</w:t>
            </w:r>
            <w:r w:rsidR="00B85D62" w:rsidRPr="00B85D62">
              <w:rPr>
                <w:rFonts w:eastAsia="Arial" w:cs="Arial"/>
                <w:color w:val="00B0F0"/>
                <w:sz w:val="18"/>
                <w:szCs w:val="18"/>
              </w:rPr>
              <w:t xml:space="preserve"> – </w:t>
            </w:r>
            <w:r w:rsidRPr="00B85D62">
              <w:rPr>
                <w:rFonts w:eastAsia="Arial" w:cs="Arial"/>
                <w:sz w:val="18"/>
                <w:szCs w:val="18"/>
              </w:rPr>
              <w:t>Ischaemic heart disease</w:t>
            </w:r>
          </w:p>
        </w:tc>
      </w:tr>
      <w:tr w:rsidR="004672DB" w:rsidRPr="00B85D62" w14:paraId="66466099" w14:textId="77777777" w:rsidTr="00B85D62">
        <w:trPr>
          <w:cantSplit/>
        </w:trPr>
        <w:tc>
          <w:tcPr>
            <w:tcW w:w="0" w:type="auto"/>
            <w:shd w:val="clear" w:color="auto" w:fill="auto"/>
          </w:tcPr>
          <w:p w14:paraId="72445974" w14:textId="77777777" w:rsidR="004672DB" w:rsidRPr="00B85D62" w:rsidRDefault="004672DB" w:rsidP="004672DB">
            <w:r w:rsidRPr="00B85D62">
              <w:rPr>
                <w:rFonts w:eastAsia="Arial" w:cs="Arial"/>
                <w:sz w:val="18"/>
                <w:szCs w:val="18"/>
              </w:rPr>
              <w:t>241</w:t>
            </w:r>
          </w:p>
        </w:tc>
        <w:tc>
          <w:tcPr>
            <w:tcW w:w="0" w:type="auto"/>
            <w:shd w:val="clear" w:color="auto" w:fill="auto"/>
          </w:tcPr>
          <w:p w14:paraId="4328A30A" w14:textId="77777777" w:rsidR="004672DB" w:rsidRPr="00B85D62" w:rsidRDefault="004672DB" w:rsidP="004672DB">
            <w:r w:rsidRPr="00B85D62">
              <w:rPr>
                <w:rFonts w:eastAsia="Arial" w:cs="Arial"/>
                <w:sz w:val="18"/>
                <w:szCs w:val="18"/>
              </w:rPr>
              <w:t>G30..00</w:t>
            </w:r>
          </w:p>
        </w:tc>
        <w:tc>
          <w:tcPr>
            <w:tcW w:w="0" w:type="auto"/>
            <w:shd w:val="clear" w:color="auto" w:fill="auto"/>
          </w:tcPr>
          <w:p w14:paraId="09037FB1" w14:textId="77777777" w:rsidR="004672DB" w:rsidRPr="00B85D62" w:rsidRDefault="004672DB" w:rsidP="004672DB">
            <w:r w:rsidRPr="00B85D62">
              <w:rPr>
                <w:rFonts w:eastAsia="Arial" w:cs="Arial"/>
                <w:sz w:val="18"/>
                <w:szCs w:val="18"/>
              </w:rPr>
              <w:t>Acute myocardial infarction</w:t>
            </w:r>
          </w:p>
        </w:tc>
      </w:tr>
      <w:tr w:rsidR="004672DB" w:rsidRPr="00B85D62" w14:paraId="658505FB" w14:textId="77777777" w:rsidTr="00B85D62">
        <w:trPr>
          <w:cantSplit/>
        </w:trPr>
        <w:tc>
          <w:tcPr>
            <w:tcW w:w="0" w:type="auto"/>
            <w:shd w:val="clear" w:color="auto" w:fill="auto"/>
          </w:tcPr>
          <w:p w14:paraId="34F4A95F" w14:textId="77777777" w:rsidR="004672DB" w:rsidRPr="00B85D62" w:rsidRDefault="004672DB" w:rsidP="004672DB">
            <w:r w:rsidRPr="00B85D62">
              <w:rPr>
                <w:rFonts w:eastAsia="Arial" w:cs="Arial"/>
                <w:sz w:val="18"/>
                <w:szCs w:val="18"/>
              </w:rPr>
              <w:t>2491</w:t>
            </w:r>
          </w:p>
        </w:tc>
        <w:tc>
          <w:tcPr>
            <w:tcW w:w="0" w:type="auto"/>
            <w:shd w:val="clear" w:color="auto" w:fill="auto"/>
          </w:tcPr>
          <w:p w14:paraId="2912688C" w14:textId="77777777" w:rsidR="004672DB" w:rsidRPr="00B85D62" w:rsidRDefault="004672DB" w:rsidP="004672DB">
            <w:r w:rsidRPr="00B85D62">
              <w:rPr>
                <w:rFonts w:eastAsia="Arial" w:cs="Arial"/>
                <w:sz w:val="18"/>
                <w:szCs w:val="18"/>
              </w:rPr>
              <w:t>G30..12</w:t>
            </w:r>
          </w:p>
        </w:tc>
        <w:tc>
          <w:tcPr>
            <w:tcW w:w="0" w:type="auto"/>
            <w:shd w:val="clear" w:color="auto" w:fill="auto"/>
          </w:tcPr>
          <w:p w14:paraId="42417DD4" w14:textId="77777777" w:rsidR="004672DB" w:rsidRPr="00B85D62" w:rsidRDefault="004672DB" w:rsidP="004672DB">
            <w:r w:rsidRPr="00B85D62">
              <w:rPr>
                <w:rFonts w:eastAsia="Arial" w:cs="Arial"/>
                <w:sz w:val="18"/>
                <w:szCs w:val="18"/>
              </w:rPr>
              <w:t>Coronary thrombosis</w:t>
            </w:r>
          </w:p>
        </w:tc>
      </w:tr>
      <w:tr w:rsidR="004672DB" w:rsidRPr="00B85D62" w14:paraId="5343CD44" w14:textId="77777777" w:rsidTr="00B85D62">
        <w:trPr>
          <w:cantSplit/>
        </w:trPr>
        <w:tc>
          <w:tcPr>
            <w:tcW w:w="0" w:type="auto"/>
            <w:shd w:val="clear" w:color="auto" w:fill="auto"/>
          </w:tcPr>
          <w:p w14:paraId="3B435177" w14:textId="77777777" w:rsidR="004672DB" w:rsidRPr="00B85D62" w:rsidRDefault="004672DB" w:rsidP="004672DB">
            <w:r w:rsidRPr="00B85D62">
              <w:rPr>
                <w:rFonts w:eastAsia="Arial" w:cs="Arial"/>
                <w:sz w:val="18"/>
                <w:szCs w:val="18"/>
              </w:rPr>
              <w:t>30421</w:t>
            </w:r>
          </w:p>
        </w:tc>
        <w:tc>
          <w:tcPr>
            <w:tcW w:w="0" w:type="auto"/>
            <w:shd w:val="clear" w:color="auto" w:fill="auto"/>
          </w:tcPr>
          <w:p w14:paraId="20990F8F" w14:textId="77777777" w:rsidR="004672DB" w:rsidRPr="00B85D62" w:rsidRDefault="004672DB" w:rsidP="004672DB">
            <w:r w:rsidRPr="00B85D62">
              <w:rPr>
                <w:rFonts w:eastAsia="Arial" w:cs="Arial"/>
                <w:sz w:val="18"/>
                <w:szCs w:val="18"/>
              </w:rPr>
              <w:t>G30..13</w:t>
            </w:r>
          </w:p>
        </w:tc>
        <w:tc>
          <w:tcPr>
            <w:tcW w:w="0" w:type="auto"/>
            <w:shd w:val="clear" w:color="auto" w:fill="auto"/>
          </w:tcPr>
          <w:p w14:paraId="2AF6A5CF" w14:textId="77777777" w:rsidR="004672DB" w:rsidRPr="00B85D62" w:rsidRDefault="004672DB" w:rsidP="004672DB">
            <w:r w:rsidRPr="00B85D62">
              <w:rPr>
                <w:rFonts w:eastAsia="Arial" w:cs="Arial"/>
                <w:sz w:val="18"/>
                <w:szCs w:val="18"/>
              </w:rPr>
              <w:t>Cardiac rupture following myocardial infarction (MI)</w:t>
            </w:r>
          </w:p>
        </w:tc>
      </w:tr>
      <w:tr w:rsidR="004672DB" w:rsidRPr="00B85D62" w14:paraId="64660C35" w14:textId="77777777" w:rsidTr="00B85D62">
        <w:trPr>
          <w:cantSplit/>
        </w:trPr>
        <w:tc>
          <w:tcPr>
            <w:tcW w:w="0" w:type="auto"/>
            <w:shd w:val="clear" w:color="auto" w:fill="auto"/>
          </w:tcPr>
          <w:p w14:paraId="6B268616" w14:textId="77777777" w:rsidR="004672DB" w:rsidRPr="00B85D62" w:rsidRDefault="004672DB" w:rsidP="004672DB">
            <w:r w:rsidRPr="00B85D62">
              <w:rPr>
                <w:rFonts w:eastAsia="Arial" w:cs="Arial"/>
                <w:sz w:val="18"/>
                <w:szCs w:val="18"/>
              </w:rPr>
              <w:t>1677</w:t>
            </w:r>
          </w:p>
        </w:tc>
        <w:tc>
          <w:tcPr>
            <w:tcW w:w="0" w:type="auto"/>
            <w:shd w:val="clear" w:color="auto" w:fill="auto"/>
          </w:tcPr>
          <w:p w14:paraId="3FF2F8C5" w14:textId="77777777" w:rsidR="004672DB" w:rsidRPr="00B85D62" w:rsidRDefault="004672DB" w:rsidP="004672DB">
            <w:r w:rsidRPr="00B85D62">
              <w:rPr>
                <w:rFonts w:eastAsia="Arial" w:cs="Arial"/>
                <w:sz w:val="18"/>
                <w:szCs w:val="18"/>
              </w:rPr>
              <w:t>G30..15</w:t>
            </w:r>
          </w:p>
        </w:tc>
        <w:tc>
          <w:tcPr>
            <w:tcW w:w="0" w:type="auto"/>
            <w:shd w:val="clear" w:color="auto" w:fill="auto"/>
          </w:tcPr>
          <w:p w14:paraId="673E844B" w14:textId="5D14C600" w:rsidR="004672DB" w:rsidRPr="00B85D62" w:rsidRDefault="004672DB" w:rsidP="004672DB">
            <w:r w:rsidRPr="00B85D62">
              <w:rPr>
                <w:rFonts w:eastAsia="Arial" w:cs="Arial"/>
                <w:sz w:val="18"/>
                <w:szCs w:val="18"/>
              </w:rPr>
              <w:t>MI</w:t>
            </w:r>
            <w:r w:rsidR="00B85D62" w:rsidRPr="00B85D62">
              <w:rPr>
                <w:rFonts w:eastAsia="Arial" w:cs="Arial"/>
                <w:color w:val="00B0F0"/>
                <w:sz w:val="18"/>
                <w:szCs w:val="18"/>
              </w:rPr>
              <w:t xml:space="preserve"> – </w:t>
            </w:r>
            <w:r w:rsidRPr="00B85D62">
              <w:rPr>
                <w:rFonts w:eastAsia="Arial" w:cs="Arial"/>
                <w:sz w:val="18"/>
                <w:szCs w:val="18"/>
              </w:rPr>
              <w:t>acute myocardial infarction</w:t>
            </w:r>
          </w:p>
        </w:tc>
      </w:tr>
      <w:tr w:rsidR="004672DB" w:rsidRPr="00B85D62" w14:paraId="0745D433" w14:textId="77777777" w:rsidTr="00B85D62">
        <w:trPr>
          <w:cantSplit/>
        </w:trPr>
        <w:tc>
          <w:tcPr>
            <w:tcW w:w="0" w:type="auto"/>
            <w:shd w:val="clear" w:color="auto" w:fill="auto"/>
          </w:tcPr>
          <w:p w14:paraId="39EF3ABA" w14:textId="77777777" w:rsidR="004672DB" w:rsidRPr="00B85D62" w:rsidRDefault="004672DB" w:rsidP="004672DB">
            <w:r w:rsidRPr="00B85D62">
              <w:rPr>
                <w:rFonts w:eastAsia="Arial" w:cs="Arial"/>
                <w:sz w:val="18"/>
                <w:szCs w:val="18"/>
              </w:rPr>
              <w:t>13571</w:t>
            </w:r>
          </w:p>
        </w:tc>
        <w:tc>
          <w:tcPr>
            <w:tcW w:w="0" w:type="auto"/>
            <w:shd w:val="clear" w:color="auto" w:fill="auto"/>
          </w:tcPr>
          <w:p w14:paraId="29ACB382" w14:textId="77777777" w:rsidR="004672DB" w:rsidRPr="00B85D62" w:rsidRDefault="004672DB" w:rsidP="004672DB">
            <w:r w:rsidRPr="00B85D62">
              <w:rPr>
                <w:rFonts w:eastAsia="Arial" w:cs="Arial"/>
                <w:sz w:val="18"/>
                <w:szCs w:val="18"/>
              </w:rPr>
              <w:t>G30..16</w:t>
            </w:r>
          </w:p>
        </w:tc>
        <w:tc>
          <w:tcPr>
            <w:tcW w:w="0" w:type="auto"/>
            <w:shd w:val="clear" w:color="auto" w:fill="auto"/>
          </w:tcPr>
          <w:p w14:paraId="616F5612" w14:textId="7D9F485C" w:rsidR="004672DB" w:rsidRPr="00B85D62" w:rsidRDefault="004672DB" w:rsidP="004672DB">
            <w:r w:rsidRPr="00B85D62">
              <w:rPr>
                <w:rFonts w:eastAsia="Arial" w:cs="Arial"/>
                <w:sz w:val="18"/>
                <w:szCs w:val="18"/>
              </w:rPr>
              <w:t>Thrombosis</w:t>
            </w:r>
            <w:r w:rsidR="00B85D62" w:rsidRPr="00B85D62">
              <w:rPr>
                <w:rFonts w:eastAsia="Arial" w:cs="Arial"/>
                <w:color w:val="00B0F0"/>
                <w:sz w:val="18"/>
                <w:szCs w:val="18"/>
              </w:rPr>
              <w:t xml:space="preserve"> – </w:t>
            </w:r>
            <w:r w:rsidRPr="00B85D62">
              <w:rPr>
                <w:rFonts w:eastAsia="Arial" w:cs="Arial"/>
                <w:sz w:val="18"/>
                <w:szCs w:val="18"/>
              </w:rPr>
              <w:t>coronary</w:t>
            </w:r>
          </w:p>
        </w:tc>
      </w:tr>
      <w:tr w:rsidR="004672DB" w:rsidRPr="00B85D62" w14:paraId="1DA9C43B" w14:textId="77777777" w:rsidTr="00B85D62">
        <w:trPr>
          <w:cantSplit/>
        </w:trPr>
        <w:tc>
          <w:tcPr>
            <w:tcW w:w="0" w:type="auto"/>
            <w:shd w:val="clear" w:color="auto" w:fill="auto"/>
          </w:tcPr>
          <w:p w14:paraId="1CEA4BF9" w14:textId="77777777" w:rsidR="004672DB" w:rsidRPr="00B85D62" w:rsidRDefault="004672DB" w:rsidP="004672DB">
            <w:r w:rsidRPr="00B85D62">
              <w:rPr>
                <w:rFonts w:eastAsia="Arial" w:cs="Arial"/>
                <w:sz w:val="18"/>
                <w:szCs w:val="18"/>
              </w:rPr>
              <w:t>17689</w:t>
            </w:r>
          </w:p>
        </w:tc>
        <w:tc>
          <w:tcPr>
            <w:tcW w:w="0" w:type="auto"/>
            <w:shd w:val="clear" w:color="auto" w:fill="auto"/>
          </w:tcPr>
          <w:p w14:paraId="63713FB6" w14:textId="77777777" w:rsidR="004672DB" w:rsidRPr="00B85D62" w:rsidRDefault="004672DB" w:rsidP="004672DB">
            <w:r w:rsidRPr="00B85D62">
              <w:rPr>
                <w:rFonts w:eastAsia="Arial" w:cs="Arial"/>
                <w:sz w:val="18"/>
                <w:szCs w:val="18"/>
              </w:rPr>
              <w:t>G30..17</w:t>
            </w:r>
          </w:p>
        </w:tc>
        <w:tc>
          <w:tcPr>
            <w:tcW w:w="0" w:type="auto"/>
            <w:shd w:val="clear" w:color="auto" w:fill="auto"/>
          </w:tcPr>
          <w:p w14:paraId="0AA60210" w14:textId="77777777" w:rsidR="004672DB" w:rsidRPr="00B85D62" w:rsidRDefault="004672DB" w:rsidP="004672DB">
            <w:r w:rsidRPr="00B85D62">
              <w:rPr>
                <w:rFonts w:eastAsia="Arial" w:cs="Arial"/>
                <w:sz w:val="18"/>
                <w:szCs w:val="18"/>
              </w:rPr>
              <w:t>Silent myocardial infarction</w:t>
            </w:r>
          </w:p>
        </w:tc>
      </w:tr>
      <w:tr w:rsidR="004672DB" w:rsidRPr="00B85D62" w14:paraId="75F37AF1" w14:textId="77777777" w:rsidTr="00B85D62">
        <w:trPr>
          <w:cantSplit/>
        </w:trPr>
        <w:tc>
          <w:tcPr>
            <w:tcW w:w="0" w:type="auto"/>
            <w:shd w:val="clear" w:color="auto" w:fill="auto"/>
          </w:tcPr>
          <w:p w14:paraId="14D9C98D" w14:textId="77777777" w:rsidR="004672DB" w:rsidRPr="00B85D62" w:rsidRDefault="004672DB" w:rsidP="004672DB">
            <w:r w:rsidRPr="00B85D62">
              <w:rPr>
                <w:rFonts w:eastAsia="Arial" w:cs="Arial"/>
                <w:sz w:val="18"/>
                <w:szCs w:val="18"/>
              </w:rPr>
              <w:t>12139</w:t>
            </w:r>
          </w:p>
        </w:tc>
        <w:tc>
          <w:tcPr>
            <w:tcW w:w="0" w:type="auto"/>
            <w:shd w:val="clear" w:color="auto" w:fill="auto"/>
          </w:tcPr>
          <w:p w14:paraId="0215EFF5" w14:textId="77777777" w:rsidR="004672DB" w:rsidRPr="00B85D62" w:rsidRDefault="004672DB" w:rsidP="004672DB">
            <w:r w:rsidRPr="00B85D62">
              <w:rPr>
                <w:rFonts w:eastAsia="Arial" w:cs="Arial"/>
                <w:sz w:val="18"/>
                <w:szCs w:val="18"/>
              </w:rPr>
              <w:t>G300.00</w:t>
            </w:r>
          </w:p>
        </w:tc>
        <w:tc>
          <w:tcPr>
            <w:tcW w:w="0" w:type="auto"/>
            <w:shd w:val="clear" w:color="auto" w:fill="auto"/>
          </w:tcPr>
          <w:p w14:paraId="1EA3334B" w14:textId="77777777" w:rsidR="004672DB" w:rsidRPr="00B85D62" w:rsidRDefault="004672DB" w:rsidP="004672DB">
            <w:r w:rsidRPr="00B85D62">
              <w:rPr>
                <w:rFonts w:eastAsia="Arial" w:cs="Arial"/>
                <w:sz w:val="18"/>
                <w:szCs w:val="18"/>
              </w:rPr>
              <w:t>Acute anterolateral infarction</w:t>
            </w:r>
          </w:p>
        </w:tc>
      </w:tr>
      <w:tr w:rsidR="004672DB" w:rsidRPr="00B85D62" w14:paraId="1E6CD6DA" w14:textId="77777777" w:rsidTr="00B85D62">
        <w:trPr>
          <w:cantSplit/>
        </w:trPr>
        <w:tc>
          <w:tcPr>
            <w:tcW w:w="0" w:type="auto"/>
            <w:shd w:val="clear" w:color="auto" w:fill="auto"/>
          </w:tcPr>
          <w:p w14:paraId="18C07753" w14:textId="77777777" w:rsidR="004672DB" w:rsidRPr="00B85D62" w:rsidRDefault="004672DB" w:rsidP="004672DB">
            <w:r w:rsidRPr="00B85D62">
              <w:rPr>
                <w:rFonts w:eastAsia="Arial" w:cs="Arial"/>
                <w:sz w:val="18"/>
                <w:szCs w:val="18"/>
              </w:rPr>
              <w:t>5387</w:t>
            </w:r>
          </w:p>
        </w:tc>
        <w:tc>
          <w:tcPr>
            <w:tcW w:w="0" w:type="auto"/>
            <w:shd w:val="clear" w:color="auto" w:fill="auto"/>
          </w:tcPr>
          <w:p w14:paraId="2AAE63BA" w14:textId="77777777" w:rsidR="004672DB" w:rsidRPr="00B85D62" w:rsidRDefault="004672DB" w:rsidP="004672DB">
            <w:r w:rsidRPr="00B85D62">
              <w:rPr>
                <w:rFonts w:eastAsia="Arial" w:cs="Arial"/>
                <w:sz w:val="18"/>
                <w:szCs w:val="18"/>
              </w:rPr>
              <w:t>G301.00</w:t>
            </w:r>
          </w:p>
        </w:tc>
        <w:tc>
          <w:tcPr>
            <w:tcW w:w="0" w:type="auto"/>
            <w:shd w:val="clear" w:color="auto" w:fill="auto"/>
          </w:tcPr>
          <w:p w14:paraId="7F348F5D" w14:textId="77777777" w:rsidR="004672DB" w:rsidRPr="00B85D62" w:rsidRDefault="004672DB" w:rsidP="004672DB">
            <w:r w:rsidRPr="00B85D62">
              <w:rPr>
                <w:rFonts w:eastAsia="Arial" w:cs="Arial"/>
                <w:sz w:val="18"/>
                <w:szCs w:val="18"/>
              </w:rPr>
              <w:t>Other specified anterior myocardial infarction</w:t>
            </w:r>
          </w:p>
        </w:tc>
      </w:tr>
      <w:tr w:rsidR="004672DB" w:rsidRPr="00B85D62" w14:paraId="2E3170AD" w14:textId="77777777" w:rsidTr="00B85D62">
        <w:trPr>
          <w:cantSplit/>
        </w:trPr>
        <w:tc>
          <w:tcPr>
            <w:tcW w:w="0" w:type="auto"/>
            <w:shd w:val="clear" w:color="auto" w:fill="auto"/>
          </w:tcPr>
          <w:p w14:paraId="507B2A9B" w14:textId="77777777" w:rsidR="004672DB" w:rsidRPr="00B85D62" w:rsidRDefault="004672DB" w:rsidP="004672DB">
            <w:r w:rsidRPr="00B85D62">
              <w:rPr>
                <w:rFonts w:eastAsia="Arial" w:cs="Arial"/>
                <w:sz w:val="18"/>
                <w:szCs w:val="18"/>
              </w:rPr>
              <w:t>40429</w:t>
            </w:r>
          </w:p>
        </w:tc>
        <w:tc>
          <w:tcPr>
            <w:tcW w:w="0" w:type="auto"/>
            <w:shd w:val="clear" w:color="auto" w:fill="auto"/>
          </w:tcPr>
          <w:p w14:paraId="201E6C1B" w14:textId="77777777" w:rsidR="004672DB" w:rsidRPr="00B85D62" w:rsidRDefault="004672DB" w:rsidP="004672DB">
            <w:r w:rsidRPr="00B85D62">
              <w:rPr>
                <w:rFonts w:eastAsia="Arial" w:cs="Arial"/>
                <w:sz w:val="18"/>
                <w:szCs w:val="18"/>
              </w:rPr>
              <w:t>G301000</w:t>
            </w:r>
          </w:p>
        </w:tc>
        <w:tc>
          <w:tcPr>
            <w:tcW w:w="0" w:type="auto"/>
            <w:shd w:val="clear" w:color="auto" w:fill="auto"/>
          </w:tcPr>
          <w:p w14:paraId="4A25FB95" w14:textId="77777777" w:rsidR="004672DB" w:rsidRPr="00B85D62" w:rsidRDefault="004672DB" w:rsidP="004672DB">
            <w:r w:rsidRPr="00B85D62">
              <w:rPr>
                <w:rFonts w:eastAsia="Arial" w:cs="Arial"/>
                <w:sz w:val="18"/>
                <w:szCs w:val="18"/>
              </w:rPr>
              <w:t>Acute anteroapical infarction</w:t>
            </w:r>
          </w:p>
        </w:tc>
      </w:tr>
      <w:tr w:rsidR="004672DB" w:rsidRPr="00B85D62" w14:paraId="5D463F36" w14:textId="77777777" w:rsidTr="00B85D62">
        <w:trPr>
          <w:cantSplit/>
        </w:trPr>
        <w:tc>
          <w:tcPr>
            <w:tcW w:w="0" w:type="auto"/>
            <w:shd w:val="clear" w:color="auto" w:fill="auto"/>
          </w:tcPr>
          <w:p w14:paraId="39BC65C1" w14:textId="77777777" w:rsidR="004672DB" w:rsidRPr="00B85D62" w:rsidRDefault="004672DB" w:rsidP="004672DB">
            <w:r w:rsidRPr="00B85D62">
              <w:rPr>
                <w:rFonts w:eastAsia="Arial" w:cs="Arial"/>
                <w:sz w:val="18"/>
                <w:szCs w:val="18"/>
              </w:rPr>
              <w:t>17872</w:t>
            </w:r>
          </w:p>
        </w:tc>
        <w:tc>
          <w:tcPr>
            <w:tcW w:w="0" w:type="auto"/>
            <w:shd w:val="clear" w:color="auto" w:fill="auto"/>
          </w:tcPr>
          <w:p w14:paraId="0B986CD7" w14:textId="77777777" w:rsidR="004672DB" w:rsidRPr="00B85D62" w:rsidRDefault="004672DB" w:rsidP="004672DB">
            <w:r w:rsidRPr="00B85D62">
              <w:rPr>
                <w:rFonts w:eastAsia="Arial" w:cs="Arial"/>
                <w:sz w:val="18"/>
                <w:szCs w:val="18"/>
              </w:rPr>
              <w:t>G301100</w:t>
            </w:r>
          </w:p>
        </w:tc>
        <w:tc>
          <w:tcPr>
            <w:tcW w:w="0" w:type="auto"/>
            <w:shd w:val="clear" w:color="auto" w:fill="auto"/>
          </w:tcPr>
          <w:p w14:paraId="719431C5" w14:textId="77777777" w:rsidR="004672DB" w:rsidRPr="00B85D62" w:rsidRDefault="004672DB" w:rsidP="004672DB">
            <w:r w:rsidRPr="00B85D62">
              <w:rPr>
                <w:rFonts w:eastAsia="Arial" w:cs="Arial"/>
                <w:sz w:val="18"/>
                <w:szCs w:val="18"/>
              </w:rPr>
              <w:t>Acute anteroseptal infarction</w:t>
            </w:r>
          </w:p>
        </w:tc>
      </w:tr>
      <w:tr w:rsidR="004672DB" w:rsidRPr="00B85D62" w14:paraId="09CDF15F" w14:textId="77777777" w:rsidTr="00B85D62">
        <w:trPr>
          <w:cantSplit/>
        </w:trPr>
        <w:tc>
          <w:tcPr>
            <w:tcW w:w="0" w:type="auto"/>
            <w:shd w:val="clear" w:color="auto" w:fill="auto"/>
          </w:tcPr>
          <w:p w14:paraId="6AF3E324" w14:textId="77777777" w:rsidR="004672DB" w:rsidRPr="00B85D62" w:rsidRDefault="004672DB" w:rsidP="004672DB">
            <w:r w:rsidRPr="00B85D62">
              <w:rPr>
                <w:rFonts w:eastAsia="Arial" w:cs="Arial"/>
                <w:sz w:val="18"/>
                <w:szCs w:val="18"/>
              </w:rPr>
              <w:t>14897</w:t>
            </w:r>
          </w:p>
        </w:tc>
        <w:tc>
          <w:tcPr>
            <w:tcW w:w="0" w:type="auto"/>
            <w:shd w:val="clear" w:color="auto" w:fill="auto"/>
          </w:tcPr>
          <w:p w14:paraId="295DC4D4" w14:textId="77777777" w:rsidR="004672DB" w:rsidRPr="00B85D62" w:rsidRDefault="004672DB" w:rsidP="004672DB">
            <w:r w:rsidRPr="00B85D62">
              <w:rPr>
                <w:rFonts w:eastAsia="Arial" w:cs="Arial"/>
                <w:sz w:val="18"/>
                <w:szCs w:val="18"/>
              </w:rPr>
              <w:t>G301z00</w:t>
            </w:r>
          </w:p>
        </w:tc>
        <w:tc>
          <w:tcPr>
            <w:tcW w:w="0" w:type="auto"/>
            <w:shd w:val="clear" w:color="auto" w:fill="auto"/>
          </w:tcPr>
          <w:p w14:paraId="0D54D076" w14:textId="77777777" w:rsidR="004672DB" w:rsidRPr="00B85D62" w:rsidRDefault="004672DB" w:rsidP="004672DB">
            <w:r w:rsidRPr="00B85D62">
              <w:rPr>
                <w:rFonts w:eastAsia="Arial" w:cs="Arial"/>
                <w:sz w:val="18"/>
                <w:szCs w:val="18"/>
              </w:rPr>
              <w:t>Anterior myocardial infarction NOS</w:t>
            </w:r>
          </w:p>
        </w:tc>
      </w:tr>
      <w:tr w:rsidR="004672DB" w:rsidRPr="00B85D62" w14:paraId="5ECDA0BF" w14:textId="77777777" w:rsidTr="00B85D62">
        <w:trPr>
          <w:cantSplit/>
        </w:trPr>
        <w:tc>
          <w:tcPr>
            <w:tcW w:w="0" w:type="auto"/>
            <w:shd w:val="clear" w:color="auto" w:fill="auto"/>
          </w:tcPr>
          <w:p w14:paraId="3CB18D53" w14:textId="77777777" w:rsidR="004672DB" w:rsidRPr="00B85D62" w:rsidRDefault="004672DB" w:rsidP="004672DB">
            <w:r w:rsidRPr="00B85D62">
              <w:rPr>
                <w:rFonts w:eastAsia="Arial" w:cs="Arial"/>
                <w:sz w:val="18"/>
                <w:szCs w:val="18"/>
              </w:rPr>
              <w:t>8935</w:t>
            </w:r>
          </w:p>
        </w:tc>
        <w:tc>
          <w:tcPr>
            <w:tcW w:w="0" w:type="auto"/>
            <w:shd w:val="clear" w:color="auto" w:fill="auto"/>
          </w:tcPr>
          <w:p w14:paraId="02876B65" w14:textId="77777777" w:rsidR="004672DB" w:rsidRPr="00B85D62" w:rsidRDefault="004672DB" w:rsidP="004672DB">
            <w:r w:rsidRPr="00B85D62">
              <w:rPr>
                <w:rFonts w:eastAsia="Arial" w:cs="Arial"/>
                <w:sz w:val="18"/>
                <w:szCs w:val="18"/>
              </w:rPr>
              <w:t>G302.00</w:t>
            </w:r>
          </w:p>
        </w:tc>
        <w:tc>
          <w:tcPr>
            <w:tcW w:w="0" w:type="auto"/>
            <w:shd w:val="clear" w:color="auto" w:fill="auto"/>
          </w:tcPr>
          <w:p w14:paraId="202FA4AF" w14:textId="77777777" w:rsidR="004672DB" w:rsidRPr="00B85D62" w:rsidRDefault="004672DB" w:rsidP="004672DB">
            <w:r w:rsidRPr="00B85D62">
              <w:rPr>
                <w:rFonts w:eastAsia="Arial" w:cs="Arial"/>
                <w:sz w:val="18"/>
                <w:szCs w:val="18"/>
              </w:rPr>
              <w:t>Acute inferolateral infarction</w:t>
            </w:r>
          </w:p>
        </w:tc>
      </w:tr>
      <w:tr w:rsidR="004672DB" w:rsidRPr="00B85D62" w14:paraId="7D6EF0A4" w14:textId="77777777" w:rsidTr="00B85D62">
        <w:trPr>
          <w:cantSplit/>
        </w:trPr>
        <w:tc>
          <w:tcPr>
            <w:tcW w:w="0" w:type="auto"/>
            <w:shd w:val="clear" w:color="auto" w:fill="auto"/>
          </w:tcPr>
          <w:p w14:paraId="119CA1B2" w14:textId="77777777" w:rsidR="004672DB" w:rsidRPr="00B85D62" w:rsidRDefault="004672DB" w:rsidP="004672DB">
            <w:r w:rsidRPr="00B85D62">
              <w:rPr>
                <w:rFonts w:eastAsia="Arial" w:cs="Arial"/>
                <w:sz w:val="18"/>
                <w:szCs w:val="18"/>
              </w:rPr>
              <w:t>29643</w:t>
            </w:r>
          </w:p>
        </w:tc>
        <w:tc>
          <w:tcPr>
            <w:tcW w:w="0" w:type="auto"/>
            <w:shd w:val="clear" w:color="auto" w:fill="auto"/>
          </w:tcPr>
          <w:p w14:paraId="40F3E921" w14:textId="77777777" w:rsidR="004672DB" w:rsidRPr="00B85D62" w:rsidRDefault="004672DB" w:rsidP="004672DB">
            <w:r w:rsidRPr="00B85D62">
              <w:rPr>
                <w:rFonts w:eastAsia="Arial" w:cs="Arial"/>
                <w:sz w:val="18"/>
                <w:szCs w:val="18"/>
              </w:rPr>
              <w:t>G303.00</w:t>
            </w:r>
          </w:p>
        </w:tc>
        <w:tc>
          <w:tcPr>
            <w:tcW w:w="0" w:type="auto"/>
            <w:shd w:val="clear" w:color="auto" w:fill="auto"/>
          </w:tcPr>
          <w:p w14:paraId="68436B0E" w14:textId="77777777" w:rsidR="004672DB" w:rsidRPr="00B85D62" w:rsidRDefault="004672DB" w:rsidP="004672DB">
            <w:r w:rsidRPr="00B85D62">
              <w:rPr>
                <w:rFonts w:eastAsia="Arial" w:cs="Arial"/>
                <w:sz w:val="18"/>
                <w:szCs w:val="18"/>
              </w:rPr>
              <w:t>Acute inferoposterior infarction</w:t>
            </w:r>
          </w:p>
        </w:tc>
      </w:tr>
      <w:tr w:rsidR="004672DB" w:rsidRPr="00B85D62" w14:paraId="27FCF97A" w14:textId="77777777" w:rsidTr="00B85D62">
        <w:trPr>
          <w:cantSplit/>
        </w:trPr>
        <w:tc>
          <w:tcPr>
            <w:tcW w:w="0" w:type="auto"/>
            <w:shd w:val="clear" w:color="auto" w:fill="auto"/>
          </w:tcPr>
          <w:p w14:paraId="2412CDBF" w14:textId="77777777" w:rsidR="004672DB" w:rsidRPr="00B85D62" w:rsidRDefault="004672DB" w:rsidP="004672DB">
            <w:r w:rsidRPr="00B85D62">
              <w:rPr>
                <w:rFonts w:eastAsia="Arial" w:cs="Arial"/>
                <w:sz w:val="18"/>
                <w:szCs w:val="18"/>
              </w:rPr>
              <w:t>23892</w:t>
            </w:r>
          </w:p>
        </w:tc>
        <w:tc>
          <w:tcPr>
            <w:tcW w:w="0" w:type="auto"/>
            <w:shd w:val="clear" w:color="auto" w:fill="auto"/>
          </w:tcPr>
          <w:p w14:paraId="006BF022" w14:textId="77777777" w:rsidR="004672DB" w:rsidRPr="00B85D62" w:rsidRDefault="004672DB" w:rsidP="004672DB">
            <w:r w:rsidRPr="00B85D62">
              <w:rPr>
                <w:rFonts w:eastAsia="Arial" w:cs="Arial"/>
                <w:sz w:val="18"/>
                <w:szCs w:val="18"/>
              </w:rPr>
              <w:t>G304.00</w:t>
            </w:r>
          </w:p>
        </w:tc>
        <w:tc>
          <w:tcPr>
            <w:tcW w:w="0" w:type="auto"/>
            <w:shd w:val="clear" w:color="auto" w:fill="auto"/>
          </w:tcPr>
          <w:p w14:paraId="47E7F05D" w14:textId="77777777" w:rsidR="004672DB" w:rsidRPr="00B85D62" w:rsidRDefault="004672DB" w:rsidP="004672DB">
            <w:r w:rsidRPr="00B85D62">
              <w:rPr>
                <w:rFonts w:eastAsia="Arial" w:cs="Arial"/>
                <w:sz w:val="18"/>
                <w:szCs w:val="18"/>
              </w:rPr>
              <w:t>Posterior myocardial infarction NOS</w:t>
            </w:r>
          </w:p>
        </w:tc>
      </w:tr>
      <w:tr w:rsidR="004672DB" w:rsidRPr="00B85D62" w14:paraId="7DA5BA9B" w14:textId="77777777" w:rsidTr="00B85D62">
        <w:trPr>
          <w:cantSplit/>
        </w:trPr>
        <w:tc>
          <w:tcPr>
            <w:tcW w:w="0" w:type="auto"/>
            <w:shd w:val="clear" w:color="auto" w:fill="auto"/>
          </w:tcPr>
          <w:p w14:paraId="2EFB8C85" w14:textId="77777777" w:rsidR="004672DB" w:rsidRPr="00B85D62" w:rsidRDefault="004672DB" w:rsidP="004672DB">
            <w:r w:rsidRPr="00B85D62">
              <w:rPr>
                <w:rFonts w:eastAsia="Arial" w:cs="Arial"/>
                <w:sz w:val="18"/>
                <w:szCs w:val="18"/>
              </w:rPr>
              <w:t>14898</w:t>
            </w:r>
          </w:p>
        </w:tc>
        <w:tc>
          <w:tcPr>
            <w:tcW w:w="0" w:type="auto"/>
            <w:shd w:val="clear" w:color="auto" w:fill="auto"/>
          </w:tcPr>
          <w:p w14:paraId="034AA3EF" w14:textId="77777777" w:rsidR="004672DB" w:rsidRPr="00B85D62" w:rsidRDefault="004672DB" w:rsidP="004672DB">
            <w:r w:rsidRPr="00B85D62">
              <w:rPr>
                <w:rFonts w:eastAsia="Arial" w:cs="Arial"/>
                <w:sz w:val="18"/>
                <w:szCs w:val="18"/>
              </w:rPr>
              <w:t>G305.00</w:t>
            </w:r>
          </w:p>
        </w:tc>
        <w:tc>
          <w:tcPr>
            <w:tcW w:w="0" w:type="auto"/>
            <w:shd w:val="clear" w:color="auto" w:fill="auto"/>
          </w:tcPr>
          <w:p w14:paraId="617FC497" w14:textId="77777777" w:rsidR="004672DB" w:rsidRPr="00B85D62" w:rsidRDefault="004672DB" w:rsidP="004672DB">
            <w:r w:rsidRPr="00B85D62">
              <w:rPr>
                <w:rFonts w:eastAsia="Arial" w:cs="Arial"/>
                <w:sz w:val="18"/>
                <w:szCs w:val="18"/>
              </w:rPr>
              <w:t>Lateral myocardial infarction NOS</w:t>
            </w:r>
          </w:p>
        </w:tc>
      </w:tr>
      <w:tr w:rsidR="004672DB" w:rsidRPr="00B85D62" w14:paraId="4F8B7DF0" w14:textId="77777777" w:rsidTr="00B85D62">
        <w:trPr>
          <w:cantSplit/>
        </w:trPr>
        <w:tc>
          <w:tcPr>
            <w:tcW w:w="0" w:type="auto"/>
            <w:shd w:val="clear" w:color="auto" w:fill="auto"/>
          </w:tcPr>
          <w:p w14:paraId="59F4D6C6" w14:textId="77777777" w:rsidR="004672DB" w:rsidRPr="00B85D62" w:rsidRDefault="004672DB" w:rsidP="004672DB">
            <w:r w:rsidRPr="00B85D62">
              <w:rPr>
                <w:rFonts w:eastAsia="Arial" w:cs="Arial"/>
                <w:sz w:val="18"/>
                <w:szCs w:val="18"/>
              </w:rPr>
              <w:t>63467</w:t>
            </w:r>
          </w:p>
        </w:tc>
        <w:tc>
          <w:tcPr>
            <w:tcW w:w="0" w:type="auto"/>
            <w:shd w:val="clear" w:color="auto" w:fill="auto"/>
          </w:tcPr>
          <w:p w14:paraId="20E05D8C" w14:textId="77777777" w:rsidR="004672DB" w:rsidRPr="00B85D62" w:rsidRDefault="004672DB" w:rsidP="004672DB">
            <w:r w:rsidRPr="00B85D62">
              <w:rPr>
                <w:rFonts w:eastAsia="Arial" w:cs="Arial"/>
                <w:sz w:val="18"/>
                <w:szCs w:val="18"/>
              </w:rPr>
              <w:t>G306.00</w:t>
            </w:r>
          </w:p>
        </w:tc>
        <w:tc>
          <w:tcPr>
            <w:tcW w:w="0" w:type="auto"/>
            <w:shd w:val="clear" w:color="auto" w:fill="auto"/>
          </w:tcPr>
          <w:p w14:paraId="5A7181C0" w14:textId="77777777" w:rsidR="004672DB" w:rsidRPr="00B85D62" w:rsidRDefault="004672DB" w:rsidP="004672DB">
            <w:r w:rsidRPr="00B85D62">
              <w:rPr>
                <w:rFonts w:eastAsia="Arial" w:cs="Arial"/>
                <w:sz w:val="18"/>
                <w:szCs w:val="18"/>
              </w:rPr>
              <w:t>True posterior myocardial infarction</w:t>
            </w:r>
          </w:p>
        </w:tc>
      </w:tr>
      <w:tr w:rsidR="004672DB" w:rsidRPr="00B85D62" w14:paraId="2E04EBC5" w14:textId="77777777" w:rsidTr="00B85D62">
        <w:trPr>
          <w:cantSplit/>
        </w:trPr>
        <w:tc>
          <w:tcPr>
            <w:tcW w:w="0" w:type="auto"/>
            <w:shd w:val="clear" w:color="auto" w:fill="auto"/>
          </w:tcPr>
          <w:p w14:paraId="356B3C33" w14:textId="77777777" w:rsidR="004672DB" w:rsidRPr="00B85D62" w:rsidRDefault="004672DB" w:rsidP="004672DB">
            <w:r w:rsidRPr="00B85D62">
              <w:rPr>
                <w:rFonts w:eastAsia="Arial" w:cs="Arial"/>
                <w:sz w:val="18"/>
                <w:szCs w:val="18"/>
              </w:rPr>
              <w:t>3704</w:t>
            </w:r>
          </w:p>
        </w:tc>
        <w:tc>
          <w:tcPr>
            <w:tcW w:w="0" w:type="auto"/>
            <w:shd w:val="clear" w:color="auto" w:fill="auto"/>
          </w:tcPr>
          <w:p w14:paraId="6DF14C76" w14:textId="77777777" w:rsidR="004672DB" w:rsidRPr="00B85D62" w:rsidRDefault="004672DB" w:rsidP="004672DB">
            <w:r w:rsidRPr="00B85D62">
              <w:rPr>
                <w:rFonts w:eastAsia="Arial" w:cs="Arial"/>
                <w:sz w:val="18"/>
                <w:szCs w:val="18"/>
              </w:rPr>
              <w:t>G307.00</w:t>
            </w:r>
          </w:p>
        </w:tc>
        <w:tc>
          <w:tcPr>
            <w:tcW w:w="0" w:type="auto"/>
            <w:shd w:val="clear" w:color="auto" w:fill="auto"/>
          </w:tcPr>
          <w:p w14:paraId="5D0F4633" w14:textId="77777777" w:rsidR="004672DB" w:rsidRPr="00B85D62" w:rsidRDefault="004672DB" w:rsidP="004672DB">
            <w:r w:rsidRPr="00B85D62">
              <w:rPr>
                <w:rFonts w:eastAsia="Arial" w:cs="Arial"/>
                <w:sz w:val="18"/>
                <w:szCs w:val="18"/>
              </w:rPr>
              <w:t>Acute subendocardial infarction</w:t>
            </w:r>
          </w:p>
        </w:tc>
      </w:tr>
      <w:tr w:rsidR="004672DB" w:rsidRPr="00B85D62" w14:paraId="032C5E7E" w14:textId="77777777" w:rsidTr="00B85D62">
        <w:trPr>
          <w:cantSplit/>
        </w:trPr>
        <w:tc>
          <w:tcPr>
            <w:tcW w:w="0" w:type="auto"/>
            <w:shd w:val="clear" w:color="auto" w:fill="auto"/>
          </w:tcPr>
          <w:p w14:paraId="0DD5A4DC" w14:textId="77777777" w:rsidR="004672DB" w:rsidRPr="00B85D62" w:rsidRDefault="004672DB" w:rsidP="004672DB">
            <w:r w:rsidRPr="00B85D62">
              <w:rPr>
                <w:rFonts w:eastAsia="Arial" w:cs="Arial"/>
                <w:sz w:val="18"/>
                <w:szCs w:val="18"/>
              </w:rPr>
              <w:t>9507</w:t>
            </w:r>
          </w:p>
        </w:tc>
        <w:tc>
          <w:tcPr>
            <w:tcW w:w="0" w:type="auto"/>
            <w:shd w:val="clear" w:color="auto" w:fill="auto"/>
          </w:tcPr>
          <w:p w14:paraId="5822398D" w14:textId="77777777" w:rsidR="004672DB" w:rsidRPr="00B85D62" w:rsidRDefault="004672DB" w:rsidP="004672DB">
            <w:r w:rsidRPr="00B85D62">
              <w:rPr>
                <w:rFonts w:eastAsia="Arial" w:cs="Arial"/>
                <w:sz w:val="18"/>
                <w:szCs w:val="18"/>
              </w:rPr>
              <w:t>G307000</w:t>
            </w:r>
          </w:p>
        </w:tc>
        <w:tc>
          <w:tcPr>
            <w:tcW w:w="0" w:type="auto"/>
            <w:shd w:val="clear" w:color="auto" w:fill="auto"/>
          </w:tcPr>
          <w:p w14:paraId="3406C7D1" w14:textId="77777777" w:rsidR="004672DB" w:rsidRPr="00B85D62" w:rsidRDefault="004672DB" w:rsidP="004672DB">
            <w:r w:rsidRPr="00B85D62">
              <w:rPr>
                <w:rFonts w:eastAsia="Arial" w:cs="Arial"/>
                <w:sz w:val="18"/>
                <w:szCs w:val="18"/>
              </w:rPr>
              <w:t xml:space="preserve">Acute non-Q </w:t>
            </w:r>
            <w:r w:rsidRPr="00B85D62">
              <w:rPr>
                <w:rFonts w:eastAsia="Arial" w:cs="Arial"/>
                <w:sz w:val="18"/>
                <w:szCs w:val="18"/>
                <w:highlight w:val="magenta"/>
              </w:rPr>
              <w:t>wave</w:t>
            </w:r>
            <w:r w:rsidRPr="00B85D62">
              <w:rPr>
                <w:rFonts w:eastAsia="Arial" w:cs="Arial"/>
                <w:sz w:val="18"/>
                <w:szCs w:val="18"/>
              </w:rPr>
              <w:t xml:space="preserve"> infarction</w:t>
            </w:r>
          </w:p>
        </w:tc>
      </w:tr>
      <w:tr w:rsidR="004672DB" w:rsidRPr="00B85D62" w14:paraId="55CC0574" w14:textId="77777777" w:rsidTr="00B85D62">
        <w:trPr>
          <w:cantSplit/>
        </w:trPr>
        <w:tc>
          <w:tcPr>
            <w:tcW w:w="0" w:type="auto"/>
            <w:shd w:val="clear" w:color="auto" w:fill="auto"/>
          </w:tcPr>
          <w:p w14:paraId="5831B8C7" w14:textId="77777777" w:rsidR="004672DB" w:rsidRPr="00B85D62" w:rsidRDefault="004672DB" w:rsidP="004672DB">
            <w:r w:rsidRPr="00B85D62">
              <w:rPr>
                <w:rFonts w:eastAsia="Arial" w:cs="Arial"/>
                <w:sz w:val="18"/>
                <w:szCs w:val="18"/>
              </w:rPr>
              <w:t>10562</w:t>
            </w:r>
          </w:p>
        </w:tc>
        <w:tc>
          <w:tcPr>
            <w:tcW w:w="0" w:type="auto"/>
            <w:shd w:val="clear" w:color="auto" w:fill="auto"/>
          </w:tcPr>
          <w:p w14:paraId="068A7C32" w14:textId="77777777" w:rsidR="004672DB" w:rsidRPr="00B85D62" w:rsidRDefault="004672DB" w:rsidP="004672DB">
            <w:r w:rsidRPr="00B85D62">
              <w:rPr>
                <w:rFonts w:eastAsia="Arial" w:cs="Arial"/>
                <w:sz w:val="18"/>
                <w:szCs w:val="18"/>
              </w:rPr>
              <w:t>G307100</w:t>
            </w:r>
          </w:p>
        </w:tc>
        <w:tc>
          <w:tcPr>
            <w:tcW w:w="0" w:type="auto"/>
            <w:shd w:val="clear" w:color="auto" w:fill="auto"/>
          </w:tcPr>
          <w:p w14:paraId="09CB42BD" w14:textId="77777777" w:rsidR="004672DB" w:rsidRPr="00B85D62" w:rsidRDefault="004672DB" w:rsidP="004672DB">
            <w:r w:rsidRPr="00B85D62">
              <w:rPr>
                <w:rFonts w:eastAsia="Arial" w:cs="Arial"/>
                <w:sz w:val="18"/>
                <w:szCs w:val="18"/>
              </w:rPr>
              <w:t>Acute non-ST segment elevation myocardial infarction</w:t>
            </w:r>
          </w:p>
        </w:tc>
      </w:tr>
      <w:tr w:rsidR="004672DB" w:rsidRPr="00B85D62" w14:paraId="746A3B78" w14:textId="77777777" w:rsidTr="00B85D62">
        <w:trPr>
          <w:cantSplit/>
        </w:trPr>
        <w:tc>
          <w:tcPr>
            <w:tcW w:w="0" w:type="auto"/>
            <w:shd w:val="clear" w:color="auto" w:fill="auto"/>
          </w:tcPr>
          <w:p w14:paraId="0EFA2735" w14:textId="77777777" w:rsidR="004672DB" w:rsidRPr="00B85D62" w:rsidRDefault="004672DB" w:rsidP="004672DB">
            <w:r w:rsidRPr="00B85D62">
              <w:rPr>
                <w:rFonts w:eastAsia="Arial" w:cs="Arial"/>
                <w:sz w:val="18"/>
                <w:szCs w:val="18"/>
              </w:rPr>
              <w:t>1678</w:t>
            </w:r>
          </w:p>
        </w:tc>
        <w:tc>
          <w:tcPr>
            <w:tcW w:w="0" w:type="auto"/>
            <w:shd w:val="clear" w:color="auto" w:fill="auto"/>
          </w:tcPr>
          <w:p w14:paraId="2DBEDD98" w14:textId="77777777" w:rsidR="004672DB" w:rsidRPr="00B85D62" w:rsidRDefault="004672DB" w:rsidP="004672DB">
            <w:r w:rsidRPr="00B85D62">
              <w:rPr>
                <w:rFonts w:eastAsia="Arial" w:cs="Arial"/>
                <w:sz w:val="18"/>
                <w:szCs w:val="18"/>
              </w:rPr>
              <w:t>G308.00</w:t>
            </w:r>
          </w:p>
        </w:tc>
        <w:tc>
          <w:tcPr>
            <w:tcW w:w="0" w:type="auto"/>
            <w:shd w:val="clear" w:color="auto" w:fill="auto"/>
          </w:tcPr>
          <w:p w14:paraId="0E47D2AF" w14:textId="77777777" w:rsidR="004672DB" w:rsidRPr="00B85D62" w:rsidRDefault="004672DB" w:rsidP="004672DB">
            <w:r w:rsidRPr="00B85D62">
              <w:rPr>
                <w:rFonts w:eastAsia="Arial" w:cs="Arial"/>
                <w:sz w:val="18"/>
                <w:szCs w:val="18"/>
              </w:rPr>
              <w:t>Inferior myocardial infarction NOS</w:t>
            </w:r>
          </w:p>
        </w:tc>
      </w:tr>
      <w:tr w:rsidR="004672DB" w:rsidRPr="00B85D62" w14:paraId="7CA987F8" w14:textId="77777777" w:rsidTr="00B85D62">
        <w:trPr>
          <w:cantSplit/>
        </w:trPr>
        <w:tc>
          <w:tcPr>
            <w:tcW w:w="0" w:type="auto"/>
            <w:shd w:val="clear" w:color="auto" w:fill="auto"/>
          </w:tcPr>
          <w:p w14:paraId="2A7857C4" w14:textId="77777777" w:rsidR="004672DB" w:rsidRPr="00B85D62" w:rsidRDefault="004672DB" w:rsidP="004672DB">
            <w:r w:rsidRPr="00B85D62">
              <w:rPr>
                <w:rFonts w:eastAsia="Arial" w:cs="Arial"/>
                <w:sz w:val="18"/>
                <w:szCs w:val="18"/>
              </w:rPr>
              <w:t>30330</w:t>
            </w:r>
          </w:p>
        </w:tc>
        <w:tc>
          <w:tcPr>
            <w:tcW w:w="0" w:type="auto"/>
            <w:shd w:val="clear" w:color="auto" w:fill="auto"/>
          </w:tcPr>
          <w:p w14:paraId="65CBC6B4" w14:textId="77777777" w:rsidR="004672DB" w:rsidRPr="00B85D62" w:rsidRDefault="004672DB" w:rsidP="004672DB">
            <w:r w:rsidRPr="00B85D62">
              <w:rPr>
                <w:rFonts w:eastAsia="Arial" w:cs="Arial"/>
                <w:sz w:val="18"/>
                <w:szCs w:val="18"/>
              </w:rPr>
              <w:t>G309.00</w:t>
            </w:r>
          </w:p>
        </w:tc>
        <w:tc>
          <w:tcPr>
            <w:tcW w:w="0" w:type="auto"/>
            <w:shd w:val="clear" w:color="auto" w:fill="auto"/>
          </w:tcPr>
          <w:p w14:paraId="5592D2B0" w14:textId="77777777" w:rsidR="004672DB" w:rsidRPr="00B85D62" w:rsidRDefault="004672DB" w:rsidP="004672DB">
            <w:r w:rsidRPr="00B85D62">
              <w:rPr>
                <w:rFonts w:eastAsia="Arial" w:cs="Arial"/>
                <w:sz w:val="18"/>
                <w:szCs w:val="18"/>
              </w:rPr>
              <w:t>Acute Q-</w:t>
            </w:r>
            <w:r w:rsidRPr="00B85D62">
              <w:rPr>
                <w:rFonts w:eastAsia="Arial" w:cs="Arial"/>
                <w:sz w:val="18"/>
                <w:szCs w:val="18"/>
                <w:highlight w:val="magenta"/>
              </w:rPr>
              <w:t>wave</w:t>
            </w:r>
            <w:r w:rsidRPr="00B85D62">
              <w:rPr>
                <w:rFonts w:eastAsia="Arial" w:cs="Arial"/>
                <w:sz w:val="18"/>
                <w:szCs w:val="18"/>
              </w:rPr>
              <w:t xml:space="preserve"> infarct</w:t>
            </w:r>
          </w:p>
        </w:tc>
      </w:tr>
      <w:tr w:rsidR="004672DB" w:rsidRPr="00B85D62" w14:paraId="6ED9E59B" w14:textId="77777777" w:rsidTr="00B85D62">
        <w:trPr>
          <w:cantSplit/>
        </w:trPr>
        <w:tc>
          <w:tcPr>
            <w:tcW w:w="0" w:type="auto"/>
            <w:shd w:val="clear" w:color="auto" w:fill="auto"/>
          </w:tcPr>
          <w:p w14:paraId="0ED233BA" w14:textId="77777777" w:rsidR="004672DB" w:rsidRPr="00B85D62" w:rsidRDefault="004672DB" w:rsidP="004672DB">
            <w:r w:rsidRPr="00B85D62">
              <w:rPr>
                <w:rFonts w:eastAsia="Arial" w:cs="Arial"/>
                <w:sz w:val="18"/>
                <w:szCs w:val="18"/>
              </w:rPr>
              <w:t>32854</w:t>
            </w:r>
          </w:p>
        </w:tc>
        <w:tc>
          <w:tcPr>
            <w:tcW w:w="0" w:type="auto"/>
            <w:shd w:val="clear" w:color="auto" w:fill="auto"/>
          </w:tcPr>
          <w:p w14:paraId="31171926" w14:textId="77777777" w:rsidR="004672DB" w:rsidRPr="00B85D62" w:rsidRDefault="004672DB" w:rsidP="004672DB">
            <w:r w:rsidRPr="00B85D62">
              <w:rPr>
                <w:rFonts w:eastAsia="Arial" w:cs="Arial"/>
                <w:sz w:val="18"/>
                <w:szCs w:val="18"/>
              </w:rPr>
              <w:t>G30B.00</w:t>
            </w:r>
          </w:p>
        </w:tc>
        <w:tc>
          <w:tcPr>
            <w:tcW w:w="0" w:type="auto"/>
            <w:shd w:val="clear" w:color="auto" w:fill="auto"/>
          </w:tcPr>
          <w:p w14:paraId="5E2C9195" w14:textId="77777777" w:rsidR="004672DB" w:rsidRPr="00B85D62" w:rsidRDefault="004672DB" w:rsidP="004672DB">
            <w:r w:rsidRPr="00B85D62">
              <w:rPr>
                <w:rFonts w:eastAsia="Arial" w:cs="Arial"/>
                <w:sz w:val="18"/>
                <w:szCs w:val="18"/>
              </w:rPr>
              <w:t>Acute posterolateral myocardial infarction</w:t>
            </w:r>
          </w:p>
        </w:tc>
      </w:tr>
      <w:tr w:rsidR="004672DB" w:rsidRPr="00B85D62" w14:paraId="0F815191" w14:textId="77777777" w:rsidTr="00B85D62">
        <w:trPr>
          <w:cantSplit/>
        </w:trPr>
        <w:tc>
          <w:tcPr>
            <w:tcW w:w="0" w:type="auto"/>
            <w:shd w:val="clear" w:color="auto" w:fill="auto"/>
          </w:tcPr>
          <w:p w14:paraId="384A5B67" w14:textId="77777777" w:rsidR="004672DB" w:rsidRPr="00B85D62" w:rsidRDefault="004672DB" w:rsidP="004672DB">
            <w:r w:rsidRPr="00B85D62">
              <w:rPr>
                <w:rFonts w:eastAsia="Arial" w:cs="Arial"/>
                <w:sz w:val="18"/>
                <w:szCs w:val="18"/>
              </w:rPr>
              <w:t>29758</w:t>
            </w:r>
          </w:p>
        </w:tc>
        <w:tc>
          <w:tcPr>
            <w:tcW w:w="0" w:type="auto"/>
            <w:shd w:val="clear" w:color="auto" w:fill="auto"/>
          </w:tcPr>
          <w:p w14:paraId="17A14E12" w14:textId="77777777" w:rsidR="004672DB" w:rsidRPr="00B85D62" w:rsidRDefault="004672DB" w:rsidP="004672DB">
            <w:r w:rsidRPr="00B85D62">
              <w:rPr>
                <w:rFonts w:eastAsia="Arial" w:cs="Arial"/>
                <w:sz w:val="18"/>
                <w:szCs w:val="18"/>
              </w:rPr>
              <w:t>G30X.00</w:t>
            </w:r>
          </w:p>
        </w:tc>
        <w:tc>
          <w:tcPr>
            <w:tcW w:w="0" w:type="auto"/>
            <w:shd w:val="clear" w:color="auto" w:fill="auto"/>
          </w:tcPr>
          <w:p w14:paraId="223CBF3D" w14:textId="77777777" w:rsidR="004672DB" w:rsidRPr="00B85D62" w:rsidRDefault="004672DB" w:rsidP="004672DB">
            <w:r w:rsidRPr="00B85D62">
              <w:rPr>
                <w:rFonts w:eastAsia="Arial" w:cs="Arial"/>
                <w:sz w:val="18"/>
                <w:szCs w:val="18"/>
              </w:rPr>
              <w:t xml:space="preserve">Acute transmural myocardial infarction of unspecif </w:t>
            </w:r>
            <w:r w:rsidRPr="00B85D62">
              <w:rPr>
                <w:rFonts w:eastAsia="Arial" w:cs="Arial"/>
                <w:sz w:val="18"/>
                <w:szCs w:val="18"/>
                <w:highlight w:val="magenta"/>
              </w:rPr>
              <w:t>site</w:t>
            </w:r>
          </w:p>
        </w:tc>
      </w:tr>
      <w:tr w:rsidR="004672DB" w:rsidRPr="00B85D62" w14:paraId="2191118F" w14:textId="77777777" w:rsidTr="00B85D62">
        <w:trPr>
          <w:cantSplit/>
        </w:trPr>
        <w:tc>
          <w:tcPr>
            <w:tcW w:w="0" w:type="auto"/>
            <w:shd w:val="clear" w:color="auto" w:fill="auto"/>
          </w:tcPr>
          <w:p w14:paraId="6F22E94F" w14:textId="77777777" w:rsidR="004672DB" w:rsidRPr="00B85D62" w:rsidRDefault="004672DB" w:rsidP="004672DB">
            <w:r w:rsidRPr="00B85D62">
              <w:rPr>
                <w:rFonts w:eastAsia="Arial" w:cs="Arial"/>
                <w:sz w:val="18"/>
                <w:szCs w:val="18"/>
              </w:rPr>
              <w:t>12229</w:t>
            </w:r>
          </w:p>
        </w:tc>
        <w:tc>
          <w:tcPr>
            <w:tcW w:w="0" w:type="auto"/>
            <w:shd w:val="clear" w:color="auto" w:fill="auto"/>
          </w:tcPr>
          <w:p w14:paraId="295D8066" w14:textId="77777777" w:rsidR="004672DB" w:rsidRPr="00B85D62" w:rsidRDefault="004672DB" w:rsidP="004672DB">
            <w:r w:rsidRPr="00B85D62">
              <w:rPr>
                <w:rFonts w:eastAsia="Arial" w:cs="Arial"/>
                <w:sz w:val="18"/>
                <w:szCs w:val="18"/>
              </w:rPr>
              <w:t>G30X000</w:t>
            </w:r>
          </w:p>
        </w:tc>
        <w:tc>
          <w:tcPr>
            <w:tcW w:w="0" w:type="auto"/>
            <w:shd w:val="clear" w:color="auto" w:fill="auto"/>
          </w:tcPr>
          <w:p w14:paraId="031396E9" w14:textId="77777777" w:rsidR="004672DB" w:rsidRPr="00B85D62" w:rsidRDefault="004672DB" w:rsidP="004672DB">
            <w:r w:rsidRPr="00B85D62">
              <w:rPr>
                <w:rFonts w:eastAsia="Arial" w:cs="Arial"/>
                <w:sz w:val="18"/>
                <w:szCs w:val="18"/>
              </w:rPr>
              <w:t>Acute ST segment elevation myocardial infarction</w:t>
            </w:r>
          </w:p>
        </w:tc>
      </w:tr>
      <w:tr w:rsidR="004672DB" w:rsidRPr="00B85D62" w14:paraId="7D571A68" w14:textId="77777777" w:rsidTr="00B85D62">
        <w:trPr>
          <w:cantSplit/>
        </w:trPr>
        <w:tc>
          <w:tcPr>
            <w:tcW w:w="0" w:type="auto"/>
            <w:shd w:val="clear" w:color="auto" w:fill="auto"/>
          </w:tcPr>
          <w:p w14:paraId="555B552B" w14:textId="77777777" w:rsidR="004672DB" w:rsidRPr="00B85D62" w:rsidRDefault="004672DB" w:rsidP="004672DB">
            <w:r w:rsidRPr="00B85D62">
              <w:rPr>
                <w:rFonts w:eastAsia="Arial" w:cs="Arial"/>
                <w:sz w:val="18"/>
                <w:szCs w:val="18"/>
              </w:rPr>
              <w:t>34803</w:t>
            </w:r>
          </w:p>
        </w:tc>
        <w:tc>
          <w:tcPr>
            <w:tcW w:w="0" w:type="auto"/>
            <w:shd w:val="clear" w:color="auto" w:fill="auto"/>
          </w:tcPr>
          <w:p w14:paraId="2BDF48A2" w14:textId="77777777" w:rsidR="004672DB" w:rsidRPr="00B85D62" w:rsidRDefault="004672DB" w:rsidP="004672DB">
            <w:r w:rsidRPr="00B85D62">
              <w:rPr>
                <w:rFonts w:eastAsia="Arial" w:cs="Arial"/>
                <w:sz w:val="18"/>
                <w:szCs w:val="18"/>
              </w:rPr>
              <w:t>G30y.00</w:t>
            </w:r>
          </w:p>
        </w:tc>
        <w:tc>
          <w:tcPr>
            <w:tcW w:w="0" w:type="auto"/>
            <w:shd w:val="clear" w:color="auto" w:fill="auto"/>
          </w:tcPr>
          <w:p w14:paraId="2FF24BEA" w14:textId="77777777" w:rsidR="004672DB" w:rsidRPr="00B85D62" w:rsidRDefault="004672DB" w:rsidP="004672DB">
            <w:r w:rsidRPr="00B85D62">
              <w:rPr>
                <w:rFonts w:eastAsia="Arial" w:cs="Arial"/>
                <w:sz w:val="18"/>
                <w:szCs w:val="18"/>
              </w:rPr>
              <w:t>Other acute myocardial infarction</w:t>
            </w:r>
          </w:p>
        </w:tc>
      </w:tr>
      <w:tr w:rsidR="004672DB" w:rsidRPr="00B85D62" w14:paraId="308679D9" w14:textId="77777777" w:rsidTr="00B85D62">
        <w:trPr>
          <w:cantSplit/>
        </w:trPr>
        <w:tc>
          <w:tcPr>
            <w:tcW w:w="0" w:type="auto"/>
            <w:shd w:val="clear" w:color="auto" w:fill="auto"/>
          </w:tcPr>
          <w:p w14:paraId="119D1626" w14:textId="77777777" w:rsidR="004672DB" w:rsidRPr="00B85D62" w:rsidRDefault="004672DB" w:rsidP="004672DB">
            <w:r w:rsidRPr="00B85D62">
              <w:rPr>
                <w:rFonts w:eastAsia="Arial" w:cs="Arial"/>
                <w:sz w:val="18"/>
                <w:szCs w:val="18"/>
              </w:rPr>
              <w:t>28736</w:t>
            </w:r>
          </w:p>
        </w:tc>
        <w:tc>
          <w:tcPr>
            <w:tcW w:w="0" w:type="auto"/>
            <w:shd w:val="clear" w:color="auto" w:fill="auto"/>
          </w:tcPr>
          <w:p w14:paraId="526767C6" w14:textId="77777777" w:rsidR="004672DB" w:rsidRPr="00B85D62" w:rsidRDefault="004672DB" w:rsidP="004672DB">
            <w:r w:rsidRPr="00B85D62">
              <w:rPr>
                <w:rFonts w:eastAsia="Arial" w:cs="Arial"/>
                <w:sz w:val="18"/>
                <w:szCs w:val="18"/>
              </w:rPr>
              <w:t>G30y000</w:t>
            </w:r>
          </w:p>
        </w:tc>
        <w:tc>
          <w:tcPr>
            <w:tcW w:w="0" w:type="auto"/>
            <w:shd w:val="clear" w:color="auto" w:fill="auto"/>
          </w:tcPr>
          <w:p w14:paraId="64050B11" w14:textId="77777777" w:rsidR="004672DB" w:rsidRPr="00B85D62" w:rsidRDefault="004672DB" w:rsidP="004672DB">
            <w:r w:rsidRPr="00B85D62">
              <w:rPr>
                <w:rFonts w:eastAsia="Arial" w:cs="Arial"/>
                <w:sz w:val="18"/>
                <w:szCs w:val="18"/>
              </w:rPr>
              <w:t>Acute atrial infarction</w:t>
            </w:r>
          </w:p>
        </w:tc>
      </w:tr>
      <w:tr w:rsidR="004672DB" w:rsidRPr="00B85D62" w14:paraId="05DB438C" w14:textId="77777777" w:rsidTr="00B85D62">
        <w:trPr>
          <w:cantSplit/>
        </w:trPr>
        <w:tc>
          <w:tcPr>
            <w:tcW w:w="0" w:type="auto"/>
            <w:shd w:val="clear" w:color="auto" w:fill="auto"/>
          </w:tcPr>
          <w:p w14:paraId="31FD382C" w14:textId="77777777" w:rsidR="004672DB" w:rsidRPr="00B85D62" w:rsidRDefault="004672DB" w:rsidP="004672DB">
            <w:r w:rsidRPr="00B85D62">
              <w:rPr>
                <w:rFonts w:eastAsia="Arial" w:cs="Arial"/>
                <w:sz w:val="18"/>
                <w:szCs w:val="18"/>
              </w:rPr>
              <w:t>62626</w:t>
            </w:r>
          </w:p>
        </w:tc>
        <w:tc>
          <w:tcPr>
            <w:tcW w:w="0" w:type="auto"/>
            <w:shd w:val="clear" w:color="auto" w:fill="auto"/>
          </w:tcPr>
          <w:p w14:paraId="5A60CE9E" w14:textId="77777777" w:rsidR="004672DB" w:rsidRPr="00B85D62" w:rsidRDefault="004672DB" w:rsidP="004672DB">
            <w:r w:rsidRPr="00B85D62">
              <w:rPr>
                <w:rFonts w:eastAsia="Arial" w:cs="Arial"/>
                <w:sz w:val="18"/>
                <w:szCs w:val="18"/>
              </w:rPr>
              <w:t>G30y100</w:t>
            </w:r>
          </w:p>
        </w:tc>
        <w:tc>
          <w:tcPr>
            <w:tcW w:w="0" w:type="auto"/>
            <w:shd w:val="clear" w:color="auto" w:fill="auto"/>
          </w:tcPr>
          <w:p w14:paraId="4EE36D0C" w14:textId="77777777" w:rsidR="004672DB" w:rsidRPr="00B85D62" w:rsidRDefault="004672DB" w:rsidP="004672DB">
            <w:r w:rsidRPr="00B85D62">
              <w:rPr>
                <w:rFonts w:eastAsia="Arial" w:cs="Arial"/>
                <w:sz w:val="18"/>
                <w:szCs w:val="18"/>
              </w:rPr>
              <w:t>Acute papillary muscle infarction</w:t>
            </w:r>
          </w:p>
        </w:tc>
      </w:tr>
      <w:tr w:rsidR="004672DB" w:rsidRPr="00B85D62" w14:paraId="671137E2" w14:textId="77777777" w:rsidTr="00B85D62">
        <w:trPr>
          <w:cantSplit/>
        </w:trPr>
        <w:tc>
          <w:tcPr>
            <w:tcW w:w="0" w:type="auto"/>
            <w:shd w:val="clear" w:color="auto" w:fill="auto"/>
          </w:tcPr>
          <w:p w14:paraId="47BB11B3" w14:textId="77777777" w:rsidR="004672DB" w:rsidRPr="00B85D62" w:rsidRDefault="004672DB" w:rsidP="004672DB">
            <w:r w:rsidRPr="00B85D62">
              <w:rPr>
                <w:rFonts w:eastAsia="Arial" w:cs="Arial"/>
                <w:sz w:val="18"/>
                <w:szCs w:val="18"/>
              </w:rPr>
              <w:t>41221</w:t>
            </w:r>
          </w:p>
        </w:tc>
        <w:tc>
          <w:tcPr>
            <w:tcW w:w="0" w:type="auto"/>
            <w:shd w:val="clear" w:color="auto" w:fill="auto"/>
          </w:tcPr>
          <w:p w14:paraId="6EA2D093" w14:textId="77777777" w:rsidR="004672DB" w:rsidRPr="00B85D62" w:rsidRDefault="004672DB" w:rsidP="004672DB">
            <w:r w:rsidRPr="00B85D62">
              <w:rPr>
                <w:rFonts w:eastAsia="Arial" w:cs="Arial"/>
                <w:sz w:val="18"/>
                <w:szCs w:val="18"/>
              </w:rPr>
              <w:t>G30y200</w:t>
            </w:r>
          </w:p>
        </w:tc>
        <w:tc>
          <w:tcPr>
            <w:tcW w:w="0" w:type="auto"/>
            <w:shd w:val="clear" w:color="auto" w:fill="auto"/>
          </w:tcPr>
          <w:p w14:paraId="77287B5B" w14:textId="77777777" w:rsidR="004672DB" w:rsidRPr="00B85D62" w:rsidRDefault="004672DB" w:rsidP="004672DB">
            <w:r w:rsidRPr="00B85D62">
              <w:rPr>
                <w:rFonts w:eastAsia="Arial" w:cs="Arial"/>
                <w:sz w:val="18"/>
                <w:szCs w:val="18"/>
              </w:rPr>
              <w:t>Acute septal infarction</w:t>
            </w:r>
          </w:p>
        </w:tc>
      </w:tr>
      <w:tr w:rsidR="004672DB" w:rsidRPr="00B85D62" w14:paraId="55959AB6" w14:textId="77777777" w:rsidTr="00B85D62">
        <w:trPr>
          <w:cantSplit/>
        </w:trPr>
        <w:tc>
          <w:tcPr>
            <w:tcW w:w="0" w:type="auto"/>
            <w:shd w:val="clear" w:color="auto" w:fill="auto"/>
          </w:tcPr>
          <w:p w14:paraId="1A99D39D" w14:textId="77777777" w:rsidR="004672DB" w:rsidRPr="00B85D62" w:rsidRDefault="004672DB" w:rsidP="004672DB">
            <w:r w:rsidRPr="00B85D62">
              <w:rPr>
                <w:rFonts w:eastAsia="Arial" w:cs="Arial"/>
                <w:sz w:val="18"/>
                <w:szCs w:val="18"/>
              </w:rPr>
              <w:t>46017</w:t>
            </w:r>
          </w:p>
        </w:tc>
        <w:tc>
          <w:tcPr>
            <w:tcW w:w="0" w:type="auto"/>
            <w:shd w:val="clear" w:color="auto" w:fill="auto"/>
          </w:tcPr>
          <w:p w14:paraId="1A57E0D7" w14:textId="77777777" w:rsidR="004672DB" w:rsidRPr="00B85D62" w:rsidRDefault="004672DB" w:rsidP="004672DB">
            <w:r w:rsidRPr="00B85D62">
              <w:rPr>
                <w:rFonts w:eastAsia="Arial" w:cs="Arial"/>
                <w:sz w:val="18"/>
                <w:szCs w:val="18"/>
              </w:rPr>
              <w:t>G30yz00</w:t>
            </w:r>
          </w:p>
        </w:tc>
        <w:tc>
          <w:tcPr>
            <w:tcW w:w="0" w:type="auto"/>
            <w:shd w:val="clear" w:color="auto" w:fill="auto"/>
          </w:tcPr>
          <w:p w14:paraId="3859516D" w14:textId="77777777" w:rsidR="004672DB" w:rsidRPr="00B85D62" w:rsidRDefault="004672DB" w:rsidP="004672DB">
            <w:r w:rsidRPr="00B85D62">
              <w:rPr>
                <w:rFonts w:eastAsia="Arial" w:cs="Arial"/>
                <w:sz w:val="18"/>
                <w:szCs w:val="18"/>
              </w:rPr>
              <w:t>Other acute myocardial infarction NOS</w:t>
            </w:r>
          </w:p>
        </w:tc>
      </w:tr>
      <w:tr w:rsidR="004672DB" w:rsidRPr="00B85D62" w14:paraId="5EF6BCB9" w14:textId="77777777" w:rsidTr="00B85D62">
        <w:trPr>
          <w:cantSplit/>
        </w:trPr>
        <w:tc>
          <w:tcPr>
            <w:tcW w:w="0" w:type="auto"/>
            <w:shd w:val="clear" w:color="auto" w:fill="auto"/>
          </w:tcPr>
          <w:p w14:paraId="675D2955" w14:textId="77777777" w:rsidR="004672DB" w:rsidRPr="00B85D62" w:rsidRDefault="004672DB" w:rsidP="004672DB">
            <w:r w:rsidRPr="00B85D62">
              <w:rPr>
                <w:rFonts w:eastAsia="Arial" w:cs="Arial"/>
                <w:sz w:val="18"/>
                <w:szCs w:val="18"/>
              </w:rPr>
              <w:t>14658</w:t>
            </w:r>
          </w:p>
        </w:tc>
        <w:tc>
          <w:tcPr>
            <w:tcW w:w="0" w:type="auto"/>
            <w:shd w:val="clear" w:color="auto" w:fill="auto"/>
          </w:tcPr>
          <w:p w14:paraId="7C078D53" w14:textId="77777777" w:rsidR="004672DB" w:rsidRPr="00B85D62" w:rsidRDefault="004672DB" w:rsidP="004672DB">
            <w:r w:rsidRPr="00B85D62">
              <w:rPr>
                <w:rFonts w:eastAsia="Arial" w:cs="Arial"/>
                <w:sz w:val="18"/>
                <w:szCs w:val="18"/>
              </w:rPr>
              <w:t>G30z.00</w:t>
            </w:r>
          </w:p>
        </w:tc>
        <w:tc>
          <w:tcPr>
            <w:tcW w:w="0" w:type="auto"/>
            <w:shd w:val="clear" w:color="auto" w:fill="auto"/>
          </w:tcPr>
          <w:p w14:paraId="48C59520" w14:textId="77777777" w:rsidR="004672DB" w:rsidRPr="00B85D62" w:rsidRDefault="004672DB" w:rsidP="004672DB">
            <w:r w:rsidRPr="00B85D62">
              <w:rPr>
                <w:rFonts w:eastAsia="Arial" w:cs="Arial"/>
                <w:sz w:val="18"/>
                <w:szCs w:val="18"/>
              </w:rPr>
              <w:t>Acute myocardial infarction NOS</w:t>
            </w:r>
          </w:p>
        </w:tc>
      </w:tr>
      <w:tr w:rsidR="004672DB" w:rsidRPr="00B85D62" w14:paraId="4658D908" w14:textId="77777777" w:rsidTr="00B85D62">
        <w:trPr>
          <w:cantSplit/>
        </w:trPr>
        <w:tc>
          <w:tcPr>
            <w:tcW w:w="0" w:type="auto"/>
            <w:shd w:val="clear" w:color="auto" w:fill="auto"/>
          </w:tcPr>
          <w:p w14:paraId="3AB2E5B7" w14:textId="77777777" w:rsidR="004672DB" w:rsidRPr="00B85D62" w:rsidRDefault="004672DB" w:rsidP="004672DB">
            <w:r w:rsidRPr="00B85D62">
              <w:rPr>
                <w:rFonts w:eastAsia="Arial" w:cs="Arial"/>
                <w:sz w:val="18"/>
                <w:szCs w:val="18"/>
              </w:rPr>
              <w:t>27951</w:t>
            </w:r>
          </w:p>
        </w:tc>
        <w:tc>
          <w:tcPr>
            <w:tcW w:w="0" w:type="auto"/>
            <w:shd w:val="clear" w:color="auto" w:fill="auto"/>
          </w:tcPr>
          <w:p w14:paraId="7C237585" w14:textId="77777777" w:rsidR="004672DB" w:rsidRPr="00B85D62" w:rsidRDefault="004672DB" w:rsidP="004672DB">
            <w:r w:rsidRPr="00B85D62">
              <w:rPr>
                <w:rFonts w:eastAsia="Arial" w:cs="Arial"/>
                <w:sz w:val="18"/>
                <w:szCs w:val="18"/>
              </w:rPr>
              <w:t>G31..00</w:t>
            </w:r>
          </w:p>
        </w:tc>
        <w:tc>
          <w:tcPr>
            <w:tcW w:w="0" w:type="auto"/>
            <w:shd w:val="clear" w:color="auto" w:fill="auto"/>
          </w:tcPr>
          <w:p w14:paraId="77605990" w14:textId="77777777" w:rsidR="004672DB" w:rsidRPr="00B85D62" w:rsidRDefault="004672DB" w:rsidP="004672DB">
            <w:r w:rsidRPr="00B85D62">
              <w:rPr>
                <w:rFonts w:eastAsia="Arial" w:cs="Arial"/>
                <w:sz w:val="18"/>
                <w:szCs w:val="18"/>
              </w:rPr>
              <w:t>Other acute and subacute ischaemic heart disease</w:t>
            </w:r>
          </w:p>
        </w:tc>
      </w:tr>
      <w:tr w:rsidR="004672DB" w:rsidRPr="00B85D62" w14:paraId="78724A7C" w14:textId="77777777" w:rsidTr="00B85D62">
        <w:trPr>
          <w:cantSplit/>
        </w:trPr>
        <w:tc>
          <w:tcPr>
            <w:tcW w:w="0" w:type="auto"/>
            <w:shd w:val="clear" w:color="auto" w:fill="auto"/>
          </w:tcPr>
          <w:p w14:paraId="598ADB26" w14:textId="77777777" w:rsidR="004672DB" w:rsidRPr="00B85D62" w:rsidRDefault="004672DB" w:rsidP="004672DB">
            <w:r w:rsidRPr="00B85D62">
              <w:rPr>
                <w:rFonts w:eastAsia="Arial" w:cs="Arial"/>
                <w:sz w:val="18"/>
                <w:szCs w:val="18"/>
              </w:rPr>
              <w:t>23579</w:t>
            </w:r>
          </w:p>
        </w:tc>
        <w:tc>
          <w:tcPr>
            <w:tcW w:w="0" w:type="auto"/>
            <w:shd w:val="clear" w:color="auto" w:fill="auto"/>
          </w:tcPr>
          <w:p w14:paraId="3F063971" w14:textId="77777777" w:rsidR="004672DB" w:rsidRPr="00B85D62" w:rsidRDefault="004672DB" w:rsidP="004672DB">
            <w:r w:rsidRPr="00B85D62">
              <w:rPr>
                <w:rFonts w:eastAsia="Arial" w:cs="Arial"/>
                <w:sz w:val="18"/>
                <w:szCs w:val="18"/>
              </w:rPr>
              <w:t>G310.00</w:t>
            </w:r>
          </w:p>
        </w:tc>
        <w:tc>
          <w:tcPr>
            <w:tcW w:w="0" w:type="auto"/>
            <w:shd w:val="clear" w:color="auto" w:fill="auto"/>
          </w:tcPr>
          <w:p w14:paraId="6CD66875" w14:textId="77777777" w:rsidR="004672DB" w:rsidRPr="00B85D62" w:rsidRDefault="004672DB" w:rsidP="004672DB">
            <w:r w:rsidRPr="00B85D62">
              <w:rPr>
                <w:rFonts w:eastAsia="Arial" w:cs="Arial"/>
                <w:sz w:val="18"/>
                <w:szCs w:val="18"/>
              </w:rPr>
              <w:t>Postmyocardial infarction syndrome</w:t>
            </w:r>
          </w:p>
        </w:tc>
      </w:tr>
      <w:tr w:rsidR="004672DB" w:rsidRPr="00B85D62" w14:paraId="25619BBC" w14:textId="77777777" w:rsidTr="00B85D62">
        <w:trPr>
          <w:cantSplit/>
        </w:trPr>
        <w:tc>
          <w:tcPr>
            <w:tcW w:w="0" w:type="auto"/>
            <w:shd w:val="clear" w:color="auto" w:fill="auto"/>
          </w:tcPr>
          <w:p w14:paraId="53A06C29" w14:textId="77777777" w:rsidR="004672DB" w:rsidRPr="00B85D62" w:rsidRDefault="004672DB" w:rsidP="004672DB">
            <w:r w:rsidRPr="00B85D62">
              <w:rPr>
                <w:rFonts w:eastAsia="Arial" w:cs="Arial"/>
                <w:sz w:val="18"/>
                <w:szCs w:val="18"/>
              </w:rPr>
              <w:t>15661</w:t>
            </w:r>
          </w:p>
        </w:tc>
        <w:tc>
          <w:tcPr>
            <w:tcW w:w="0" w:type="auto"/>
            <w:shd w:val="clear" w:color="auto" w:fill="auto"/>
          </w:tcPr>
          <w:p w14:paraId="4C623723" w14:textId="77777777" w:rsidR="004672DB" w:rsidRPr="00B85D62" w:rsidRDefault="004672DB" w:rsidP="004672DB">
            <w:r w:rsidRPr="00B85D62">
              <w:rPr>
                <w:rFonts w:eastAsia="Arial" w:cs="Arial"/>
                <w:sz w:val="18"/>
                <w:szCs w:val="18"/>
              </w:rPr>
              <w:t>G310.11</w:t>
            </w:r>
          </w:p>
        </w:tc>
        <w:tc>
          <w:tcPr>
            <w:tcW w:w="0" w:type="auto"/>
            <w:shd w:val="clear" w:color="auto" w:fill="auto"/>
          </w:tcPr>
          <w:p w14:paraId="6EEA162C" w14:textId="69D2DED5" w:rsidR="004672DB" w:rsidRPr="00B85D62" w:rsidRDefault="004672DB" w:rsidP="004672DB">
            <w:r w:rsidRPr="00B85D62">
              <w:rPr>
                <w:rFonts w:eastAsia="Arial" w:cs="Arial"/>
                <w:sz w:val="18"/>
                <w:szCs w:val="18"/>
              </w:rPr>
              <w:t>Dressler</w:t>
            </w:r>
            <w:r w:rsidR="00B85D62" w:rsidRPr="00B85D62">
              <w:rPr>
                <w:rFonts w:eastAsia="Arial" w:cs="Arial"/>
                <w:sz w:val="18"/>
                <w:szCs w:val="18"/>
              </w:rPr>
              <w:t>’</w:t>
            </w:r>
            <w:r w:rsidRPr="00B85D62">
              <w:rPr>
                <w:rFonts w:eastAsia="Arial" w:cs="Arial"/>
                <w:sz w:val="18"/>
                <w:szCs w:val="18"/>
              </w:rPr>
              <w:t>s syndrome</w:t>
            </w:r>
          </w:p>
        </w:tc>
      </w:tr>
      <w:tr w:rsidR="004672DB" w:rsidRPr="00B85D62" w14:paraId="3437CD65" w14:textId="77777777" w:rsidTr="00B85D62">
        <w:trPr>
          <w:cantSplit/>
        </w:trPr>
        <w:tc>
          <w:tcPr>
            <w:tcW w:w="0" w:type="auto"/>
            <w:shd w:val="clear" w:color="auto" w:fill="auto"/>
          </w:tcPr>
          <w:p w14:paraId="2CA0379E" w14:textId="77777777" w:rsidR="004672DB" w:rsidRPr="00B85D62" w:rsidRDefault="004672DB" w:rsidP="004672DB">
            <w:r w:rsidRPr="00B85D62">
              <w:rPr>
                <w:rFonts w:eastAsia="Arial" w:cs="Arial"/>
                <w:sz w:val="18"/>
                <w:szCs w:val="18"/>
              </w:rPr>
              <w:t>36523</w:t>
            </w:r>
          </w:p>
        </w:tc>
        <w:tc>
          <w:tcPr>
            <w:tcW w:w="0" w:type="auto"/>
            <w:shd w:val="clear" w:color="auto" w:fill="auto"/>
          </w:tcPr>
          <w:p w14:paraId="19826458" w14:textId="77777777" w:rsidR="004672DB" w:rsidRPr="00B85D62" w:rsidRDefault="004672DB" w:rsidP="004672DB">
            <w:r w:rsidRPr="00B85D62">
              <w:rPr>
                <w:rFonts w:eastAsia="Arial" w:cs="Arial"/>
                <w:sz w:val="18"/>
                <w:szCs w:val="18"/>
              </w:rPr>
              <w:t>G311.00</w:t>
            </w:r>
          </w:p>
        </w:tc>
        <w:tc>
          <w:tcPr>
            <w:tcW w:w="0" w:type="auto"/>
            <w:shd w:val="clear" w:color="auto" w:fill="auto"/>
          </w:tcPr>
          <w:p w14:paraId="3A50436F" w14:textId="77777777" w:rsidR="004672DB" w:rsidRPr="00B85D62" w:rsidRDefault="004672DB" w:rsidP="004672DB">
            <w:r w:rsidRPr="00B85D62">
              <w:rPr>
                <w:rFonts w:eastAsia="Arial" w:cs="Arial"/>
                <w:sz w:val="18"/>
                <w:szCs w:val="18"/>
              </w:rPr>
              <w:t>Preinfarction syndrome</w:t>
            </w:r>
          </w:p>
        </w:tc>
      </w:tr>
      <w:tr w:rsidR="004672DB" w:rsidRPr="00B85D62" w14:paraId="23BCD294" w14:textId="77777777" w:rsidTr="00B85D62">
        <w:trPr>
          <w:cantSplit/>
        </w:trPr>
        <w:tc>
          <w:tcPr>
            <w:tcW w:w="0" w:type="auto"/>
            <w:shd w:val="clear" w:color="auto" w:fill="auto"/>
          </w:tcPr>
          <w:p w14:paraId="5BCF6DE3" w14:textId="77777777" w:rsidR="004672DB" w:rsidRPr="00B85D62" w:rsidRDefault="004672DB" w:rsidP="004672DB">
            <w:r w:rsidRPr="00B85D62">
              <w:rPr>
                <w:rFonts w:eastAsia="Arial" w:cs="Arial"/>
                <w:sz w:val="18"/>
                <w:szCs w:val="18"/>
              </w:rPr>
              <w:t>4656</w:t>
            </w:r>
          </w:p>
        </w:tc>
        <w:tc>
          <w:tcPr>
            <w:tcW w:w="0" w:type="auto"/>
            <w:shd w:val="clear" w:color="auto" w:fill="auto"/>
          </w:tcPr>
          <w:p w14:paraId="3FB78145" w14:textId="77777777" w:rsidR="004672DB" w:rsidRPr="00B85D62" w:rsidRDefault="004672DB" w:rsidP="004672DB">
            <w:r w:rsidRPr="00B85D62">
              <w:rPr>
                <w:rFonts w:eastAsia="Arial" w:cs="Arial"/>
                <w:sz w:val="18"/>
                <w:szCs w:val="18"/>
              </w:rPr>
              <w:t>G311.11</w:t>
            </w:r>
          </w:p>
        </w:tc>
        <w:tc>
          <w:tcPr>
            <w:tcW w:w="0" w:type="auto"/>
            <w:shd w:val="clear" w:color="auto" w:fill="auto"/>
          </w:tcPr>
          <w:p w14:paraId="7DE70BCE" w14:textId="77777777" w:rsidR="004672DB" w:rsidRPr="00B85D62" w:rsidRDefault="004672DB" w:rsidP="004672DB">
            <w:r w:rsidRPr="00B85D62">
              <w:rPr>
                <w:rFonts w:eastAsia="Arial" w:cs="Arial"/>
                <w:sz w:val="18"/>
                <w:szCs w:val="18"/>
              </w:rPr>
              <w:t>Crescendo angina</w:t>
            </w:r>
          </w:p>
        </w:tc>
      </w:tr>
      <w:tr w:rsidR="004672DB" w:rsidRPr="00B85D62" w14:paraId="119383D0" w14:textId="77777777" w:rsidTr="00B85D62">
        <w:trPr>
          <w:cantSplit/>
        </w:trPr>
        <w:tc>
          <w:tcPr>
            <w:tcW w:w="0" w:type="auto"/>
            <w:shd w:val="clear" w:color="auto" w:fill="auto"/>
          </w:tcPr>
          <w:p w14:paraId="1DE72B3E" w14:textId="77777777" w:rsidR="004672DB" w:rsidRPr="00B85D62" w:rsidRDefault="004672DB" w:rsidP="004672DB">
            <w:r w:rsidRPr="00B85D62">
              <w:rPr>
                <w:rFonts w:eastAsia="Arial" w:cs="Arial"/>
                <w:sz w:val="18"/>
                <w:szCs w:val="18"/>
              </w:rPr>
              <w:t>1431</w:t>
            </w:r>
          </w:p>
        </w:tc>
        <w:tc>
          <w:tcPr>
            <w:tcW w:w="0" w:type="auto"/>
            <w:shd w:val="clear" w:color="auto" w:fill="auto"/>
          </w:tcPr>
          <w:p w14:paraId="4872BB32" w14:textId="77777777" w:rsidR="004672DB" w:rsidRPr="00B85D62" w:rsidRDefault="004672DB" w:rsidP="004672DB">
            <w:r w:rsidRPr="00B85D62">
              <w:rPr>
                <w:rFonts w:eastAsia="Arial" w:cs="Arial"/>
                <w:sz w:val="18"/>
                <w:szCs w:val="18"/>
              </w:rPr>
              <w:t>G311.13</w:t>
            </w:r>
          </w:p>
        </w:tc>
        <w:tc>
          <w:tcPr>
            <w:tcW w:w="0" w:type="auto"/>
            <w:shd w:val="clear" w:color="auto" w:fill="auto"/>
          </w:tcPr>
          <w:p w14:paraId="7484468D" w14:textId="77777777" w:rsidR="004672DB" w:rsidRPr="00B85D62" w:rsidRDefault="004672DB" w:rsidP="004672DB">
            <w:r w:rsidRPr="00B85D62">
              <w:rPr>
                <w:rFonts w:eastAsia="Arial" w:cs="Arial"/>
                <w:sz w:val="18"/>
                <w:szCs w:val="18"/>
              </w:rPr>
              <w:t>Unstable angina</w:t>
            </w:r>
          </w:p>
        </w:tc>
      </w:tr>
      <w:tr w:rsidR="004672DB" w:rsidRPr="00B85D62" w14:paraId="313EDB91" w14:textId="77777777" w:rsidTr="00B85D62">
        <w:trPr>
          <w:cantSplit/>
        </w:trPr>
        <w:tc>
          <w:tcPr>
            <w:tcW w:w="0" w:type="auto"/>
            <w:shd w:val="clear" w:color="auto" w:fill="auto"/>
          </w:tcPr>
          <w:p w14:paraId="63348E50" w14:textId="77777777" w:rsidR="004672DB" w:rsidRPr="00B85D62" w:rsidRDefault="004672DB" w:rsidP="004672DB">
            <w:r w:rsidRPr="00B85D62">
              <w:rPr>
                <w:rFonts w:eastAsia="Arial" w:cs="Arial"/>
                <w:sz w:val="18"/>
                <w:szCs w:val="18"/>
              </w:rPr>
              <w:t>19655</w:t>
            </w:r>
          </w:p>
        </w:tc>
        <w:tc>
          <w:tcPr>
            <w:tcW w:w="0" w:type="auto"/>
            <w:shd w:val="clear" w:color="auto" w:fill="auto"/>
          </w:tcPr>
          <w:p w14:paraId="72448566" w14:textId="77777777" w:rsidR="004672DB" w:rsidRPr="00B85D62" w:rsidRDefault="004672DB" w:rsidP="004672DB">
            <w:r w:rsidRPr="00B85D62">
              <w:rPr>
                <w:rFonts w:eastAsia="Arial" w:cs="Arial"/>
                <w:sz w:val="18"/>
                <w:szCs w:val="18"/>
              </w:rPr>
              <w:t>G311.14</w:t>
            </w:r>
          </w:p>
        </w:tc>
        <w:tc>
          <w:tcPr>
            <w:tcW w:w="0" w:type="auto"/>
            <w:shd w:val="clear" w:color="auto" w:fill="auto"/>
          </w:tcPr>
          <w:p w14:paraId="49BEA14D" w14:textId="77777777" w:rsidR="004672DB" w:rsidRPr="00B85D62" w:rsidRDefault="004672DB" w:rsidP="004672DB">
            <w:r w:rsidRPr="00B85D62">
              <w:rPr>
                <w:rFonts w:eastAsia="Arial" w:cs="Arial"/>
                <w:sz w:val="18"/>
                <w:szCs w:val="18"/>
              </w:rPr>
              <w:t>Angina at rest</w:t>
            </w:r>
          </w:p>
        </w:tc>
      </w:tr>
      <w:tr w:rsidR="004672DB" w:rsidRPr="00B85D62" w14:paraId="5322A4AE" w14:textId="77777777" w:rsidTr="00B85D62">
        <w:trPr>
          <w:cantSplit/>
        </w:trPr>
        <w:tc>
          <w:tcPr>
            <w:tcW w:w="0" w:type="auto"/>
            <w:shd w:val="clear" w:color="auto" w:fill="auto"/>
          </w:tcPr>
          <w:p w14:paraId="537A2649" w14:textId="77777777" w:rsidR="004672DB" w:rsidRPr="00B85D62" w:rsidRDefault="004672DB" w:rsidP="004672DB">
            <w:r w:rsidRPr="00B85D62">
              <w:rPr>
                <w:rFonts w:eastAsia="Arial" w:cs="Arial"/>
                <w:sz w:val="18"/>
                <w:szCs w:val="18"/>
              </w:rPr>
              <w:t>61072</w:t>
            </w:r>
          </w:p>
        </w:tc>
        <w:tc>
          <w:tcPr>
            <w:tcW w:w="0" w:type="auto"/>
            <w:shd w:val="clear" w:color="auto" w:fill="auto"/>
          </w:tcPr>
          <w:p w14:paraId="101BABD8" w14:textId="77777777" w:rsidR="004672DB" w:rsidRPr="00B85D62" w:rsidRDefault="004672DB" w:rsidP="004672DB">
            <w:r w:rsidRPr="00B85D62">
              <w:rPr>
                <w:rFonts w:eastAsia="Arial" w:cs="Arial"/>
                <w:sz w:val="18"/>
                <w:szCs w:val="18"/>
              </w:rPr>
              <w:t>G311000</w:t>
            </w:r>
          </w:p>
        </w:tc>
        <w:tc>
          <w:tcPr>
            <w:tcW w:w="0" w:type="auto"/>
            <w:shd w:val="clear" w:color="auto" w:fill="auto"/>
          </w:tcPr>
          <w:p w14:paraId="109C3179" w14:textId="77777777" w:rsidR="004672DB" w:rsidRPr="00B85D62" w:rsidRDefault="004672DB" w:rsidP="004672DB">
            <w:r w:rsidRPr="00B85D62">
              <w:rPr>
                <w:rFonts w:eastAsia="Arial" w:cs="Arial"/>
                <w:sz w:val="18"/>
                <w:szCs w:val="18"/>
              </w:rPr>
              <w:t>Myocardial infarction aborted</w:t>
            </w:r>
          </w:p>
        </w:tc>
      </w:tr>
      <w:tr w:rsidR="004672DB" w:rsidRPr="00B85D62" w14:paraId="2331B156" w14:textId="77777777" w:rsidTr="00B85D62">
        <w:trPr>
          <w:cantSplit/>
        </w:trPr>
        <w:tc>
          <w:tcPr>
            <w:tcW w:w="0" w:type="auto"/>
            <w:shd w:val="clear" w:color="auto" w:fill="auto"/>
          </w:tcPr>
          <w:p w14:paraId="73148A1D" w14:textId="77777777" w:rsidR="004672DB" w:rsidRPr="00B85D62" w:rsidRDefault="004672DB" w:rsidP="004672DB">
            <w:r w:rsidRPr="00B85D62">
              <w:rPr>
                <w:rFonts w:eastAsia="Arial" w:cs="Arial"/>
                <w:sz w:val="18"/>
                <w:szCs w:val="18"/>
              </w:rPr>
              <w:t>55137</w:t>
            </w:r>
          </w:p>
        </w:tc>
        <w:tc>
          <w:tcPr>
            <w:tcW w:w="0" w:type="auto"/>
            <w:shd w:val="clear" w:color="auto" w:fill="auto"/>
          </w:tcPr>
          <w:p w14:paraId="760371BE" w14:textId="77777777" w:rsidR="004672DB" w:rsidRPr="00B85D62" w:rsidRDefault="004672DB" w:rsidP="004672DB">
            <w:r w:rsidRPr="00B85D62">
              <w:rPr>
                <w:rFonts w:eastAsia="Arial" w:cs="Arial"/>
                <w:sz w:val="18"/>
                <w:szCs w:val="18"/>
              </w:rPr>
              <w:t>G311011</w:t>
            </w:r>
          </w:p>
        </w:tc>
        <w:tc>
          <w:tcPr>
            <w:tcW w:w="0" w:type="auto"/>
            <w:shd w:val="clear" w:color="auto" w:fill="auto"/>
          </w:tcPr>
          <w:p w14:paraId="7D2F85EC" w14:textId="5E1039E1" w:rsidR="004672DB" w:rsidRPr="00B85D62" w:rsidRDefault="004672DB" w:rsidP="004672DB">
            <w:r w:rsidRPr="00B85D62">
              <w:rPr>
                <w:rFonts w:eastAsia="Arial" w:cs="Arial"/>
                <w:sz w:val="18"/>
                <w:szCs w:val="18"/>
              </w:rPr>
              <w:t>MI</w:t>
            </w:r>
            <w:r w:rsidR="00B85D62" w:rsidRPr="00B85D62">
              <w:rPr>
                <w:rFonts w:eastAsia="Arial" w:cs="Arial"/>
                <w:color w:val="00B0F0"/>
                <w:sz w:val="18"/>
                <w:szCs w:val="18"/>
              </w:rPr>
              <w:t xml:space="preserve"> – </w:t>
            </w:r>
            <w:r w:rsidRPr="00B85D62">
              <w:rPr>
                <w:rFonts w:eastAsia="Arial" w:cs="Arial"/>
                <w:sz w:val="18"/>
                <w:szCs w:val="18"/>
              </w:rPr>
              <w:t>myocardial infarction aborted</w:t>
            </w:r>
          </w:p>
        </w:tc>
      </w:tr>
      <w:tr w:rsidR="004672DB" w:rsidRPr="00B85D62" w14:paraId="06ADECA6" w14:textId="77777777" w:rsidTr="00B85D62">
        <w:trPr>
          <w:cantSplit/>
        </w:trPr>
        <w:tc>
          <w:tcPr>
            <w:tcW w:w="0" w:type="auto"/>
            <w:shd w:val="clear" w:color="auto" w:fill="auto"/>
          </w:tcPr>
          <w:p w14:paraId="446CFACC" w14:textId="77777777" w:rsidR="004672DB" w:rsidRPr="00B85D62" w:rsidRDefault="004672DB" w:rsidP="004672DB">
            <w:r w:rsidRPr="00B85D62">
              <w:rPr>
                <w:rFonts w:eastAsia="Arial" w:cs="Arial"/>
                <w:sz w:val="18"/>
                <w:szCs w:val="18"/>
              </w:rPr>
              <w:t>7347</w:t>
            </w:r>
          </w:p>
        </w:tc>
        <w:tc>
          <w:tcPr>
            <w:tcW w:w="0" w:type="auto"/>
            <w:shd w:val="clear" w:color="auto" w:fill="auto"/>
          </w:tcPr>
          <w:p w14:paraId="23DE33AF" w14:textId="77777777" w:rsidR="004672DB" w:rsidRPr="00B85D62" w:rsidRDefault="004672DB" w:rsidP="004672DB">
            <w:r w:rsidRPr="00B85D62">
              <w:rPr>
                <w:rFonts w:eastAsia="Arial" w:cs="Arial"/>
                <w:sz w:val="18"/>
                <w:szCs w:val="18"/>
              </w:rPr>
              <w:t>G311100</w:t>
            </w:r>
          </w:p>
        </w:tc>
        <w:tc>
          <w:tcPr>
            <w:tcW w:w="0" w:type="auto"/>
            <w:shd w:val="clear" w:color="auto" w:fill="auto"/>
          </w:tcPr>
          <w:p w14:paraId="1E7196AB" w14:textId="77777777" w:rsidR="004672DB" w:rsidRPr="00B85D62" w:rsidRDefault="004672DB" w:rsidP="004672DB">
            <w:r w:rsidRPr="00B85D62">
              <w:rPr>
                <w:rFonts w:eastAsia="Arial" w:cs="Arial"/>
                <w:sz w:val="18"/>
                <w:szCs w:val="18"/>
              </w:rPr>
              <w:t>Unstable angina</w:t>
            </w:r>
          </w:p>
        </w:tc>
      </w:tr>
      <w:tr w:rsidR="004672DB" w:rsidRPr="00B85D62" w14:paraId="3400AFD1" w14:textId="77777777" w:rsidTr="00B85D62">
        <w:trPr>
          <w:cantSplit/>
        </w:trPr>
        <w:tc>
          <w:tcPr>
            <w:tcW w:w="0" w:type="auto"/>
            <w:shd w:val="clear" w:color="auto" w:fill="auto"/>
          </w:tcPr>
          <w:p w14:paraId="595C5D91" w14:textId="77777777" w:rsidR="004672DB" w:rsidRPr="00B85D62" w:rsidRDefault="004672DB" w:rsidP="004672DB">
            <w:r w:rsidRPr="00B85D62">
              <w:rPr>
                <w:rFonts w:eastAsia="Arial" w:cs="Arial"/>
                <w:sz w:val="18"/>
                <w:szCs w:val="18"/>
              </w:rPr>
              <w:t>17307</w:t>
            </w:r>
          </w:p>
        </w:tc>
        <w:tc>
          <w:tcPr>
            <w:tcW w:w="0" w:type="auto"/>
            <w:shd w:val="clear" w:color="auto" w:fill="auto"/>
          </w:tcPr>
          <w:p w14:paraId="477E6588" w14:textId="77777777" w:rsidR="004672DB" w:rsidRPr="00B85D62" w:rsidRDefault="004672DB" w:rsidP="004672DB">
            <w:r w:rsidRPr="00B85D62">
              <w:rPr>
                <w:rFonts w:eastAsia="Arial" w:cs="Arial"/>
                <w:sz w:val="18"/>
                <w:szCs w:val="18"/>
              </w:rPr>
              <w:t>G311200</w:t>
            </w:r>
          </w:p>
        </w:tc>
        <w:tc>
          <w:tcPr>
            <w:tcW w:w="0" w:type="auto"/>
            <w:shd w:val="clear" w:color="auto" w:fill="auto"/>
          </w:tcPr>
          <w:p w14:paraId="5709F4C9" w14:textId="77777777" w:rsidR="004672DB" w:rsidRPr="00B85D62" w:rsidRDefault="004672DB" w:rsidP="004672DB">
            <w:r w:rsidRPr="00B85D62">
              <w:rPr>
                <w:rFonts w:eastAsia="Arial" w:cs="Arial"/>
                <w:sz w:val="18"/>
                <w:szCs w:val="18"/>
              </w:rPr>
              <w:t>Angina at rest</w:t>
            </w:r>
          </w:p>
        </w:tc>
      </w:tr>
      <w:tr w:rsidR="004672DB" w:rsidRPr="00B85D62" w14:paraId="0A65BABE" w14:textId="77777777" w:rsidTr="00B85D62">
        <w:trPr>
          <w:cantSplit/>
        </w:trPr>
        <w:tc>
          <w:tcPr>
            <w:tcW w:w="0" w:type="auto"/>
            <w:shd w:val="clear" w:color="auto" w:fill="auto"/>
          </w:tcPr>
          <w:p w14:paraId="1965B4E0" w14:textId="77777777" w:rsidR="004672DB" w:rsidRPr="00B85D62" w:rsidRDefault="004672DB" w:rsidP="004672DB">
            <w:r w:rsidRPr="00B85D62">
              <w:rPr>
                <w:rFonts w:eastAsia="Arial" w:cs="Arial"/>
                <w:sz w:val="18"/>
                <w:szCs w:val="18"/>
              </w:rPr>
              <w:t>34328</w:t>
            </w:r>
          </w:p>
        </w:tc>
        <w:tc>
          <w:tcPr>
            <w:tcW w:w="0" w:type="auto"/>
            <w:shd w:val="clear" w:color="auto" w:fill="auto"/>
          </w:tcPr>
          <w:p w14:paraId="6DD8C7F2" w14:textId="77777777" w:rsidR="004672DB" w:rsidRPr="00B85D62" w:rsidRDefault="004672DB" w:rsidP="004672DB">
            <w:r w:rsidRPr="00B85D62">
              <w:rPr>
                <w:rFonts w:eastAsia="Arial" w:cs="Arial"/>
                <w:sz w:val="18"/>
                <w:szCs w:val="18"/>
              </w:rPr>
              <w:t>G311300</w:t>
            </w:r>
          </w:p>
        </w:tc>
        <w:tc>
          <w:tcPr>
            <w:tcW w:w="0" w:type="auto"/>
            <w:shd w:val="clear" w:color="auto" w:fill="auto"/>
          </w:tcPr>
          <w:p w14:paraId="307B6F33" w14:textId="77777777" w:rsidR="004672DB" w:rsidRPr="00B85D62" w:rsidRDefault="004672DB" w:rsidP="004672DB">
            <w:r w:rsidRPr="00B85D62">
              <w:rPr>
                <w:rFonts w:eastAsia="Arial" w:cs="Arial"/>
                <w:sz w:val="18"/>
                <w:szCs w:val="18"/>
              </w:rPr>
              <w:t>Refractory angina</w:t>
            </w:r>
          </w:p>
        </w:tc>
      </w:tr>
      <w:tr w:rsidR="004672DB" w:rsidRPr="00B85D62" w14:paraId="6DB5DCDF" w14:textId="77777777" w:rsidTr="00B85D62">
        <w:trPr>
          <w:cantSplit/>
        </w:trPr>
        <w:tc>
          <w:tcPr>
            <w:tcW w:w="0" w:type="auto"/>
            <w:shd w:val="clear" w:color="auto" w:fill="auto"/>
          </w:tcPr>
          <w:p w14:paraId="7BB9BBE0" w14:textId="77777777" w:rsidR="004672DB" w:rsidRPr="00B85D62" w:rsidRDefault="004672DB" w:rsidP="004672DB">
            <w:r w:rsidRPr="00B85D62">
              <w:rPr>
                <w:rFonts w:eastAsia="Arial" w:cs="Arial"/>
                <w:sz w:val="18"/>
                <w:szCs w:val="18"/>
              </w:rPr>
              <w:t>18118</w:t>
            </w:r>
          </w:p>
        </w:tc>
        <w:tc>
          <w:tcPr>
            <w:tcW w:w="0" w:type="auto"/>
            <w:shd w:val="clear" w:color="auto" w:fill="auto"/>
          </w:tcPr>
          <w:p w14:paraId="1F696AB3" w14:textId="77777777" w:rsidR="004672DB" w:rsidRPr="00B85D62" w:rsidRDefault="004672DB" w:rsidP="004672DB">
            <w:r w:rsidRPr="00B85D62">
              <w:rPr>
                <w:rFonts w:eastAsia="Arial" w:cs="Arial"/>
                <w:sz w:val="18"/>
                <w:szCs w:val="18"/>
              </w:rPr>
              <w:t>G311400</w:t>
            </w:r>
          </w:p>
        </w:tc>
        <w:tc>
          <w:tcPr>
            <w:tcW w:w="0" w:type="auto"/>
            <w:shd w:val="clear" w:color="auto" w:fill="auto"/>
          </w:tcPr>
          <w:p w14:paraId="2A2F2547" w14:textId="77777777" w:rsidR="004672DB" w:rsidRPr="00B85D62" w:rsidRDefault="004672DB" w:rsidP="004672DB">
            <w:r w:rsidRPr="00B85D62">
              <w:rPr>
                <w:rFonts w:eastAsia="Arial" w:cs="Arial"/>
                <w:sz w:val="18"/>
                <w:szCs w:val="18"/>
              </w:rPr>
              <w:t>Worsening angina</w:t>
            </w:r>
          </w:p>
        </w:tc>
      </w:tr>
      <w:tr w:rsidR="004672DB" w:rsidRPr="00B85D62" w14:paraId="05813645" w14:textId="77777777" w:rsidTr="00B85D62">
        <w:trPr>
          <w:cantSplit/>
        </w:trPr>
        <w:tc>
          <w:tcPr>
            <w:tcW w:w="0" w:type="auto"/>
            <w:shd w:val="clear" w:color="auto" w:fill="auto"/>
          </w:tcPr>
          <w:p w14:paraId="74E74D2C" w14:textId="77777777" w:rsidR="004672DB" w:rsidRPr="00B85D62" w:rsidRDefault="004672DB" w:rsidP="004672DB">
            <w:r w:rsidRPr="00B85D62">
              <w:rPr>
                <w:rFonts w:eastAsia="Arial" w:cs="Arial"/>
                <w:sz w:val="18"/>
                <w:szCs w:val="18"/>
              </w:rPr>
              <w:t>11983</w:t>
            </w:r>
          </w:p>
        </w:tc>
        <w:tc>
          <w:tcPr>
            <w:tcW w:w="0" w:type="auto"/>
            <w:shd w:val="clear" w:color="auto" w:fill="auto"/>
          </w:tcPr>
          <w:p w14:paraId="68887C0E" w14:textId="77777777" w:rsidR="004672DB" w:rsidRPr="00B85D62" w:rsidRDefault="004672DB" w:rsidP="004672DB">
            <w:r w:rsidRPr="00B85D62">
              <w:rPr>
                <w:rFonts w:eastAsia="Arial" w:cs="Arial"/>
                <w:sz w:val="18"/>
                <w:szCs w:val="18"/>
              </w:rPr>
              <w:t>G311500</w:t>
            </w:r>
          </w:p>
        </w:tc>
        <w:tc>
          <w:tcPr>
            <w:tcW w:w="0" w:type="auto"/>
            <w:shd w:val="clear" w:color="auto" w:fill="auto"/>
          </w:tcPr>
          <w:p w14:paraId="570C14A7" w14:textId="77777777" w:rsidR="004672DB" w:rsidRPr="00B85D62" w:rsidRDefault="004672DB" w:rsidP="004672DB">
            <w:r w:rsidRPr="00B85D62">
              <w:rPr>
                <w:rFonts w:eastAsia="Arial" w:cs="Arial"/>
                <w:sz w:val="18"/>
                <w:szCs w:val="18"/>
              </w:rPr>
              <w:t>Acute coronary syndrome</w:t>
            </w:r>
          </w:p>
        </w:tc>
      </w:tr>
      <w:tr w:rsidR="004672DB" w:rsidRPr="00B85D62" w14:paraId="389ACD49" w14:textId="77777777" w:rsidTr="00B85D62">
        <w:trPr>
          <w:cantSplit/>
        </w:trPr>
        <w:tc>
          <w:tcPr>
            <w:tcW w:w="0" w:type="auto"/>
            <w:shd w:val="clear" w:color="auto" w:fill="auto"/>
          </w:tcPr>
          <w:p w14:paraId="490BA23F" w14:textId="77777777" w:rsidR="004672DB" w:rsidRPr="00B85D62" w:rsidRDefault="004672DB" w:rsidP="004672DB">
            <w:r w:rsidRPr="00B85D62">
              <w:rPr>
                <w:rFonts w:eastAsia="Arial" w:cs="Arial"/>
                <w:sz w:val="18"/>
                <w:szCs w:val="18"/>
              </w:rPr>
              <w:t>54251</w:t>
            </w:r>
          </w:p>
        </w:tc>
        <w:tc>
          <w:tcPr>
            <w:tcW w:w="0" w:type="auto"/>
            <w:shd w:val="clear" w:color="auto" w:fill="auto"/>
          </w:tcPr>
          <w:p w14:paraId="5E5C3908" w14:textId="77777777" w:rsidR="004672DB" w:rsidRPr="00B85D62" w:rsidRDefault="004672DB" w:rsidP="004672DB">
            <w:r w:rsidRPr="00B85D62">
              <w:rPr>
                <w:rFonts w:eastAsia="Arial" w:cs="Arial"/>
                <w:sz w:val="18"/>
                <w:szCs w:val="18"/>
              </w:rPr>
              <w:t>G311z00</w:t>
            </w:r>
          </w:p>
        </w:tc>
        <w:tc>
          <w:tcPr>
            <w:tcW w:w="0" w:type="auto"/>
            <w:shd w:val="clear" w:color="auto" w:fill="auto"/>
          </w:tcPr>
          <w:p w14:paraId="1304C233" w14:textId="77777777" w:rsidR="004672DB" w:rsidRPr="00B85D62" w:rsidRDefault="004672DB" w:rsidP="004672DB">
            <w:r w:rsidRPr="00B85D62">
              <w:rPr>
                <w:rFonts w:eastAsia="Arial" w:cs="Arial"/>
                <w:sz w:val="18"/>
                <w:szCs w:val="18"/>
              </w:rPr>
              <w:t>Preinfarction syndrome NOS</w:t>
            </w:r>
          </w:p>
        </w:tc>
      </w:tr>
      <w:tr w:rsidR="004672DB" w:rsidRPr="00B85D62" w14:paraId="58432844" w14:textId="77777777" w:rsidTr="00B85D62">
        <w:trPr>
          <w:cantSplit/>
        </w:trPr>
        <w:tc>
          <w:tcPr>
            <w:tcW w:w="0" w:type="auto"/>
            <w:shd w:val="clear" w:color="auto" w:fill="auto"/>
          </w:tcPr>
          <w:p w14:paraId="25C22A2F" w14:textId="77777777" w:rsidR="004672DB" w:rsidRPr="00B85D62" w:rsidRDefault="004672DB" w:rsidP="004672DB">
            <w:r w:rsidRPr="00B85D62">
              <w:rPr>
                <w:rFonts w:eastAsia="Arial" w:cs="Arial"/>
                <w:sz w:val="18"/>
                <w:szCs w:val="18"/>
              </w:rPr>
              <w:t>39449</w:t>
            </w:r>
          </w:p>
        </w:tc>
        <w:tc>
          <w:tcPr>
            <w:tcW w:w="0" w:type="auto"/>
            <w:shd w:val="clear" w:color="auto" w:fill="auto"/>
          </w:tcPr>
          <w:p w14:paraId="24D91D8D" w14:textId="77777777" w:rsidR="004672DB" w:rsidRPr="00B85D62" w:rsidRDefault="004672DB" w:rsidP="004672DB">
            <w:r w:rsidRPr="00B85D62">
              <w:rPr>
                <w:rFonts w:eastAsia="Arial" w:cs="Arial"/>
                <w:sz w:val="18"/>
                <w:szCs w:val="18"/>
              </w:rPr>
              <w:t>G312.00</w:t>
            </w:r>
          </w:p>
        </w:tc>
        <w:tc>
          <w:tcPr>
            <w:tcW w:w="0" w:type="auto"/>
            <w:shd w:val="clear" w:color="auto" w:fill="auto"/>
          </w:tcPr>
          <w:p w14:paraId="384F60D9" w14:textId="77777777" w:rsidR="004672DB" w:rsidRPr="00B85D62" w:rsidRDefault="004672DB" w:rsidP="004672DB">
            <w:r w:rsidRPr="00B85D62">
              <w:rPr>
                <w:rFonts w:eastAsia="Arial" w:cs="Arial"/>
                <w:sz w:val="18"/>
                <w:szCs w:val="18"/>
              </w:rPr>
              <w:t>Coronary thrombosis not resulting in myocardial infarction</w:t>
            </w:r>
          </w:p>
        </w:tc>
      </w:tr>
      <w:tr w:rsidR="004672DB" w:rsidRPr="00B85D62" w14:paraId="4B1621CA" w14:textId="77777777" w:rsidTr="00B85D62">
        <w:trPr>
          <w:cantSplit/>
        </w:trPr>
        <w:tc>
          <w:tcPr>
            <w:tcW w:w="0" w:type="auto"/>
            <w:shd w:val="clear" w:color="auto" w:fill="auto"/>
          </w:tcPr>
          <w:p w14:paraId="236CA4D4" w14:textId="77777777" w:rsidR="004672DB" w:rsidRPr="00B85D62" w:rsidRDefault="004672DB" w:rsidP="004672DB">
            <w:r w:rsidRPr="00B85D62">
              <w:rPr>
                <w:rFonts w:eastAsia="Arial" w:cs="Arial"/>
                <w:sz w:val="18"/>
                <w:szCs w:val="18"/>
              </w:rPr>
              <w:t>9413</w:t>
            </w:r>
          </w:p>
        </w:tc>
        <w:tc>
          <w:tcPr>
            <w:tcW w:w="0" w:type="auto"/>
            <w:shd w:val="clear" w:color="auto" w:fill="auto"/>
          </w:tcPr>
          <w:p w14:paraId="19FC109D" w14:textId="77777777" w:rsidR="004672DB" w:rsidRPr="00B85D62" w:rsidRDefault="004672DB" w:rsidP="004672DB">
            <w:r w:rsidRPr="00B85D62">
              <w:rPr>
                <w:rFonts w:eastAsia="Arial" w:cs="Arial"/>
                <w:sz w:val="18"/>
                <w:szCs w:val="18"/>
              </w:rPr>
              <w:t>G31y.00</w:t>
            </w:r>
          </w:p>
        </w:tc>
        <w:tc>
          <w:tcPr>
            <w:tcW w:w="0" w:type="auto"/>
            <w:shd w:val="clear" w:color="auto" w:fill="auto"/>
          </w:tcPr>
          <w:p w14:paraId="76162854" w14:textId="77777777" w:rsidR="004672DB" w:rsidRPr="00B85D62" w:rsidRDefault="004672DB" w:rsidP="004672DB">
            <w:r w:rsidRPr="00B85D62">
              <w:rPr>
                <w:rFonts w:eastAsia="Arial" w:cs="Arial"/>
                <w:sz w:val="18"/>
                <w:szCs w:val="18"/>
              </w:rPr>
              <w:t>Other acute and subacute ischaemic heart disease</w:t>
            </w:r>
          </w:p>
        </w:tc>
      </w:tr>
      <w:tr w:rsidR="004672DB" w:rsidRPr="00B85D62" w14:paraId="5681E90B" w14:textId="77777777" w:rsidTr="00B85D62">
        <w:trPr>
          <w:cantSplit/>
        </w:trPr>
        <w:tc>
          <w:tcPr>
            <w:tcW w:w="0" w:type="auto"/>
            <w:shd w:val="clear" w:color="auto" w:fill="auto"/>
          </w:tcPr>
          <w:p w14:paraId="2B1B2537" w14:textId="77777777" w:rsidR="004672DB" w:rsidRPr="00B85D62" w:rsidRDefault="004672DB" w:rsidP="004672DB">
            <w:r w:rsidRPr="00B85D62">
              <w:rPr>
                <w:rFonts w:eastAsia="Arial" w:cs="Arial"/>
                <w:sz w:val="18"/>
                <w:szCs w:val="18"/>
              </w:rPr>
              <w:t>9276</w:t>
            </w:r>
          </w:p>
        </w:tc>
        <w:tc>
          <w:tcPr>
            <w:tcW w:w="0" w:type="auto"/>
            <w:shd w:val="clear" w:color="auto" w:fill="auto"/>
          </w:tcPr>
          <w:p w14:paraId="4B6F78DC" w14:textId="77777777" w:rsidR="004672DB" w:rsidRPr="00B85D62" w:rsidRDefault="004672DB" w:rsidP="004672DB">
            <w:r w:rsidRPr="00B85D62">
              <w:rPr>
                <w:rFonts w:eastAsia="Arial" w:cs="Arial"/>
                <w:sz w:val="18"/>
                <w:szCs w:val="18"/>
              </w:rPr>
              <w:t>G31y000</w:t>
            </w:r>
          </w:p>
        </w:tc>
        <w:tc>
          <w:tcPr>
            <w:tcW w:w="0" w:type="auto"/>
            <w:shd w:val="clear" w:color="auto" w:fill="auto"/>
          </w:tcPr>
          <w:p w14:paraId="0E7C6D83" w14:textId="77777777" w:rsidR="004672DB" w:rsidRPr="00B85D62" w:rsidRDefault="004672DB" w:rsidP="004672DB">
            <w:r w:rsidRPr="00B85D62">
              <w:rPr>
                <w:rFonts w:eastAsia="Arial" w:cs="Arial"/>
                <w:sz w:val="18"/>
                <w:szCs w:val="18"/>
              </w:rPr>
              <w:t>Acute coronary insufficiency</w:t>
            </w:r>
          </w:p>
        </w:tc>
      </w:tr>
      <w:tr w:rsidR="004672DB" w:rsidRPr="00B85D62" w14:paraId="2DB823DB" w14:textId="77777777" w:rsidTr="00B85D62">
        <w:trPr>
          <w:cantSplit/>
        </w:trPr>
        <w:tc>
          <w:tcPr>
            <w:tcW w:w="0" w:type="auto"/>
            <w:shd w:val="clear" w:color="auto" w:fill="auto"/>
          </w:tcPr>
          <w:p w14:paraId="50D63C83" w14:textId="77777777" w:rsidR="004672DB" w:rsidRPr="00B85D62" w:rsidRDefault="004672DB" w:rsidP="004672DB">
            <w:r w:rsidRPr="00B85D62">
              <w:rPr>
                <w:rFonts w:eastAsia="Arial" w:cs="Arial"/>
                <w:sz w:val="18"/>
                <w:szCs w:val="18"/>
              </w:rPr>
              <w:t>68357</w:t>
            </w:r>
          </w:p>
        </w:tc>
        <w:tc>
          <w:tcPr>
            <w:tcW w:w="0" w:type="auto"/>
            <w:shd w:val="clear" w:color="auto" w:fill="auto"/>
          </w:tcPr>
          <w:p w14:paraId="45DC4E8C" w14:textId="77777777" w:rsidR="004672DB" w:rsidRPr="00B85D62" w:rsidRDefault="004672DB" w:rsidP="004672DB">
            <w:r w:rsidRPr="00B85D62">
              <w:rPr>
                <w:rFonts w:eastAsia="Arial" w:cs="Arial"/>
                <w:sz w:val="18"/>
                <w:szCs w:val="18"/>
              </w:rPr>
              <w:t>G31y100</w:t>
            </w:r>
          </w:p>
        </w:tc>
        <w:tc>
          <w:tcPr>
            <w:tcW w:w="0" w:type="auto"/>
            <w:shd w:val="clear" w:color="auto" w:fill="auto"/>
          </w:tcPr>
          <w:p w14:paraId="2FBE2C59" w14:textId="77777777" w:rsidR="004672DB" w:rsidRPr="00B85D62" w:rsidRDefault="004672DB" w:rsidP="004672DB">
            <w:r w:rsidRPr="00B85D62">
              <w:rPr>
                <w:rFonts w:eastAsia="Arial" w:cs="Arial"/>
                <w:sz w:val="18"/>
                <w:szCs w:val="18"/>
              </w:rPr>
              <w:t>Microinfarction of heart</w:t>
            </w:r>
          </w:p>
        </w:tc>
      </w:tr>
      <w:tr w:rsidR="004672DB" w:rsidRPr="00B85D62" w14:paraId="6938B0A9" w14:textId="77777777" w:rsidTr="00B85D62">
        <w:trPr>
          <w:cantSplit/>
        </w:trPr>
        <w:tc>
          <w:tcPr>
            <w:tcW w:w="0" w:type="auto"/>
            <w:shd w:val="clear" w:color="auto" w:fill="auto"/>
          </w:tcPr>
          <w:p w14:paraId="0C445404" w14:textId="77777777" w:rsidR="004672DB" w:rsidRPr="00B85D62" w:rsidRDefault="004672DB" w:rsidP="004672DB">
            <w:r w:rsidRPr="00B85D62">
              <w:rPr>
                <w:rFonts w:eastAsia="Arial" w:cs="Arial"/>
                <w:sz w:val="18"/>
                <w:szCs w:val="18"/>
              </w:rPr>
              <w:t>27977</w:t>
            </w:r>
          </w:p>
        </w:tc>
        <w:tc>
          <w:tcPr>
            <w:tcW w:w="0" w:type="auto"/>
            <w:shd w:val="clear" w:color="auto" w:fill="auto"/>
          </w:tcPr>
          <w:p w14:paraId="3457CD8F" w14:textId="77777777" w:rsidR="004672DB" w:rsidRPr="00B85D62" w:rsidRDefault="004672DB" w:rsidP="004672DB">
            <w:r w:rsidRPr="00B85D62">
              <w:rPr>
                <w:rFonts w:eastAsia="Arial" w:cs="Arial"/>
                <w:sz w:val="18"/>
                <w:szCs w:val="18"/>
              </w:rPr>
              <w:t>G31yz00</w:t>
            </w:r>
          </w:p>
        </w:tc>
        <w:tc>
          <w:tcPr>
            <w:tcW w:w="0" w:type="auto"/>
            <w:shd w:val="clear" w:color="auto" w:fill="auto"/>
          </w:tcPr>
          <w:p w14:paraId="2775B1F4" w14:textId="77777777" w:rsidR="004672DB" w:rsidRPr="00B85D62" w:rsidRDefault="004672DB" w:rsidP="004672DB">
            <w:r w:rsidRPr="00B85D62">
              <w:rPr>
                <w:rFonts w:eastAsia="Arial" w:cs="Arial"/>
                <w:sz w:val="18"/>
                <w:szCs w:val="18"/>
              </w:rPr>
              <w:t>Other acute and subacute ischaemic heart disease NOS</w:t>
            </w:r>
          </w:p>
        </w:tc>
      </w:tr>
      <w:tr w:rsidR="004672DB" w:rsidRPr="00B85D62" w14:paraId="3328089D" w14:textId="77777777" w:rsidTr="00B85D62">
        <w:trPr>
          <w:cantSplit/>
        </w:trPr>
        <w:tc>
          <w:tcPr>
            <w:tcW w:w="0" w:type="auto"/>
            <w:shd w:val="clear" w:color="auto" w:fill="auto"/>
          </w:tcPr>
          <w:p w14:paraId="3EDE2720" w14:textId="77777777" w:rsidR="004672DB" w:rsidRPr="00B85D62" w:rsidRDefault="004672DB" w:rsidP="004672DB">
            <w:r w:rsidRPr="00B85D62">
              <w:rPr>
                <w:rFonts w:eastAsia="Arial" w:cs="Arial"/>
                <w:sz w:val="18"/>
                <w:szCs w:val="18"/>
              </w:rPr>
              <w:t>4017</w:t>
            </w:r>
          </w:p>
        </w:tc>
        <w:tc>
          <w:tcPr>
            <w:tcW w:w="0" w:type="auto"/>
            <w:shd w:val="clear" w:color="auto" w:fill="auto"/>
          </w:tcPr>
          <w:p w14:paraId="6B8FC765" w14:textId="77777777" w:rsidR="004672DB" w:rsidRPr="00B85D62" w:rsidRDefault="004672DB" w:rsidP="004672DB">
            <w:r w:rsidRPr="00B85D62">
              <w:rPr>
                <w:rFonts w:eastAsia="Arial" w:cs="Arial"/>
                <w:sz w:val="18"/>
                <w:szCs w:val="18"/>
              </w:rPr>
              <w:t>G32..00</w:t>
            </w:r>
          </w:p>
        </w:tc>
        <w:tc>
          <w:tcPr>
            <w:tcW w:w="0" w:type="auto"/>
            <w:shd w:val="clear" w:color="auto" w:fill="auto"/>
          </w:tcPr>
          <w:p w14:paraId="05E1668E" w14:textId="77777777" w:rsidR="004672DB" w:rsidRPr="00B85D62" w:rsidRDefault="004672DB" w:rsidP="004672DB">
            <w:r w:rsidRPr="00B85D62">
              <w:rPr>
                <w:rFonts w:eastAsia="Arial" w:cs="Arial"/>
                <w:sz w:val="18"/>
                <w:szCs w:val="18"/>
              </w:rPr>
              <w:t>Old myocardial infarction</w:t>
            </w:r>
          </w:p>
        </w:tc>
      </w:tr>
      <w:tr w:rsidR="004672DB" w:rsidRPr="00B85D62" w14:paraId="01E4188D" w14:textId="77777777" w:rsidTr="00B85D62">
        <w:trPr>
          <w:cantSplit/>
        </w:trPr>
        <w:tc>
          <w:tcPr>
            <w:tcW w:w="0" w:type="auto"/>
            <w:shd w:val="clear" w:color="auto" w:fill="auto"/>
          </w:tcPr>
          <w:p w14:paraId="21DF3D43" w14:textId="77777777" w:rsidR="004672DB" w:rsidRPr="00B85D62" w:rsidRDefault="004672DB" w:rsidP="004672DB">
            <w:r w:rsidRPr="00B85D62">
              <w:rPr>
                <w:rFonts w:eastAsia="Arial" w:cs="Arial"/>
                <w:sz w:val="18"/>
                <w:szCs w:val="18"/>
              </w:rPr>
              <w:t>1430</w:t>
            </w:r>
          </w:p>
        </w:tc>
        <w:tc>
          <w:tcPr>
            <w:tcW w:w="0" w:type="auto"/>
            <w:shd w:val="clear" w:color="auto" w:fill="auto"/>
          </w:tcPr>
          <w:p w14:paraId="0C3DFF19" w14:textId="77777777" w:rsidR="004672DB" w:rsidRPr="00B85D62" w:rsidRDefault="004672DB" w:rsidP="004672DB">
            <w:r w:rsidRPr="00B85D62">
              <w:rPr>
                <w:rFonts w:eastAsia="Arial" w:cs="Arial"/>
                <w:sz w:val="18"/>
                <w:szCs w:val="18"/>
              </w:rPr>
              <w:t>G33..00</w:t>
            </w:r>
          </w:p>
        </w:tc>
        <w:tc>
          <w:tcPr>
            <w:tcW w:w="0" w:type="auto"/>
            <w:shd w:val="clear" w:color="auto" w:fill="auto"/>
          </w:tcPr>
          <w:p w14:paraId="417007B2" w14:textId="77777777" w:rsidR="004672DB" w:rsidRPr="00B85D62" w:rsidRDefault="004672DB" w:rsidP="004672DB">
            <w:r w:rsidRPr="00B85D62">
              <w:rPr>
                <w:rFonts w:eastAsia="Arial" w:cs="Arial"/>
                <w:sz w:val="18"/>
                <w:szCs w:val="18"/>
              </w:rPr>
              <w:t>Angina pectoris</w:t>
            </w:r>
          </w:p>
        </w:tc>
      </w:tr>
      <w:tr w:rsidR="004672DB" w:rsidRPr="00B85D62" w14:paraId="69B30CFF" w14:textId="77777777" w:rsidTr="00B85D62">
        <w:trPr>
          <w:cantSplit/>
        </w:trPr>
        <w:tc>
          <w:tcPr>
            <w:tcW w:w="0" w:type="auto"/>
            <w:shd w:val="clear" w:color="auto" w:fill="auto"/>
          </w:tcPr>
          <w:p w14:paraId="268E8761" w14:textId="77777777" w:rsidR="004672DB" w:rsidRPr="00B85D62" w:rsidRDefault="004672DB" w:rsidP="004672DB">
            <w:r w:rsidRPr="00B85D62">
              <w:rPr>
                <w:rFonts w:eastAsia="Arial" w:cs="Arial"/>
                <w:sz w:val="18"/>
                <w:szCs w:val="18"/>
              </w:rPr>
              <w:t>20095</w:t>
            </w:r>
          </w:p>
        </w:tc>
        <w:tc>
          <w:tcPr>
            <w:tcW w:w="0" w:type="auto"/>
            <w:shd w:val="clear" w:color="auto" w:fill="auto"/>
          </w:tcPr>
          <w:p w14:paraId="44EC69E2" w14:textId="77777777" w:rsidR="004672DB" w:rsidRPr="00B85D62" w:rsidRDefault="004672DB" w:rsidP="004672DB">
            <w:r w:rsidRPr="00B85D62">
              <w:rPr>
                <w:rFonts w:eastAsia="Arial" w:cs="Arial"/>
                <w:sz w:val="18"/>
                <w:szCs w:val="18"/>
              </w:rPr>
              <w:t>G330.00</w:t>
            </w:r>
          </w:p>
        </w:tc>
        <w:tc>
          <w:tcPr>
            <w:tcW w:w="0" w:type="auto"/>
            <w:shd w:val="clear" w:color="auto" w:fill="auto"/>
          </w:tcPr>
          <w:p w14:paraId="3CA6E52F" w14:textId="77777777" w:rsidR="004672DB" w:rsidRPr="00B85D62" w:rsidRDefault="004672DB" w:rsidP="004672DB">
            <w:r w:rsidRPr="00B85D62">
              <w:rPr>
                <w:rFonts w:eastAsia="Arial" w:cs="Arial"/>
                <w:sz w:val="18"/>
                <w:szCs w:val="18"/>
              </w:rPr>
              <w:t>Angina decubitus</w:t>
            </w:r>
          </w:p>
        </w:tc>
      </w:tr>
      <w:tr w:rsidR="004672DB" w:rsidRPr="00B85D62" w14:paraId="06D63BD5" w14:textId="77777777" w:rsidTr="00B85D62">
        <w:trPr>
          <w:cantSplit/>
        </w:trPr>
        <w:tc>
          <w:tcPr>
            <w:tcW w:w="0" w:type="auto"/>
            <w:shd w:val="clear" w:color="auto" w:fill="auto"/>
          </w:tcPr>
          <w:p w14:paraId="15067313" w14:textId="77777777" w:rsidR="004672DB" w:rsidRPr="00B85D62" w:rsidRDefault="004672DB" w:rsidP="004672DB">
            <w:r w:rsidRPr="00B85D62">
              <w:rPr>
                <w:rFonts w:eastAsia="Arial" w:cs="Arial"/>
                <w:sz w:val="18"/>
                <w:szCs w:val="18"/>
              </w:rPr>
              <w:t>18125</w:t>
            </w:r>
          </w:p>
        </w:tc>
        <w:tc>
          <w:tcPr>
            <w:tcW w:w="0" w:type="auto"/>
            <w:shd w:val="clear" w:color="auto" w:fill="auto"/>
          </w:tcPr>
          <w:p w14:paraId="33794A9D" w14:textId="77777777" w:rsidR="004672DB" w:rsidRPr="00B85D62" w:rsidRDefault="004672DB" w:rsidP="004672DB">
            <w:r w:rsidRPr="00B85D62">
              <w:rPr>
                <w:rFonts w:eastAsia="Arial" w:cs="Arial"/>
                <w:sz w:val="18"/>
                <w:szCs w:val="18"/>
              </w:rPr>
              <w:t>G330000</w:t>
            </w:r>
          </w:p>
        </w:tc>
        <w:tc>
          <w:tcPr>
            <w:tcW w:w="0" w:type="auto"/>
            <w:shd w:val="clear" w:color="auto" w:fill="auto"/>
          </w:tcPr>
          <w:p w14:paraId="4F30310A" w14:textId="77777777" w:rsidR="004672DB" w:rsidRPr="00B85D62" w:rsidRDefault="004672DB" w:rsidP="004672DB">
            <w:r w:rsidRPr="00B85D62">
              <w:rPr>
                <w:rFonts w:eastAsia="Arial" w:cs="Arial"/>
                <w:sz w:val="18"/>
                <w:szCs w:val="18"/>
              </w:rPr>
              <w:t>Nocturnal angina</w:t>
            </w:r>
          </w:p>
        </w:tc>
      </w:tr>
      <w:tr w:rsidR="004672DB" w:rsidRPr="00B85D62" w14:paraId="23542AA6" w14:textId="77777777" w:rsidTr="00B85D62">
        <w:trPr>
          <w:cantSplit/>
        </w:trPr>
        <w:tc>
          <w:tcPr>
            <w:tcW w:w="0" w:type="auto"/>
            <w:shd w:val="clear" w:color="auto" w:fill="auto"/>
          </w:tcPr>
          <w:p w14:paraId="63C1FCC5" w14:textId="77777777" w:rsidR="004672DB" w:rsidRPr="00B85D62" w:rsidRDefault="004672DB" w:rsidP="004672DB">
            <w:r w:rsidRPr="00B85D62">
              <w:rPr>
                <w:rFonts w:eastAsia="Arial" w:cs="Arial"/>
                <w:sz w:val="18"/>
                <w:szCs w:val="18"/>
              </w:rPr>
              <w:t>29902</w:t>
            </w:r>
          </w:p>
        </w:tc>
        <w:tc>
          <w:tcPr>
            <w:tcW w:w="0" w:type="auto"/>
            <w:shd w:val="clear" w:color="auto" w:fill="auto"/>
          </w:tcPr>
          <w:p w14:paraId="240AF9B8" w14:textId="77777777" w:rsidR="004672DB" w:rsidRPr="00B85D62" w:rsidRDefault="004672DB" w:rsidP="004672DB">
            <w:r w:rsidRPr="00B85D62">
              <w:rPr>
                <w:rFonts w:eastAsia="Arial" w:cs="Arial"/>
                <w:sz w:val="18"/>
                <w:szCs w:val="18"/>
              </w:rPr>
              <w:t>G330z00</w:t>
            </w:r>
          </w:p>
        </w:tc>
        <w:tc>
          <w:tcPr>
            <w:tcW w:w="0" w:type="auto"/>
            <w:shd w:val="clear" w:color="auto" w:fill="auto"/>
          </w:tcPr>
          <w:p w14:paraId="541ACDC0" w14:textId="77777777" w:rsidR="004672DB" w:rsidRPr="00B85D62" w:rsidRDefault="004672DB" w:rsidP="004672DB">
            <w:r w:rsidRPr="00B85D62">
              <w:rPr>
                <w:rFonts w:eastAsia="Arial" w:cs="Arial"/>
                <w:sz w:val="18"/>
                <w:szCs w:val="18"/>
              </w:rPr>
              <w:t>Angina decubitus NOS</w:t>
            </w:r>
          </w:p>
        </w:tc>
      </w:tr>
      <w:tr w:rsidR="004672DB" w:rsidRPr="00B85D62" w14:paraId="11B1A2A6" w14:textId="77777777" w:rsidTr="00B85D62">
        <w:trPr>
          <w:cantSplit/>
        </w:trPr>
        <w:tc>
          <w:tcPr>
            <w:tcW w:w="0" w:type="auto"/>
            <w:shd w:val="clear" w:color="auto" w:fill="auto"/>
          </w:tcPr>
          <w:p w14:paraId="6EF4EB5B" w14:textId="77777777" w:rsidR="004672DB" w:rsidRPr="00B85D62" w:rsidRDefault="004672DB" w:rsidP="004672DB">
            <w:r w:rsidRPr="00B85D62">
              <w:rPr>
                <w:rFonts w:eastAsia="Arial" w:cs="Arial"/>
                <w:sz w:val="18"/>
                <w:szCs w:val="18"/>
              </w:rPr>
              <w:t>11048</w:t>
            </w:r>
          </w:p>
        </w:tc>
        <w:tc>
          <w:tcPr>
            <w:tcW w:w="0" w:type="auto"/>
            <w:shd w:val="clear" w:color="auto" w:fill="auto"/>
          </w:tcPr>
          <w:p w14:paraId="44F60615" w14:textId="77777777" w:rsidR="004672DB" w:rsidRPr="00B85D62" w:rsidRDefault="004672DB" w:rsidP="004672DB">
            <w:r w:rsidRPr="00B85D62">
              <w:rPr>
                <w:rFonts w:eastAsia="Arial" w:cs="Arial"/>
                <w:sz w:val="18"/>
                <w:szCs w:val="18"/>
              </w:rPr>
              <w:t>G331.11</w:t>
            </w:r>
          </w:p>
        </w:tc>
        <w:tc>
          <w:tcPr>
            <w:tcW w:w="0" w:type="auto"/>
            <w:shd w:val="clear" w:color="auto" w:fill="auto"/>
          </w:tcPr>
          <w:p w14:paraId="2D542F91" w14:textId="77777777" w:rsidR="004672DB" w:rsidRPr="00B85D62" w:rsidRDefault="004672DB" w:rsidP="004672DB">
            <w:r w:rsidRPr="00B85D62">
              <w:rPr>
                <w:rFonts w:eastAsia="Arial" w:cs="Arial"/>
                <w:sz w:val="18"/>
                <w:szCs w:val="18"/>
              </w:rPr>
              <w:t>Variant angina pectoris</w:t>
            </w:r>
          </w:p>
        </w:tc>
      </w:tr>
      <w:tr w:rsidR="004672DB" w:rsidRPr="00B85D62" w14:paraId="706D7E8D" w14:textId="77777777" w:rsidTr="00B85D62">
        <w:trPr>
          <w:cantSplit/>
        </w:trPr>
        <w:tc>
          <w:tcPr>
            <w:tcW w:w="0" w:type="auto"/>
            <w:shd w:val="clear" w:color="auto" w:fill="auto"/>
          </w:tcPr>
          <w:p w14:paraId="66B96D07" w14:textId="77777777" w:rsidR="004672DB" w:rsidRPr="00B85D62" w:rsidRDefault="004672DB" w:rsidP="004672DB">
            <w:r w:rsidRPr="00B85D62">
              <w:rPr>
                <w:rFonts w:eastAsia="Arial" w:cs="Arial"/>
                <w:sz w:val="18"/>
                <w:szCs w:val="18"/>
              </w:rPr>
              <w:t>36854</w:t>
            </w:r>
          </w:p>
        </w:tc>
        <w:tc>
          <w:tcPr>
            <w:tcW w:w="0" w:type="auto"/>
            <w:shd w:val="clear" w:color="auto" w:fill="auto"/>
          </w:tcPr>
          <w:p w14:paraId="7298A49E" w14:textId="77777777" w:rsidR="004672DB" w:rsidRPr="00B85D62" w:rsidRDefault="004672DB" w:rsidP="004672DB">
            <w:r w:rsidRPr="00B85D62">
              <w:rPr>
                <w:rFonts w:eastAsia="Arial" w:cs="Arial"/>
                <w:sz w:val="18"/>
                <w:szCs w:val="18"/>
              </w:rPr>
              <w:t>G332.00</w:t>
            </w:r>
          </w:p>
        </w:tc>
        <w:tc>
          <w:tcPr>
            <w:tcW w:w="0" w:type="auto"/>
            <w:shd w:val="clear" w:color="auto" w:fill="auto"/>
          </w:tcPr>
          <w:p w14:paraId="64F043FF" w14:textId="77777777" w:rsidR="004672DB" w:rsidRPr="00B85D62" w:rsidRDefault="004672DB" w:rsidP="004672DB">
            <w:r w:rsidRPr="00B85D62">
              <w:rPr>
                <w:rFonts w:eastAsia="Arial" w:cs="Arial"/>
                <w:sz w:val="18"/>
                <w:szCs w:val="18"/>
              </w:rPr>
              <w:t>Coronary artery spasm</w:t>
            </w:r>
          </w:p>
        </w:tc>
      </w:tr>
      <w:tr w:rsidR="004672DB" w:rsidRPr="00B85D62" w14:paraId="6097D0BB" w14:textId="77777777" w:rsidTr="00B85D62">
        <w:trPr>
          <w:cantSplit/>
        </w:trPr>
        <w:tc>
          <w:tcPr>
            <w:tcW w:w="0" w:type="auto"/>
            <w:shd w:val="clear" w:color="auto" w:fill="auto"/>
          </w:tcPr>
          <w:p w14:paraId="339CDD29" w14:textId="77777777" w:rsidR="004672DB" w:rsidRPr="00B85D62" w:rsidRDefault="004672DB" w:rsidP="004672DB">
            <w:r w:rsidRPr="00B85D62">
              <w:rPr>
                <w:rFonts w:eastAsia="Arial" w:cs="Arial"/>
                <w:sz w:val="18"/>
                <w:szCs w:val="18"/>
              </w:rPr>
              <w:t>25842</w:t>
            </w:r>
          </w:p>
        </w:tc>
        <w:tc>
          <w:tcPr>
            <w:tcW w:w="0" w:type="auto"/>
            <w:shd w:val="clear" w:color="auto" w:fill="auto"/>
          </w:tcPr>
          <w:p w14:paraId="23DD4424" w14:textId="77777777" w:rsidR="004672DB" w:rsidRPr="00B85D62" w:rsidRDefault="004672DB" w:rsidP="004672DB">
            <w:r w:rsidRPr="00B85D62">
              <w:rPr>
                <w:rFonts w:eastAsia="Arial" w:cs="Arial"/>
                <w:sz w:val="18"/>
                <w:szCs w:val="18"/>
              </w:rPr>
              <w:t>G33z.00</w:t>
            </w:r>
          </w:p>
        </w:tc>
        <w:tc>
          <w:tcPr>
            <w:tcW w:w="0" w:type="auto"/>
            <w:shd w:val="clear" w:color="auto" w:fill="auto"/>
          </w:tcPr>
          <w:p w14:paraId="7A8BCF2C" w14:textId="77777777" w:rsidR="004672DB" w:rsidRPr="00B85D62" w:rsidRDefault="004672DB" w:rsidP="004672DB">
            <w:r w:rsidRPr="00B85D62">
              <w:rPr>
                <w:rFonts w:eastAsia="Arial" w:cs="Arial"/>
                <w:sz w:val="18"/>
                <w:szCs w:val="18"/>
              </w:rPr>
              <w:t>Angina pectoris NOS</w:t>
            </w:r>
          </w:p>
        </w:tc>
      </w:tr>
      <w:tr w:rsidR="004672DB" w:rsidRPr="00B85D62" w14:paraId="7ACC1264" w14:textId="77777777" w:rsidTr="00B85D62">
        <w:trPr>
          <w:cantSplit/>
        </w:trPr>
        <w:tc>
          <w:tcPr>
            <w:tcW w:w="0" w:type="auto"/>
            <w:shd w:val="clear" w:color="auto" w:fill="auto"/>
          </w:tcPr>
          <w:p w14:paraId="3B2F789D" w14:textId="77777777" w:rsidR="004672DB" w:rsidRPr="00B85D62" w:rsidRDefault="004672DB" w:rsidP="004672DB">
            <w:r w:rsidRPr="00B85D62">
              <w:rPr>
                <w:rFonts w:eastAsia="Arial" w:cs="Arial"/>
                <w:sz w:val="18"/>
                <w:szCs w:val="18"/>
              </w:rPr>
              <w:t>1414</w:t>
            </w:r>
          </w:p>
        </w:tc>
        <w:tc>
          <w:tcPr>
            <w:tcW w:w="0" w:type="auto"/>
            <w:shd w:val="clear" w:color="auto" w:fill="auto"/>
          </w:tcPr>
          <w:p w14:paraId="27330158" w14:textId="77777777" w:rsidR="004672DB" w:rsidRPr="00B85D62" w:rsidRDefault="004672DB" w:rsidP="004672DB">
            <w:r w:rsidRPr="00B85D62">
              <w:rPr>
                <w:rFonts w:eastAsia="Arial" w:cs="Arial"/>
                <w:sz w:val="18"/>
                <w:szCs w:val="18"/>
              </w:rPr>
              <w:t>G33z300</w:t>
            </w:r>
          </w:p>
        </w:tc>
        <w:tc>
          <w:tcPr>
            <w:tcW w:w="0" w:type="auto"/>
            <w:shd w:val="clear" w:color="auto" w:fill="auto"/>
          </w:tcPr>
          <w:p w14:paraId="6AC74C6E" w14:textId="77777777" w:rsidR="004672DB" w:rsidRPr="00B85D62" w:rsidRDefault="004672DB" w:rsidP="004672DB">
            <w:r w:rsidRPr="00B85D62">
              <w:rPr>
                <w:rFonts w:eastAsia="Arial" w:cs="Arial"/>
                <w:sz w:val="18"/>
                <w:szCs w:val="18"/>
              </w:rPr>
              <w:t>Angina on effort</w:t>
            </w:r>
          </w:p>
        </w:tc>
      </w:tr>
      <w:tr w:rsidR="004672DB" w:rsidRPr="00B85D62" w14:paraId="7F6B48DF" w14:textId="77777777" w:rsidTr="00B85D62">
        <w:trPr>
          <w:cantSplit/>
        </w:trPr>
        <w:tc>
          <w:tcPr>
            <w:tcW w:w="0" w:type="auto"/>
            <w:shd w:val="clear" w:color="auto" w:fill="auto"/>
          </w:tcPr>
          <w:p w14:paraId="01EA7F0B" w14:textId="77777777" w:rsidR="004672DB" w:rsidRPr="00B85D62" w:rsidRDefault="004672DB" w:rsidP="004672DB">
            <w:r w:rsidRPr="00B85D62">
              <w:rPr>
                <w:rFonts w:eastAsia="Arial" w:cs="Arial"/>
                <w:sz w:val="18"/>
                <w:szCs w:val="18"/>
              </w:rPr>
              <w:t>9555</w:t>
            </w:r>
          </w:p>
        </w:tc>
        <w:tc>
          <w:tcPr>
            <w:tcW w:w="0" w:type="auto"/>
            <w:shd w:val="clear" w:color="auto" w:fill="auto"/>
          </w:tcPr>
          <w:p w14:paraId="1C186E17" w14:textId="77777777" w:rsidR="004672DB" w:rsidRPr="00B85D62" w:rsidRDefault="004672DB" w:rsidP="004672DB">
            <w:r w:rsidRPr="00B85D62">
              <w:rPr>
                <w:rFonts w:eastAsia="Arial" w:cs="Arial"/>
                <w:sz w:val="18"/>
                <w:szCs w:val="18"/>
              </w:rPr>
              <w:t>G33z500</w:t>
            </w:r>
          </w:p>
        </w:tc>
        <w:tc>
          <w:tcPr>
            <w:tcW w:w="0" w:type="auto"/>
            <w:shd w:val="clear" w:color="auto" w:fill="auto"/>
          </w:tcPr>
          <w:p w14:paraId="70441876" w14:textId="77777777" w:rsidR="004672DB" w:rsidRPr="00B85D62" w:rsidRDefault="004672DB" w:rsidP="004672DB">
            <w:r w:rsidRPr="00B85D62">
              <w:rPr>
                <w:rFonts w:eastAsia="Arial" w:cs="Arial"/>
                <w:sz w:val="18"/>
                <w:szCs w:val="18"/>
              </w:rPr>
              <w:t>Post infarct angina</w:t>
            </w:r>
          </w:p>
        </w:tc>
      </w:tr>
      <w:tr w:rsidR="004672DB" w:rsidRPr="00B85D62" w14:paraId="77CF1293" w14:textId="77777777" w:rsidTr="00B85D62">
        <w:trPr>
          <w:cantSplit/>
        </w:trPr>
        <w:tc>
          <w:tcPr>
            <w:tcW w:w="0" w:type="auto"/>
            <w:shd w:val="clear" w:color="auto" w:fill="auto"/>
          </w:tcPr>
          <w:p w14:paraId="51D78354" w14:textId="77777777" w:rsidR="004672DB" w:rsidRPr="00B85D62" w:rsidRDefault="004672DB" w:rsidP="004672DB">
            <w:r w:rsidRPr="00B85D62">
              <w:rPr>
                <w:rFonts w:eastAsia="Arial" w:cs="Arial"/>
                <w:sz w:val="18"/>
                <w:szCs w:val="18"/>
              </w:rPr>
              <w:t>26863</w:t>
            </w:r>
          </w:p>
        </w:tc>
        <w:tc>
          <w:tcPr>
            <w:tcW w:w="0" w:type="auto"/>
            <w:shd w:val="clear" w:color="auto" w:fill="auto"/>
          </w:tcPr>
          <w:p w14:paraId="53D61225" w14:textId="77777777" w:rsidR="004672DB" w:rsidRPr="00B85D62" w:rsidRDefault="004672DB" w:rsidP="004672DB">
            <w:r w:rsidRPr="00B85D62">
              <w:rPr>
                <w:rFonts w:eastAsia="Arial" w:cs="Arial"/>
                <w:sz w:val="18"/>
                <w:szCs w:val="18"/>
              </w:rPr>
              <w:t>G33z600</w:t>
            </w:r>
          </w:p>
        </w:tc>
        <w:tc>
          <w:tcPr>
            <w:tcW w:w="0" w:type="auto"/>
            <w:shd w:val="clear" w:color="auto" w:fill="auto"/>
          </w:tcPr>
          <w:p w14:paraId="5682ED1B" w14:textId="77777777" w:rsidR="004672DB" w:rsidRPr="00B85D62" w:rsidRDefault="004672DB" w:rsidP="004672DB">
            <w:r w:rsidRPr="00B85D62">
              <w:rPr>
                <w:rFonts w:eastAsia="Arial" w:cs="Arial"/>
                <w:sz w:val="18"/>
                <w:szCs w:val="18"/>
              </w:rPr>
              <w:t>New onset angina</w:t>
            </w:r>
          </w:p>
        </w:tc>
      </w:tr>
      <w:tr w:rsidR="004672DB" w:rsidRPr="00B85D62" w14:paraId="53A6C660" w14:textId="77777777" w:rsidTr="00B85D62">
        <w:trPr>
          <w:cantSplit/>
        </w:trPr>
        <w:tc>
          <w:tcPr>
            <w:tcW w:w="0" w:type="auto"/>
            <w:shd w:val="clear" w:color="auto" w:fill="auto"/>
          </w:tcPr>
          <w:p w14:paraId="5E089593" w14:textId="77777777" w:rsidR="004672DB" w:rsidRPr="00B85D62" w:rsidRDefault="004672DB" w:rsidP="004672DB">
            <w:r w:rsidRPr="00B85D62">
              <w:rPr>
                <w:rFonts w:eastAsia="Arial" w:cs="Arial"/>
                <w:sz w:val="18"/>
                <w:szCs w:val="18"/>
              </w:rPr>
              <w:t>12804</w:t>
            </w:r>
          </w:p>
        </w:tc>
        <w:tc>
          <w:tcPr>
            <w:tcW w:w="0" w:type="auto"/>
            <w:shd w:val="clear" w:color="auto" w:fill="auto"/>
          </w:tcPr>
          <w:p w14:paraId="0A5F1221" w14:textId="77777777" w:rsidR="004672DB" w:rsidRPr="00B85D62" w:rsidRDefault="004672DB" w:rsidP="004672DB">
            <w:r w:rsidRPr="00B85D62">
              <w:rPr>
                <w:rFonts w:eastAsia="Arial" w:cs="Arial"/>
                <w:sz w:val="18"/>
                <w:szCs w:val="18"/>
              </w:rPr>
              <w:t>G33z700</w:t>
            </w:r>
          </w:p>
        </w:tc>
        <w:tc>
          <w:tcPr>
            <w:tcW w:w="0" w:type="auto"/>
            <w:shd w:val="clear" w:color="auto" w:fill="auto"/>
          </w:tcPr>
          <w:p w14:paraId="7C473AC6" w14:textId="77777777" w:rsidR="004672DB" w:rsidRPr="00B85D62" w:rsidRDefault="004672DB" w:rsidP="004672DB">
            <w:r w:rsidRPr="00B85D62">
              <w:rPr>
                <w:rFonts w:eastAsia="Arial" w:cs="Arial"/>
                <w:sz w:val="18"/>
                <w:szCs w:val="18"/>
              </w:rPr>
              <w:t>Stable angina</w:t>
            </w:r>
          </w:p>
        </w:tc>
      </w:tr>
      <w:tr w:rsidR="004672DB" w:rsidRPr="00B85D62" w14:paraId="639E113F" w14:textId="77777777" w:rsidTr="00B85D62">
        <w:trPr>
          <w:cantSplit/>
        </w:trPr>
        <w:tc>
          <w:tcPr>
            <w:tcW w:w="0" w:type="auto"/>
            <w:shd w:val="clear" w:color="auto" w:fill="auto"/>
          </w:tcPr>
          <w:p w14:paraId="401521DF" w14:textId="77777777" w:rsidR="004672DB" w:rsidRPr="00B85D62" w:rsidRDefault="004672DB" w:rsidP="004672DB">
            <w:r w:rsidRPr="00B85D62">
              <w:rPr>
                <w:rFonts w:eastAsia="Arial" w:cs="Arial"/>
                <w:sz w:val="18"/>
                <w:szCs w:val="18"/>
              </w:rPr>
              <w:t>28554</w:t>
            </w:r>
          </w:p>
        </w:tc>
        <w:tc>
          <w:tcPr>
            <w:tcW w:w="0" w:type="auto"/>
            <w:shd w:val="clear" w:color="auto" w:fill="auto"/>
          </w:tcPr>
          <w:p w14:paraId="05C14F6B" w14:textId="77777777" w:rsidR="004672DB" w:rsidRPr="00B85D62" w:rsidRDefault="004672DB" w:rsidP="004672DB">
            <w:r w:rsidRPr="00B85D62">
              <w:rPr>
                <w:rFonts w:eastAsia="Arial" w:cs="Arial"/>
                <w:sz w:val="18"/>
                <w:szCs w:val="18"/>
              </w:rPr>
              <w:t>G33zz00</w:t>
            </w:r>
          </w:p>
        </w:tc>
        <w:tc>
          <w:tcPr>
            <w:tcW w:w="0" w:type="auto"/>
            <w:shd w:val="clear" w:color="auto" w:fill="auto"/>
          </w:tcPr>
          <w:p w14:paraId="64106275" w14:textId="77777777" w:rsidR="004672DB" w:rsidRPr="00B85D62" w:rsidRDefault="004672DB" w:rsidP="004672DB">
            <w:r w:rsidRPr="00B85D62">
              <w:rPr>
                <w:rFonts w:eastAsia="Arial" w:cs="Arial"/>
                <w:sz w:val="18"/>
                <w:szCs w:val="18"/>
              </w:rPr>
              <w:t>Angina pectoris NOS</w:t>
            </w:r>
          </w:p>
        </w:tc>
      </w:tr>
      <w:tr w:rsidR="004672DB" w:rsidRPr="00B85D62" w14:paraId="3521727E" w14:textId="77777777" w:rsidTr="00B85D62">
        <w:trPr>
          <w:cantSplit/>
        </w:trPr>
        <w:tc>
          <w:tcPr>
            <w:tcW w:w="0" w:type="auto"/>
            <w:shd w:val="clear" w:color="auto" w:fill="auto"/>
          </w:tcPr>
          <w:p w14:paraId="4208898F" w14:textId="77777777" w:rsidR="004672DB" w:rsidRPr="00B85D62" w:rsidRDefault="004672DB" w:rsidP="004672DB">
            <w:r w:rsidRPr="00B85D62">
              <w:rPr>
                <w:rFonts w:eastAsia="Arial" w:cs="Arial"/>
                <w:sz w:val="18"/>
                <w:szCs w:val="18"/>
              </w:rPr>
              <w:t>28138</w:t>
            </w:r>
          </w:p>
        </w:tc>
        <w:tc>
          <w:tcPr>
            <w:tcW w:w="0" w:type="auto"/>
            <w:shd w:val="clear" w:color="auto" w:fill="auto"/>
          </w:tcPr>
          <w:p w14:paraId="5C920D76" w14:textId="77777777" w:rsidR="004672DB" w:rsidRPr="00B85D62" w:rsidRDefault="004672DB" w:rsidP="004672DB">
            <w:r w:rsidRPr="00B85D62">
              <w:rPr>
                <w:rFonts w:eastAsia="Arial" w:cs="Arial"/>
                <w:sz w:val="18"/>
                <w:szCs w:val="18"/>
              </w:rPr>
              <w:t>G34..00</w:t>
            </w:r>
          </w:p>
        </w:tc>
        <w:tc>
          <w:tcPr>
            <w:tcW w:w="0" w:type="auto"/>
            <w:shd w:val="clear" w:color="auto" w:fill="auto"/>
          </w:tcPr>
          <w:p w14:paraId="6A1B51E3" w14:textId="77777777" w:rsidR="004672DB" w:rsidRPr="00B85D62" w:rsidRDefault="004672DB" w:rsidP="004672DB">
            <w:r w:rsidRPr="00B85D62">
              <w:rPr>
                <w:rFonts w:eastAsia="Arial" w:cs="Arial"/>
                <w:sz w:val="18"/>
                <w:szCs w:val="18"/>
              </w:rPr>
              <w:t>Other chronic ischaemic heart disease</w:t>
            </w:r>
          </w:p>
        </w:tc>
      </w:tr>
      <w:tr w:rsidR="004672DB" w:rsidRPr="00B85D62" w14:paraId="5127295D" w14:textId="77777777" w:rsidTr="00B85D62">
        <w:trPr>
          <w:cantSplit/>
        </w:trPr>
        <w:tc>
          <w:tcPr>
            <w:tcW w:w="0" w:type="auto"/>
            <w:shd w:val="clear" w:color="auto" w:fill="auto"/>
          </w:tcPr>
          <w:p w14:paraId="5F321D5E" w14:textId="77777777" w:rsidR="004672DB" w:rsidRPr="00B85D62" w:rsidRDefault="004672DB" w:rsidP="004672DB">
            <w:r w:rsidRPr="00B85D62">
              <w:rPr>
                <w:rFonts w:eastAsia="Arial" w:cs="Arial"/>
                <w:sz w:val="18"/>
                <w:szCs w:val="18"/>
              </w:rPr>
              <w:t>5413</w:t>
            </w:r>
          </w:p>
        </w:tc>
        <w:tc>
          <w:tcPr>
            <w:tcW w:w="0" w:type="auto"/>
            <w:shd w:val="clear" w:color="auto" w:fill="auto"/>
          </w:tcPr>
          <w:p w14:paraId="209D97EF" w14:textId="77777777" w:rsidR="004672DB" w:rsidRPr="00B85D62" w:rsidRDefault="004672DB" w:rsidP="004672DB">
            <w:r w:rsidRPr="00B85D62">
              <w:rPr>
                <w:rFonts w:eastAsia="Arial" w:cs="Arial"/>
                <w:sz w:val="18"/>
                <w:szCs w:val="18"/>
              </w:rPr>
              <w:t>G340.00</w:t>
            </w:r>
          </w:p>
        </w:tc>
        <w:tc>
          <w:tcPr>
            <w:tcW w:w="0" w:type="auto"/>
            <w:shd w:val="clear" w:color="auto" w:fill="auto"/>
          </w:tcPr>
          <w:p w14:paraId="58DA7E2B" w14:textId="77777777" w:rsidR="004672DB" w:rsidRPr="00B85D62" w:rsidRDefault="004672DB" w:rsidP="004672DB">
            <w:r w:rsidRPr="00B85D62">
              <w:rPr>
                <w:rFonts w:eastAsia="Arial" w:cs="Arial"/>
                <w:sz w:val="18"/>
                <w:szCs w:val="18"/>
              </w:rPr>
              <w:t>Coronary atherosclerosis</w:t>
            </w:r>
          </w:p>
        </w:tc>
      </w:tr>
      <w:tr w:rsidR="004672DB" w:rsidRPr="00B85D62" w14:paraId="556C68BE" w14:textId="77777777" w:rsidTr="00B85D62">
        <w:trPr>
          <w:cantSplit/>
        </w:trPr>
        <w:tc>
          <w:tcPr>
            <w:tcW w:w="0" w:type="auto"/>
            <w:shd w:val="clear" w:color="auto" w:fill="auto"/>
          </w:tcPr>
          <w:p w14:paraId="666AA448" w14:textId="77777777" w:rsidR="004672DB" w:rsidRPr="00B85D62" w:rsidRDefault="004672DB" w:rsidP="004672DB">
            <w:r w:rsidRPr="00B85D62">
              <w:rPr>
                <w:rFonts w:eastAsia="Arial" w:cs="Arial"/>
                <w:sz w:val="18"/>
                <w:szCs w:val="18"/>
              </w:rPr>
              <w:t>1344</w:t>
            </w:r>
          </w:p>
        </w:tc>
        <w:tc>
          <w:tcPr>
            <w:tcW w:w="0" w:type="auto"/>
            <w:shd w:val="clear" w:color="auto" w:fill="auto"/>
          </w:tcPr>
          <w:p w14:paraId="242D53A5" w14:textId="77777777" w:rsidR="004672DB" w:rsidRPr="00B85D62" w:rsidRDefault="004672DB" w:rsidP="004672DB">
            <w:r w:rsidRPr="00B85D62">
              <w:rPr>
                <w:rFonts w:eastAsia="Arial" w:cs="Arial"/>
                <w:sz w:val="18"/>
                <w:szCs w:val="18"/>
              </w:rPr>
              <w:t>G340.12</w:t>
            </w:r>
          </w:p>
        </w:tc>
        <w:tc>
          <w:tcPr>
            <w:tcW w:w="0" w:type="auto"/>
            <w:shd w:val="clear" w:color="auto" w:fill="auto"/>
          </w:tcPr>
          <w:p w14:paraId="79EEB396" w14:textId="77777777" w:rsidR="004672DB" w:rsidRPr="00B85D62" w:rsidRDefault="004672DB" w:rsidP="004672DB">
            <w:r w:rsidRPr="00B85D62">
              <w:rPr>
                <w:rFonts w:eastAsia="Arial" w:cs="Arial"/>
                <w:sz w:val="18"/>
                <w:szCs w:val="18"/>
              </w:rPr>
              <w:t>Coronary artery disease</w:t>
            </w:r>
          </w:p>
        </w:tc>
      </w:tr>
      <w:tr w:rsidR="004672DB" w:rsidRPr="00B85D62" w14:paraId="2CB9498D" w14:textId="77777777" w:rsidTr="00B85D62">
        <w:trPr>
          <w:cantSplit/>
        </w:trPr>
        <w:tc>
          <w:tcPr>
            <w:tcW w:w="0" w:type="auto"/>
            <w:shd w:val="clear" w:color="auto" w:fill="auto"/>
          </w:tcPr>
          <w:p w14:paraId="3AFB268D" w14:textId="77777777" w:rsidR="004672DB" w:rsidRPr="00B85D62" w:rsidRDefault="004672DB" w:rsidP="004672DB">
            <w:r w:rsidRPr="00B85D62">
              <w:rPr>
                <w:rFonts w:eastAsia="Arial" w:cs="Arial"/>
                <w:sz w:val="18"/>
                <w:szCs w:val="18"/>
              </w:rPr>
              <w:t>3999</w:t>
            </w:r>
          </w:p>
        </w:tc>
        <w:tc>
          <w:tcPr>
            <w:tcW w:w="0" w:type="auto"/>
            <w:shd w:val="clear" w:color="auto" w:fill="auto"/>
          </w:tcPr>
          <w:p w14:paraId="5002CDC8" w14:textId="77777777" w:rsidR="004672DB" w:rsidRPr="00B85D62" w:rsidRDefault="004672DB" w:rsidP="004672DB">
            <w:r w:rsidRPr="00B85D62">
              <w:rPr>
                <w:rFonts w:eastAsia="Arial" w:cs="Arial"/>
                <w:sz w:val="18"/>
                <w:szCs w:val="18"/>
              </w:rPr>
              <w:t>G340000</w:t>
            </w:r>
          </w:p>
        </w:tc>
        <w:tc>
          <w:tcPr>
            <w:tcW w:w="0" w:type="auto"/>
            <w:shd w:val="clear" w:color="auto" w:fill="auto"/>
          </w:tcPr>
          <w:p w14:paraId="169D5457" w14:textId="77777777" w:rsidR="004672DB" w:rsidRPr="00B85D62" w:rsidRDefault="004672DB" w:rsidP="004672DB">
            <w:r w:rsidRPr="00B85D62">
              <w:rPr>
                <w:rFonts w:eastAsia="Arial" w:cs="Arial"/>
                <w:sz w:val="18"/>
                <w:szCs w:val="18"/>
              </w:rPr>
              <w:t>Single coronary vessel disease</w:t>
            </w:r>
          </w:p>
        </w:tc>
      </w:tr>
      <w:tr w:rsidR="004672DB" w:rsidRPr="00B85D62" w14:paraId="3EE0F48A" w14:textId="77777777" w:rsidTr="00B85D62">
        <w:trPr>
          <w:cantSplit/>
        </w:trPr>
        <w:tc>
          <w:tcPr>
            <w:tcW w:w="0" w:type="auto"/>
            <w:shd w:val="clear" w:color="auto" w:fill="auto"/>
          </w:tcPr>
          <w:p w14:paraId="5B4765B0" w14:textId="77777777" w:rsidR="004672DB" w:rsidRPr="00B85D62" w:rsidRDefault="004672DB" w:rsidP="004672DB">
            <w:r w:rsidRPr="00B85D62">
              <w:rPr>
                <w:rFonts w:eastAsia="Arial" w:cs="Arial"/>
                <w:sz w:val="18"/>
                <w:szCs w:val="18"/>
              </w:rPr>
              <w:t>5254</w:t>
            </w:r>
          </w:p>
        </w:tc>
        <w:tc>
          <w:tcPr>
            <w:tcW w:w="0" w:type="auto"/>
            <w:shd w:val="clear" w:color="auto" w:fill="auto"/>
          </w:tcPr>
          <w:p w14:paraId="5D14E501" w14:textId="77777777" w:rsidR="004672DB" w:rsidRPr="00B85D62" w:rsidRDefault="004672DB" w:rsidP="004672DB">
            <w:r w:rsidRPr="00B85D62">
              <w:rPr>
                <w:rFonts w:eastAsia="Arial" w:cs="Arial"/>
                <w:sz w:val="18"/>
                <w:szCs w:val="18"/>
              </w:rPr>
              <w:t>G340100</w:t>
            </w:r>
          </w:p>
        </w:tc>
        <w:tc>
          <w:tcPr>
            <w:tcW w:w="0" w:type="auto"/>
            <w:shd w:val="clear" w:color="auto" w:fill="auto"/>
          </w:tcPr>
          <w:p w14:paraId="05A24FED" w14:textId="77777777" w:rsidR="004672DB" w:rsidRPr="00B85D62" w:rsidRDefault="004672DB" w:rsidP="004672DB">
            <w:r w:rsidRPr="00B85D62">
              <w:rPr>
                <w:rFonts w:eastAsia="Arial" w:cs="Arial"/>
                <w:sz w:val="18"/>
                <w:szCs w:val="18"/>
              </w:rPr>
              <w:t>Double coronary vessel disease</w:t>
            </w:r>
          </w:p>
        </w:tc>
      </w:tr>
      <w:tr w:rsidR="004672DB" w:rsidRPr="00B85D62" w14:paraId="49C4D9DC" w14:textId="77777777" w:rsidTr="00B85D62">
        <w:trPr>
          <w:cantSplit/>
        </w:trPr>
        <w:tc>
          <w:tcPr>
            <w:tcW w:w="0" w:type="auto"/>
            <w:shd w:val="clear" w:color="auto" w:fill="auto"/>
          </w:tcPr>
          <w:p w14:paraId="571229DF" w14:textId="77777777" w:rsidR="004672DB" w:rsidRPr="00B85D62" w:rsidRDefault="004672DB" w:rsidP="004672DB">
            <w:r w:rsidRPr="00B85D62">
              <w:rPr>
                <w:rFonts w:eastAsia="Arial" w:cs="Arial"/>
                <w:sz w:val="18"/>
                <w:szCs w:val="18"/>
              </w:rPr>
              <w:t>29421</w:t>
            </w:r>
          </w:p>
        </w:tc>
        <w:tc>
          <w:tcPr>
            <w:tcW w:w="0" w:type="auto"/>
            <w:shd w:val="clear" w:color="auto" w:fill="auto"/>
          </w:tcPr>
          <w:p w14:paraId="6EDD44BF" w14:textId="77777777" w:rsidR="004672DB" w:rsidRPr="00B85D62" w:rsidRDefault="004672DB" w:rsidP="004672DB">
            <w:r w:rsidRPr="00B85D62">
              <w:rPr>
                <w:rFonts w:eastAsia="Arial" w:cs="Arial"/>
                <w:sz w:val="18"/>
                <w:szCs w:val="18"/>
              </w:rPr>
              <w:t>G344.00</w:t>
            </w:r>
          </w:p>
        </w:tc>
        <w:tc>
          <w:tcPr>
            <w:tcW w:w="0" w:type="auto"/>
            <w:shd w:val="clear" w:color="auto" w:fill="auto"/>
          </w:tcPr>
          <w:p w14:paraId="39A35371" w14:textId="77777777" w:rsidR="004672DB" w:rsidRPr="00B85D62" w:rsidRDefault="004672DB" w:rsidP="004672DB">
            <w:r w:rsidRPr="00B85D62">
              <w:rPr>
                <w:rFonts w:eastAsia="Arial" w:cs="Arial"/>
                <w:sz w:val="18"/>
                <w:szCs w:val="18"/>
              </w:rPr>
              <w:t>Silent myocardial ischaemia</w:t>
            </w:r>
          </w:p>
        </w:tc>
      </w:tr>
      <w:tr w:rsidR="004672DB" w:rsidRPr="00B85D62" w14:paraId="48698D81" w14:textId="77777777" w:rsidTr="00B85D62">
        <w:trPr>
          <w:cantSplit/>
        </w:trPr>
        <w:tc>
          <w:tcPr>
            <w:tcW w:w="0" w:type="auto"/>
            <w:shd w:val="clear" w:color="auto" w:fill="auto"/>
          </w:tcPr>
          <w:p w14:paraId="1FE6B586" w14:textId="77777777" w:rsidR="004672DB" w:rsidRPr="00B85D62" w:rsidRDefault="004672DB" w:rsidP="004672DB">
            <w:r w:rsidRPr="00B85D62">
              <w:rPr>
                <w:rFonts w:eastAsia="Arial" w:cs="Arial"/>
                <w:sz w:val="18"/>
                <w:szCs w:val="18"/>
              </w:rPr>
              <w:t>34633</w:t>
            </w:r>
          </w:p>
        </w:tc>
        <w:tc>
          <w:tcPr>
            <w:tcW w:w="0" w:type="auto"/>
            <w:shd w:val="clear" w:color="auto" w:fill="auto"/>
          </w:tcPr>
          <w:p w14:paraId="70CE9F08" w14:textId="77777777" w:rsidR="004672DB" w:rsidRPr="00B85D62" w:rsidRDefault="004672DB" w:rsidP="004672DB">
            <w:r w:rsidRPr="00B85D62">
              <w:rPr>
                <w:rFonts w:eastAsia="Arial" w:cs="Arial"/>
                <w:sz w:val="18"/>
                <w:szCs w:val="18"/>
              </w:rPr>
              <w:t>G34y.00</w:t>
            </w:r>
          </w:p>
        </w:tc>
        <w:tc>
          <w:tcPr>
            <w:tcW w:w="0" w:type="auto"/>
            <w:shd w:val="clear" w:color="auto" w:fill="auto"/>
          </w:tcPr>
          <w:p w14:paraId="41B7EF71" w14:textId="77777777" w:rsidR="004672DB" w:rsidRPr="00B85D62" w:rsidRDefault="004672DB" w:rsidP="004672DB">
            <w:r w:rsidRPr="00B85D62">
              <w:rPr>
                <w:rFonts w:eastAsia="Arial" w:cs="Arial"/>
                <w:sz w:val="18"/>
                <w:szCs w:val="18"/>
              </w:rPr>
              <w:t>Other specified chronic ischaemic heart disease</w:t>
            </w:r>
          </w:p>
        </w:tc>
      </w:tr>
      <w:tr w:rsidR="004672DB" w:rsidRPr="00B85D62" w14:paraId="1223C8FF" w14:textId="77777777" w:rsidTr="00B85D62">
        <w:trPr>
          <w:cantSplit/>
        </w:trPr>
        <w:tc>
          <w:tcPr>
            <w:tcW w:w="0" w:type="auto"/>
            <w:shd w:val="clear" w:color="auto" w:fill="auto"/>
          </w:tcPr>
          <w:p w14:paraId="14666455" w14:textId="77777777" w:rsidR="004672DB" w:rsidRPr="00B85D62" w:rsidRDefault="004672DB" w:rsidP="004672DB">
            <w:r w:rsidRPr="00B85D62">
              <w:rPr>
                <w:rFonts w:eastAsia="Arial" w:cs="Arial"/>
                <w:sz w:val="18"/>
                <w:szCs w:val="18"/>
              </w:rPr>
              <w:t>24540</w:t>
            </w:r>
          </w:p>
        </w:tc>
        <w:tc>
          <w:tcPr>
            <w:tcW w:w="0" w:type="auto"/>
            <w:shd w:val="clear" w:color="auto" w:fill="auto"/>
          </w:tcPr>
          <w:p w14:paraId="3723DBE2" w14:textId="77777777" w:rsidR="004672DB" w:rsidRPr="00B85D62" w:rsidRDefault="004672DB" w:rsidP="004672DB">
            <w:r w:rsidRPr="00B85D62">
              <w:rPr>
                <w:rFonts w:eastAsia="Arial" w:cs="Arial"/>
                <w:sz w:val="18"/>
                <w:szCs w:val="18"/>
              </w:rPr>
              <w:t>G34y000</w:t>
            </w:r>
          </w:p>
        </w:tc>
        <w:tc>
          <w:tcPr>
            <w:tcW w:w="0" w:type="auto"/>
            <w:shd w:val="clear" w:color="auto" w:fill="auto"/>
          </w:tcPr>
          <w:p w14:paraId="75B7401F" w14:textId="77777777" w:rsidR="004672DB" w:rsidRPr="00B85D62" w:rsidRDefault="004672DB" w:rsidP="004672DB">
            <w:r w:rsidRPr="00B85D62">
              <w:rPr>
                <w:rFonts w:eastAsia="Arial" w:cs="Arial"/>
                <w:sz w:val="18"/>
                <w:szCs w:val="18"/>
              </w:rPr>
              <w:t>Chronic coronary insufficiency</w:t>
            </w:r>
          </w:p>
        </w:tc>
      </w:tr>
      <w:tr w:rsidR="004672DB" w:rsidRPr="00B85D62" w14:paraId="1FE23CD7" w14:textId="77777777" w:rsidTr="00B85D62">
        <w:trPr>
          <w:cantSplit/>
        </w:trPr>
        <w:tc>
          <w:tcPr>
            <w:tcW w:w="0" w:type="auto"/>
            <w:shd w:val="clear" w:color="auto" w:fill="auto"/>
          </w:tcPr>
          <w:p w14:paraId="01E28920" w14:textId="77777777" w:rsidR="004672DB" w:rsidRPr="00B85D62" w:rsidRDefault="004672DB" w:rsidP="004672DB">
            <w:r w:rsidRPr="00B85D62">
              <w:rPr>
                <w:rFonts w:eastAsia="Arial" w:cs="Arial"/>
                <w:sz w:val="18"/>
                <w:szCs w:val="18"/>
              </w:rPr>
              <w:t>23078</w:t>
            </w:r>
          </w:p>
        </w:tc>
        <w:tc>
          <w:tcPr>
            <w:tcW w:w="0" w:type="auto"/>
            <w:shd w:val="clear" w:color="auto" w:fill="auto"/>
          </w:tcPr>
          <w:p w14:paraId="6AB343B9" w14:textId="77777777" w:rsidR="004672DB" w:rsidRPr="00B85D62" w:rsidRDefault="004672DB" w:rsidP="004672DB">
            <w:r w:rsidRPr="00B85D62">
              <w:rPr>
                <w:rFonts w:eastAsia="Arial" w:cs="Arial"/>
                <w:sz w:val="18"/>
                <w:szCs w:val="18"/>
              </w:rPr>
              <w:t>G34y100</w:t>
            </w:r>
          </w:p>
        </w:tc>
        <w:tc>
          <w:tcPr>
            <w:tcW w:w="0" w:type="auto"/>
            <w:shd w:val="clear" w:color="auto" w:fill="auto"/>
          </w:tcPr>
          <w:p w14:paraId="7A3A0BC3" w14:textId="77777777" w:rsidR="004672DB" w:rsidRPr="00B85D62" w:rsidRDefault="004672DB" w:rsidP="004672DB">
            <w:r w:rsidRPr="00B85D62">
              <w:rPr>
                <w:rFonts w:eastAsia="Arial" w:cs="Arial"/>
                <w:sz w:val="18"/>
                <w:szCs w:val="18"/>
              </w:rPr>
              <w:t>Chronic myocardial ischaemia</w:t>
            </w:r>
          </w:p>
        </w:tc>
      </w:tr>
      <w:tr w:rsidR="004672DB" w:rsidRPr="00B85D62" w14:paraId="66F2A492" w14:textId="77777777" w:rsidTr="00B85D62">
        <w:trPr>
          <w:cantSplit/>
        </w:trPr>
        <w:tc>
          <w:tcPr>
            <w:tcW w:w="0" w:type="auto"/>
            <w:shd w:val="clear" w:color="auto" w:fill="auto"/>
          </w:tcPr>
          <w:p w14:paraId="4544C777" w14:textId="77777777" w:rsidR="004672DB" w:rsidRPr="00B85D62" w:rsidRDefault="004672DB" w:rsidP="004672DB">
            <w:r w:rsidRPr="00B85D62">
              <w:rPr>
                <w:rFonts w:eastAsia="Arial" w:cs="Arial"/>
                <w:sz w:val="18"/>
                <w:szCs w:val="18"/>
              </w:rPr>
              <w:t>35713</w:t>
            </w:r>
          </w:p>
        </w:tc>
        <w:tc>
          <w:tcPr>
            <w:tcW w:w="0" w:type="auto"/>
            <w:shd w:val="clear" w:color="auto" w:fill="auto"/>
          </w:tcPr>
          <w:p w14:paraId="7AA50561" w14:textId="77777777" w:rsidR="004672DB" w:rsidRPr="00B85D62" w:rsidRDefault="004672DB" w:rsidP="004672DB">
            <w:r w:rsidRPr="00B85D62">
              <w:rPr>
                <w:rFonts w:eastAsia="Arial" w:cs="Arial"/>
                <w:sz w:val="18"/>
                <w:szCs w:val="18"/>
              </w:rPr>
              <w:t>G34yz00</w:t>
            </w:r>
          </w:p>
        </w:tc>
        <w:tc>
          <w:tcPr>
            <w:tcW w:w="0" w:type="auto"/>
            <w:shd w:val="clear" w:color="auto" w:fill="auto"/>
          </w:tcPr>
          <w:p w14:paraId="27CC62AF" w14:textId="77777777" w:rsidR="004672DB" w:rsidRPr="00B85D62" w:rsidRDefault="004672DB" w:rsidP="004672DB">
            <w:r w:rsidRPr="00B85D62">
              <w:rPr>
                <w:rFonts w:eastAsia="Arial" w:cs="Arial"/>
                <w:sz w:val="18"/>
                <w:szCs w:val="18"/>
              </w:rPr>
              <w:t>Other specified chronic ischaemic heart disease NOS</w:t>
            </w:r>
          </w:p>
        </w:tc>
      </w:tr>
      <w:tr w:rsidR="004672DB" w:rsidRPr="00B85D62" w14:paraId="145642D9" w14:textId="77777777" w:rsidTr="00B85D62">
        <w:trPr>
          <w:cantSplit/>
        </w:trPr>
        <w:tc>
          <w:tcPr>
            <w:tcW w:w="0" w:type="auto"/>
            <w:shd w:val="clear" w:color="auto" w:fill="auto"/>
          </w:tcPr>
          <w:p w14:paraId="05A05C72" w14:textId="77777777" w:rsidR="004672DB" w:rsidRPr="00B85D62" w:rsidRDefault="004672DB" w:rsidP="004672DB">
            <w:r w:rsidRPr="00B85D62">
              <w:rPr>
                <w:rFonts w:eastAsia="Arial" w:cs="Arial"/>
                <w:sz w:val="18"/>
                <w:szCs w:val="18"/>
              </w:rPr>
              <w:t>15754</w:t>
            </w:r>
          </w:p>
        </w:tc>
        <w:tc>
          <w:tcPr>
            <w:tcW w:w="0" w:type="auto"/>
            <w:shd w:val="clear" w:color="auto" w:fill="auto"/>
          </w:tcPr>
          <w:p w14:paraId="74072800" w14:textId="77777777" w:rsidR="004672DB" w:rsidRPr="00B85D62" w:rsidRDefault="004672DB" w:rsidP="004672DB">
            <w:r w:rsidRPr="00B85D62">
              <w:rPr>
                <w:rFonts w:eastAsia="Arial" w:cs="Arial"/>
                <w:sz w:val="18"/>
                <w:szCs w:val="18"/>
              </w:rPr>
              <w:t>G34z.00</w:t>
            </w:r>
          </w:p>
        </w:tc>
        <w:tc>
          <w:tcPr>
            <w:tcW w:w="0" w:type="auto"/>
            <w:shd w:val="clear" w:color="auto" w:fill="auto"/>
          </w:tcPr>
          <w:p w14:paraId="519676BE" w14:textId="77777777" w:rsidR="004672DB" w:rsidRPr="00B85D62" w:rsidRDefault="004672DB" w:rsidP="004672DB">
            <w:r w:rsidRPr="00B85D62">
              <w:rPr>
                <w:rFonts w:eastAsia="Arial" w:cs="Arial"/>
                <w:sz w:val="18"/>
                <w:szCs w:val="18"/>
              </w:rPr>
              <w:t>Other chronic ischaemic heart disease NOS</w:t>
            </w:r>
          </w:p>
        </w:tc>
      </w:tr>
      <w:tr w:rsidR="004672DB" w:rsidRPr="00B85D62" w14:paraId="614506AE" w14:textId="77777777" w:rsidTr="00B85D62">
        <w:trPr>
          <w:cantSplit/>
        </w:trPr>
        <w:tc>
          <w:tcPr>
            <w:tcW w:w="0" w:type="auto"/>
            <w:shd w:val="clear" w:color="auto" w:fill="auto"/>
          </w:tcPr>
          <w:p w14:paraId="4C4F40EB" w14:textId="77777777" w:rsidR="004672DB" w:rsidRPr="00B85D62" w:rsidRDefault="004672DB" w:rsidP="004672DB">
            <w:r w:rsidRPr="00B85D62">
              <w:rPr>
                <w:rFonts w:eastAsia="Arial" w:cs="Arial"/>
                <w:sz w:val="18"/>
                <w:szCs w:val="18"/>
              </w:rPr>
              <w:t>18889</w:t>
            </w:r>
          </w:p>
        </w:tc>
        <w:tc>
          <w:tcPr>
            <w:tcW w:w="0" w:type="auto"/>
            <w:shd w:val="clear" w:color="auto" w:fill="auto"/>
          </w:tcPr>
          <w:p w14:paraId="177A5928" w14:textId="77777777" w:rsidR="004672DB" w:rsidRPr="00B85D62" w:rsidRDefault="004672DB" w:rsidP="004672DB">
            <w:r w:rsidRPr="00B85D62">
              <w:rPr>
                <w:rFonts w:eastAsia="Arial" w:cs="Arial"/>
                <w:sz w:val="18"/>
                <w:szCs w:val="18"/>
              </w:rPr>
              <w:t>G34z000</w:t>
            </w:r>
          </w:p>
        </w:tc>
        <w:tc>
          <w:tcPr>
            <w:tcW w:w="0" w:type="auto"/>
            <w:shd w:val="clear" w:color="auto" w:fill="auto"/>
          </w:tcPr>
          <w:p w14:paraId="4BBB0895" w14:textId="77777777" w:rsidR="004672DB" w:rsidRPr="00B85D62" w:rsidRDefault="004672DB" w:rsidP="004672DB">
            <w:r w:rsidRPr="00B85D62">
              <w:rPr>
                <w:rFonts w:eastAsia="Arial" w:cs="Arial"/>
                <w:sz w:val="18"/>
                <w:szCs w:val="18"/>
              </w:rPr>
              <w:t>Asymptomatic coronary heart disease</w:t>
            </w:r>
          </w:p>
        </w:tc>
      </w:tr>
      <w:tr w:rsidR="004672DB" w:rsidRPr="00B85D62" w14:paraId="086666E5" w14:textId="77777777" w:rsidTr="00B85D62">
        <w:trPr>
          <w:cantSplit/>
        </w:trPr>
        <w:tc>
          <w:tcPr>
            <w:tcW w:w="0" w:type="auto"/>
            <w:shd w:val="clear" w:color="auto" w:fill="auto"/>
          </w:tcPr>
          <w:p w14:paraId="301E3726" w14:textId="77777777" w:rsidR="004672DB" w:rsidRPr="00B85D62" w:rsidRDefault="004672DB" w:rsidP="004672DB">
            <w:r w:rsidRPr="00B85D62">
              <w:rPr>
                <w:rFonts w:eastAsia="Arial" w:cs="Arial"/>
                <w:sz w:val="18"/>
                <w:szCs w:val="18"/>
              </w:rPr>
              <w:t>18842</w:t>
            </w:r>
          </w:p>
        </w:tc>
        <w:tc>
          <w:tcPr>
            <w:tcW w:w="0" w:type="auto"/>
            <w:shd w:val="clear" w:color="auto" w:fill="auto"/>
          </w:tcPr>
          <w:p w14:paraId="123682E7" w14:textId="77777777" w:rsidR="004672DB" w:rsidRPr="00B85D62" w:rsidRDefault="004672DB" w:rsidP="004672DB">
            <w:r w:rsidRPr="00B85D62">
              <w:rPr>
                <w:rFonts w:eastAsia="Arial" w:cs="Arial"/>
                <w:sz w:val="18"/>
                <w:szCs w:val="18"/>
              </w:rPr>
              <w:t>G35..00</w:t>
            </w:r>
          </w:p>
        </w:tc>
        <w:tc>
          <w:tcPr>
            <w:tcW w:w="0" w:type="auto"/>
            <w:shd w:val="clear" w:color="auto" w:fill="auto"/>
          </w:tcPr>
          <w:p w14:paraId="50488014" w14:textId="77777777" w:rsidR="004672DB" w:rsidRPr="00B85D62" w:rsidRDefault="004672DB" w:rsidP="004672DB">
            <w:r w:rsidRPr="00B85D62">
              <w:rPr>
                <w:rFonts w:eastAsia="Arial" w:cs="Arial"/>
                <w:sz w:val="18"/>
                <w:szCs w:val="18"/>
              </w:rPr>
              <w:t>Subsequent myocardial infarction</w:t>
            </w:r>
          </w:p>
        </w:tc>
      </w:tr>
      <w:tr w:rsidR="004672DB" w:rsidRPr="00B85D62" w14:paraId="2637B6A3" w14:textId="77777777" w:rsidTr="00B85D62">
        <w:trPr>
          <w:cantSplit/>
        </w:trPr>
        <w:tc>
          <w:tcPr>
            <w:tcW w:w="0" w:type="auto"/>
            <w:shd w:val="clear" w:color="auto" w:fill="auto"/>
          </w:tcPr>
          <w:p w14:paraId="5B861AAF" w14:textId="77777777" w:rsidR="004672DB" w:rsidRPr="00B85D62" w:rsidRDefault="004672DB" w:rsidP="004672DB">
            <w:r w:rsidRPr="00B85D62">
              <w:rPr>
                <w:rFonts w:eastAsia="Arial" w:cs="Arial"/>
                <w:sz w:val="18"/>
                <w:szCs w:val="18"/>
              </w:rPr>
              <w:t>45809</w:t>
            </w:r>
          </w:p>
        </w:tc>
        <w:tc>
          <w:tcPr>
            <w:tcW w:w="0" w:type="auto"/>
            <w:shd w:val="clear" w:color="auto" w:fill="auto"/>
          </w:tcPr>
          <w:p w14:paraId="42BA8DF5" w14:textId="77777777" w:rsidR="004672DB" w:rsidRPr="00B85D62" w:rsidRDefault="004672DB" w:rsidP="004672DB">
            <w:r w:rsidRPr="00B85D62">
              <w:rPr>
                <w:rFonts w:eastAsia="Arial" w:cs="Arial"/>
                <w:sz w:val="18"/>
                <w:szCs w:val="18"/>
              </w:rPr>
              <w:t>G350.00</w:t>
            </w:r>
          </w:p>
        </w:tc>
        <w:tc>
          <w:tcPr>
            <w:tcW w:w="0" w:type="auto"/>
            <w:shd w:val="clear" w:color="auto" w:fill="auto"/>
          </w:tcPr>
          <w:p w14:paraId="09E4B671" w14:textId="77777777" w:rsidR="004672DB" w:rsidRPr="00B85D62" w:rsidRDefault="004672DB" w:rsidP="004672DB">
            <w:r w:rsidRPr="00B85D62">
              <w:rPr>
                <w:rFonts w:eastAsia="Arial" w:cs="Arial"/>
                <w:sz w:val="18"/>
                <w:szCs w:val="18"/>
              </w:rPr>
              <w:t>Subsequent myocardial infarction of anterior wall</w:t>
            </w:r>
          </w:p>
        </w:tc>
      </w:tr>
      <w:tr w:rsidR="004672DB" w:rsidRPr="00B85D62" w14:paraId="53BFC134" w14:textId="77777777" w:rsidTr="00B85D62">
        <w:trPr>
          <w:cantSplit/>
        </w:trPr>
        <w:tc>
          <w:tcPr>
            <w:tcW w:w="0" w:type="auto"/>
            <w:shd w:val="clear" w:color="auto" w:fill="auto"/>
          </w:tcPr>
          <w:p w14:paraId="42665DC9" w14:textId="77777777" w:rsidR="004672DB" w:rsidRPr="00B85D62" w:rsidRDefault="004672DB" w:rsidP="004672DB">
            <w:r w:rsidRPr="00B85D62">
              <w:rPr>
                <w:rFonts w:eastAsia="Arial" w:cs="Arial"/>
                <w:sz w:val="18"/>
                <w:szCs w:val="18"/>
              </w:rPr>
              <w:t>38609</w:t>
            </w:r>
          </w:p>
        </w:tc>
        <w:tc>
          <w:tcPr>
            <w:tcW w:w="0" w:type="auto"/>
            <w:shd w:val="clear" w:color="auto" w:fill="auto"/>
          </w:tcPr>
          <w:p w14:paraId="6C28C84D" w14:textId="77777777" w:rsidR="004672DB" w:rsidRPr="00B85D62" w:rsidRDefault="004672DB" w:rsidP="004672DB">
            <w:r w:rsidRPr="00B85D62">
              <w:rPr>
                <w:rFonts w:eastAsia="Arial" w:cs="Arial"/>
                <w:sz w:val="18"/>
                <w:szCs w:val="18"/>
              </w:rPr>
              <w:t>G351.00</w:t>
            </w:r>
          </w:p>
        </w:tc>
        <w:tc>
          <w:tcPr>
            <w:tcW w:w="0" w:type="auto"/>
            <w:shd w:val="clear" w:color="auto" w:fill="auto"/>
          </w:tcPr>
          <w:p w14:paraId="73991B78" w14:textId="77777777" w:rsidR="004672DB" w:rsidRPr="00B85D62" w:rsidRDefault="004672DB" w:rsidP="004672DB">
            <w:r w:rsidRPr="00B85D62">
              <w:rPr>
                <w:rFonts w:eastAsia="Arial" w:cs="Arial"/>
                <w:sz w:val="18"/>
                <w:szCs w:val="18"/>
              </w:rPr>
              <w:t>Subsequent myocardial infarction of inferior wall</w:t>
            </w:r>
          </w:p>
        </w:tc>
      </w:tr>
      <w:tr w:rsidR="004672DB" w:rsidRPr="00B85D62" w14:paraId="3CE753F5" w14:textId="77777777" w:rsidTr="00B85D62">
        <w:trPr>
          <w:cantSplit/>
        </w:trPr>
        <w:tc>
          <w:tcPr>
            <w:tcW w:w="0" w:type="auto"/>
            <w:shd w:val="clear" w:color="auto" w:fill="auto"/>
          </w:tcPr>
          <w:p w14:paraId="7E63D668" w14:textId="77777777" w:rsidR="004672DB" w:rsidRPr="00B85D62" w:rsidRDefault="004672DB" w:rsidP="004672DB">
            <w:r w:rsidRPr="00B85D62">
              <w:rPr>
                <w:rFonts w:eastAsia="Arial" w:cs="Arial"/>
                <w:sz w:val="18"/>
                <w:szCs w:val="18"/>
              </w:rPr>
              <w:t>72562</w:t>
            </w:r>
          </w:p>
        </w:tc>
        <w:tc>
          <w:tcPr>
            <w:tcW w:w="0" w:type="auto"/>
            <w:shd w:val="clear" w:color="auto" w:fill="auto"/>
          </w:tcPr>
          <w:p w14:paraId="572550E9" w14:textId="77777777" w:rsidR="004672DB" w:rsidRPr="00B85D62" w:rsidRDefault="004672DB" w:rsidP="004672DB">
            <w:r w:rsidRPr="00B85D62">
              <w:rPr>
                <w:rFonts w:eastAsia="Arial" w:cs="Arial"/>
                <w:sz w:val="18"/>
                <w:szCs w:val="18"/>
              </w:rPr>
              <w:t>G353.00</w:t>
            </w:r>
          </w:p>
        </w:tc>
        <w:tc>
          <w:tcPr>
            <w:tcW w:w="0" w:type="auto"/>
            <w:shd w:val="clear" w:color="auto" w:fill="auto"/>
          </w:tcPr>
          <w:p w14:paraId="4D9DE1AC" w14:textId="77777777" w:rsidR="004672DB" w:rsidRPr="00B85D62" w:rsidRDefault="004672DB" w:rsidP="004672DB">
            <w:r w:rsidRPr="00B85D62">
              <w:rPr>
                <w:rFonts w:eastAsia="Arial" w:cs="Arial"/>
                <w:sz w:val="18"/>
                <w:szCs w:val="18"/>
              </w:rPr>
              <w:t>Subsequent myocardial infarction of other sites</w:t>
            </w:r>
          </w:p>
        </w:tc>
      </w:tr>
      <w:tr w:rsidR="004672DB" w:rsidRPr="00B85D62" w14:paraId="4F1ABB56" w14:textId="77777777" w:rsidTr="00B85D62">
        <w:trPr>
          <w:cantSplit/>
        </w:trPr>
        <w:tc>
          <w:tcPr>
            <w:tcW w:w="0" w:type="auto"/>
            <w:shd w:val="clear" w:color="auto" w:fill="auto"/>
          </w:tcPr>
          <w:p w14:paraId="118CBAFE" w14:textId="77777777" w:rsidR="004672DB" w:rsidRPr="00B85D62" w:rsidRDefault="004672DB" w:rsidP="004672DB">
            <w:r w:rsidRPr="00B85D62">
              <w:rPr>
                <w:rFonts w:eastAsia="Arial" w:cs="Arial"/>
                <w:sz w:val="18"/>
                <w:szCs w:val="18"/>
              </w:rPr>
              <w:t>46166</w:t>
            </w:r>
          </w:p>
        </w:tc>
        <w:tc>
          <w:tcPr>
            <w:tcW w:w="0" w:type="auto"/>
            <w:shd w:val="clear" w:color="auto" w:fill="auto"/>
          </w:tcPr>
          <w:p w14:paraId="5EEE65B5" w14:textId="77777777" w:rsidR="004672DB" w:rsidRPr="00B85D62" w:rsidRDefault="004672DB" w:rsidP="004672DB">
            <w:r w:rsidRPr="00B85D62">
              <w:rPr>
                <w:rFonts w:eastAsia="Arial" w:cs="Arial"/>
                <w:sz w:val="18"/>
                <w:szCs w:val="18"/>
              </w:rPr>
              <w:t>G35X.00</w:t>
            </w:r>
          </w:p>
        </w:tc>
        <w:tc>
          <w:tcPr>
            <w:tcW w:w="0" w:type="auto"/>
            <w:shd w:val="clear" w:color="auto" w:fill="auto"/>
          </w:tcPr>
          <w:p w14:paraId="7AC0BCDF" w14:textId="77777777" w:rsidR="004672DB" w:rsidRPr="00B85D62" w:rsidRDefault="004672DB" w:rsidP="004672DB">
            <w:r w:rsidRPr="00B85D62">
              <w:rPr>
                <w:rFonts w:eastAsia="Arial" w:cs="Arial"/>
                <w:sz w:val="18"/>
                <w:szCs w:val="18"/>
              </w:rPr>
              <w:t xml:space="preserve">Subsequent myocardial infarction of unspecified </w:t>
            </w:r>
            <w:r w:rsidRPr="00B85D62">
              <w:rPr>
                <w:rFonts w:eastAsia="Arial" w:cs="Arial"/>
                <w:sz w:val="18"/>
                <w:szCs w:val="18"/>
                <w:highlight w:val="magenta"/>
              </w:rPr>
              <w:t>site</w:t>
            </w:r>
          </w:p>
        </w:tc>
      </w:tr>
      <w:tr w:rsidR="004672DB" w:rsidRPr="00B85D62" w14:paraId="1261E94E" w14:textId="77777777" w:rsidTr="00B85D62">
        <w:trPr>
          <w:cantSplit/>
        </w:trPr>
        <w:tc>
          <w:tcPr>
            <w:tcW w:w="0" w:type="auto"/>
            <w:shd w:val="clear" w:color="auto" w:fill="auto"/>
          </w:tcPr>
          <w:p w14:paraId="4F91A3B0" w14:textId="77777777" w:rsidR="004672DB" w:rsidRPr="00B85D62" w:rsidRDefault="004672DB" w:rsidP="004672DB">
            <w:r w:rsidRPr="00B85D62">
              <w:rPr>
                <w:rFonts w:eastAsia="Arial" w:cs="Arial"/>
                <w:sz w:val="18"/>
                <w:szCs w:val="18"/>
              </w:rPr>
              <w:t>36423</w:t>
            </w:r>
          </w:p>
        </w:tc>
        <w:tc>
          <w:tcPr>
            <w:tcW w:w="0" w:type="auto"/>
            <w:shd w:val="clear" w:color="auto" w:fill="auto"/>
          </w:tcPr>
          <w:p w14:paraId="214181CA" w14:textId="77777777" w:rsidR="004672DB" w:rsidRPr="00B85D62" w:rsidRDefault="004672DB" w:rsidP="004672DB">
            <w:r w:rsidRPr="00B85D62">
              <w:rPr>
                <w:rFonts w:eastAsia="Arial" w:cs="Arial"/>
                <w:sz w:val="18"/>
                <w:szCs w:val="18"/>
              </w:rPr>
              <w:t>G36..00</w:t>
            </w:r>
          </w:p>
        </w:tc>
        <w:tc>
          <w:tcPr>
            <w:tcW w:w="0" w:type="auto"/>
            <w:shd w:val="clear" w:color="auto" w:fill="auto"/>
          </w:tcPr>
          <w:p w14:paraId="691CD69B" w14:textId="77777777" w:rsidR="004672DB" w:rsidRPr="00B85D62" w:rsidRDefault="004672DB" w:rsidP="004672DB">
            <w:r w:rsidRPr="00B85D62">
              <w:rPr>
                <w:rFonts w:eastAsia="Arial" w:cs="Arial"/>
                <w:sz w:val="18"/>
                <w:szCs w:val="18"/>
              </w:rPr>
              <w:t>Certain current complication follow acute myocardial infarct</w:t>
            </w:r>
          </w:p>
        </w:tc>
      </w:tr>
      <w:tr w:rsidR="004672DB" w:rsidRPr="00B85D62" w14:paraId="65A21EBD" w14:textId="77777777" w:rsidTr="00B85D62">
        <w:trPr>
          <w:cantSplit/>
        </w:trPr>
        <w:tc>
          <w:tcPr>
            <w:tcW w:w="0" w:type="auto"/>
            <w:shd w:val="clear" w:color="auto" w:fill="auto"/>
          </w:tcPr>
          <w:p w14:paraId="51400584" w14:textId="77777777" w:rsidR="004672DB" w:rsidRPr="00B85D62" w:rsidRDefault="004672DB" w:rsidP="004672DB">
            <w:r w:rsidRPr="00B85D62">
              <w:rPr>
                <w:rFonts w:eastAsia="Arial" w:cs="Arial"/>
                <w:sz w:val="18"/>
                <w:szCs w:val="18"/>
              </w:rPr>
              <w:t>24126</w:t>
            </w:r>
          </w:p>
        </w:tc>
        <w:tc>
          <w:tcPr>
            <w:tcW w:w="0" w:type="auto"/>
            <w:shd w:val="clear" w:color="auto" w:fill="auto"/>
          </w:tcPr>
          <w:p w14:paraId="20206AED" w14:textId="77777777" w:rsidR="004672DB" w:rsidRPr="00B85D62" w:rsidRDefault="004672DB" w:rsidP="004672DB">
            <w:r w:rsidRPr="00B85D62">
              <w:rPr>
                <w:rFonts w:eastAsia="Arial" w:cs="Arial"/>
                <w:sz w:val="18"/>
                <w:szCs w:val="18"/>
              </w:rPr>
              <w:t>G360.00</w:t>
            </w:r>
          </w:p>
        </w:tc>
        <w:tc>
          <w:tcPr>
            <w:tcW w:w="0" w:type="auto"/>
            <w:shd w:val="clear" w:color="auto" w:fill="auto"/>
          </w:tcPr>
          <w:p w14:paraId="16B2D500" w14:textId="77777777" w:rsidR="004672DB" w:rsidRPr="00B85D62" w:rsidRDefault="004672DB" w:rsidP="004672DB">
            <w:r w:rsidRPr="00B85D62">
              <w:rPr>
                <w:rFonts w:eastAsia="Arial" w:cs="Arial"/>
                <w:sz w:val="18"/>
                <w:szCs w:val="18"/>
              </w:rPr>
              <w:t>Haemopericardium/current comp folow acut myocard infarct</w:t>
            </w:r>
          </w:p>
        </w:tc>
      </w:tr>
      <w:tr w:rsidR="004672DB" w:rsidRPr="00B85D62" w14:paraId="18375DEE" w14:textId="77777777" w:rsidTr="00B85D62">
        <w:trPr>
          <w:cantSplit/>
        </w:trPr>
        <w:tc>
          <w:tcPr>
            <w:tcW w:w="0" w:type="auto"/>
            <w:shd w:val="clear" w:color="auto" w:fill="auto"/>
          </w:tcPr>
          <w:p w14:paraId="17822C47" w14:textId="77777777" w:rsidR="004672DB" w:rsidRPr="00B85D62" w:rsidRDefault="004672DB" w:rsidP="004672DB">
            <w:r w:rsidRPr="00B85D62">
              <w:rPr>
                <w:rFonts w:eastAsia="Arial" w:cs="Arial"/>
                <w:sz w:val="18"/>
                <w:szCs w:val="18"/>
              </w:rPr>
              <w:t>23708</w:t>
            </w:r>
          </w:p>
        </w:tc>
        <w:tc>
          <w:tcPr>
            <w:tcW w:w="0" w:type="auto"/>
            <w:shd w:val="clear" w:color="auto" w:fill="auto"/>
          </w:tcPr>
          <w:p w14:paraId="77E95DAE" w14:textId="77777777" w:rsidR="004672DB" w:rsidRPr="00B85D62" w:rsidRDefault="004672DB" w:rsidP="004672DB">
            <w:r w:rsidRPr="00B85D62">
              <w:rPr>
                <w:rFonts w:eastAsia="Arial" w:cs="Arial"/>
                <w:sz w:val="18"/>
                <w:szCs w:val="18"/>
              </w:rPr>
              <w:t>G361.00</w:t>
            </w:r>
          </w:p>
        </w:tc>
        <w:tc>
          <w:tcPr>
            <w:tcW w:w="0" w:type="auto"/>
            <w:shd w:val="clear" w:color="auto" w:fill="auto"/>
          </w:tcPr>
          <w:p w14:paraId="4EBBDDC3" w14:textId="77777777" w:rsidR="004672DB" w:rsidRPr="00B85D62" w:rsidRDefault="004672DB" w:rsidP="004672DB">
            <w:r w:rsidRPr="00B85D62">
              <w:rPr>
                <w:rFonts w:eastAsia="Arial" w:cs="Arial"/>
                <w:sz w:val="18"/>
                <w:szCs w:val="18"/>
              </w:rPr>
              <w:t>Atrial septal defect/curr comp folow acut myocardal infarct</w:t>
            </w:r>
          </w:p>
        </w:tc>
      </w:tr>
      <w:tr w:rsidR="004672DB" w:rsidRPr="00B85D62" w14:paraId="0F0266FA" w14:textId="77777777" w:rsidTr="00B85D62">
        <w:trPr>
          <w:cantSplit/>
        </w:trPr>
        <w:tc>
          <w:tcPr>
            <w:tcW w:w="0" w:type="auto"/>
            <w:shd w:val="clear" w:color="auto" w:fill="auto"/>
          </w:tcPr>
          <w:p w14:paraId="1F1B3001" w14:textId="77777777" w:rsidR="004672DB" w:rsidRPr="00B85D62" w:rsidRDefault="004672DB" w:rsidP="004672DB">
            <w:r w:rsidRPr="00B85D62">
              <w:rPr>
                <w:rFonts w:eastAsia="Arial" w:cs="Arial"/>
                <w:sz w:val="18"/>
                <w:szCs w:val="18"/>
              </w:rPr>
              <w:t>37657</w:t>
            </w:r>
          </w:p>
        </w:tc>
        <w:tc>
          <w:tcPr>
            <w:tcW w:w="0" w:type="auto"/>
            <w:shd w:val="clear" w:color="auto" w:fill="auto"/>
          </w:tcPr>
          <w:p w14:paraId="710D6735" w14:textId="77777777" w:rsidR="004672DB" w:rsidRPr="00B85D62" w:rsidRDefault="004672DB" w:rsidP="004672DB">
            <w:r w:rsidRPr="00B85D62">
              <w:rPr>
                <w:rFonts w:eastAsia="Arial" w:cs="Arial"/>
                <w:sz w:val="18"/>
                <w:szCs w:val="18"/>
              </w:rPr>
              <w:t>G362.00</w:t>
            </w:r>
          </w:p>
        </w:tc>
        <w:tc>
          <w:tcPr>
            <w:tcW w:w="0" w:type="auto"/>
            <w:shd w:val="clear" w:color="auto" w:fill="auto"/>
          </w:tcPr>
          <w:p w14:paraId="2A3D5C15" w14:textId="77777777" w:rsidR="004672DB" w:rsidRPr="00B85D62" w:rsidRDefault="004672DB" w:rsidP="004672DB">
            <w:r w:rsidRPr="00B85D62">
              <w:rPr>
                <w:rFonts w:eastAsia="Arial" w:cs="Arial"/>
                <w:sz w:val="18"/>
                <w:szCs w:val="18"/>
              </w:rPr>
              <w:t>Ventric septal defect/curr comp fol acut myocardal infarctn</w:t>
            </w:r>
          </w:p>
        </w:tc>
      </w:tr>
      <w:tr w:rsidR="004672DB" w:rsidRPr="00B85D62" w14:paraId="37D8D987" w14:textId="77777777" w:rsidTr="00B85D62">
        <w:trPr>
          <w:cantSplit/>
        </w:trPr>
        <w:tc>
          <w:tcPr>
            <w:tcW w:w="0" w:type="auto"/>
            <w:shd w:val="clear" w:color="auto" w:fill="auto"/>
          </w:tcPr>
          <w:p w14:paraId="6A353406" w14:textId="77777777" w:rsidR="004672DB" w:rsidRPr="00B85D62" w:rsidRDefault="004672DB" w:rsidP="004672DB">
            <w:r w:rsidRPr="00B85D62">
              <w:rPr>
                <w:rFonts w:eastAsia="Arial" w:cs="Arial"/>
                <w:sz w:val="18"/>
                <w:szCs w:val="18"/>
              </w:rPr>
              <w:t>59940</w:t>
            </w:r>
          </w:p>
        </w:tc>
        <w:tc>
          <w:tcPr>
            <w:tcW w:w="0" w:type="auto"/>
            <w:shd w:val="clear" w:color="auto" w:fill="auto"/>
          </w:tcPr>
          <w:p w14:paraId="1619B4A8" w14:textId="77777777" w:rsidR="004672DB" w:rsidRPr="00B85D62" w:rsidRDefault="004672DB" w:rsidP="004672DB">
            <w:r w:rsidRPr="00B85D62">
              <w:rPr>
                <w:rFonts w:eastAsia="Arial" w:cs="Arial"/>
                <w:sz w:val="18"/>
                <w:szCs w:val="18"/>
              </w:rPr>
              <w:t>G364.00</w:t>
            </w:r>
          </w:p>
        </w:tc>
        <w:tc>
          <w:tcPr>
            <w:tcW w:w="0" w:type="auto"/>
            <w:shd w:val="clear" w:color="auto" w:fill="auto"/>
          </w:tcPr>
          <w:p w14:paraId="733448C6" w14:textId="77777777" w:rsidR="004672DB" w:rsidRPr="00B85D62" w:rsidRDefault="004672DB" w:rsidP="004672DB">
            <w:r w:rsidRPr="00B85D62">
              <w:rPr>
                <w:rFonts w:eastAsia="Arial" w:cs="Arial"/>
                <w:sz w:val="18"/>
                <w:szCs w:val="18"/>
              </w:rPr>
              <w:t>Ruptur chordae tendinae/curr comp fol acute myocard infarct</w:t>
            </w:r>
          </w:p>
        </w:tc>
      </w:tr>
      <w:tr w:rsidR="004672DB" w:rsidRPr="00B85D62" w14:paraId="1B7C0F3B" w14:textId="77777777" w:rsidTr="00B85D62">
        <w:trPr>
          <w:cantSplit/>
        </w:trPr>
        <w:tc>
          <w:tcPr>
            <w:tcW w:w="0" w:type="auto"/>
            <w:shd w:val="clear" w:color="auto" w:fill="auto"/>
          </w:tcPr>
          <w:p w14:paraId="151DE4CA" w14:textId="77777777" w:rsidR="004672DB" w:rsidRPr="00B85D62" w:rsidRDefault="004672DB" w:rsidP="004672DB">
            <w:r w:rsidRPr="00B85D62">
              <w:rPr>
                <w:rFonts w:eastAsia="Arial" w:cs="Arial"/>
                <w:sz w:val="18"/>
                <w:szCs w:val="18"/>
              </w:rPr>
              <w:t>69474</w:t>
            </w:r>
          </w:p>
        </w:tc>
        <w:tc>
          <w:tcPr>
            <w:tcW w:w="0" w:type="auto"/>
            <w:shd w:val="clear" w:color="auto" w:fill="auto"/>
          </w:tcPr>
          <w:p w14:paraId="36DEDD92" w14:textId="77777777" w:rsidR="004672DB" w:rsidRPr="00B85D62" w:rsidRDefault="004672DB" w:rsidP="004672DB">
            <w:r w:rsidRPr="00B85D62">
              <w:rPr>
                <w:rFonts w:eastAsia="Arial" w:cs="Arial"/>
                <w:sz w:val="18"/>
                <w:szCs w:val="18"/>
              </w:rPr>
              <w:t>G365.00</w:t>
            </w:r>
          </w:p>
        </w:tc>
        <w:tc>
          <w:tcPr>
            <w:tcW w:w="0" w:type="auto"/>
            <w:shd w:val="clear" w:color="auto" w:fill="auto"/>
          </w:tcPr>
          <w:p w14:paraId="1EE6E8C2" w14:textId="77777777" w:rsidR="004672DB" w:rsidRPr="00B85D62" w:rsidRDefault="004672DB" w:rsidP="004672DB">
            <w:r w:rsidRPr="00B85D62">
              <w:rPr>
                <w:rFonts w:eastAsia="Arial" w:cs="Arial"/>
                <w:sz w:val="18"/>
                <w:szCs w:val="18"/>
              </w:rPr>
              <w:t>Rupture papillary muscle/curr comp fol acute myocard infarct</w:t>
            </w:r>
          </w:p>
        </w:tc>
      </w:tr>
      <w:tr w:rsidR="004672DB" w:rsidRPr="00B85D62" w14:paraId="036737AD" w14:textId="77777777" w:rsidTr="00B85D62">
        <w:trPr>
          <w:cantSplit/>
        </w:trPr>
        <w:tc>
          <w:tcPr>
            <w:tcW w:w="0" w:type="auto"/>
            <w:shd w:val="clear" w:color="auto" w:fill="auto"/>
          </w:tcPr>
          <w:p w14:paraId="0160F91E" w14:textId="77777777" w:rsidR="004672DB" w:rsidRPr="00B85D62" w:rsidRDefault="004672DB" w:rsidP="004672DB">
            <w:r w:rsidRPr="00B85D62">
              <w:rPr>
                <w:rFonts w:eastAsia="Arial" w:cs="Arial"/>
                <w:sz w:val="18"/>
                <w:szCs w:val="18"/>
              </w:rPr>
              <w:t>32272</w:t>
            </w:r>
          </w:p>
        </w:tc>
        <w:tc>
          <w:tcPr>
            <w:tcW w:w="0" w:type="auto"/>
            <w:shd w:val="clear" w:color="auto" w:fill="auto"/>
          </w:tcPr>
          <w:p w14:paraId="0041AD99" w14:textId="77777777" w:rsidR="004672DB" w:rsidRPr="00B85D62" w:rsidRDefault="004672DB" w:rsidP="004672DB">
            <w:r w:rsidRPr="00B85D62">
              <w:rPr>
                <w:rFonts w:eastAsia="Arial" w:cs="Arial"/>
                <w:sz w:val="18"/>
                <w:szCs w:val="18"/>
              </w:rPr>
              <w:t>G38..00</w:t>
            </w:r>
          </w:p>
        </w:tc>
        <w:tc>
          <w:tcPr>
            <w:tcW w:w="0" w:type="auto"/>
            <w:shd w:val="clear" w:color="auto" w:fill="auto"/>
          </w:tcPr>
          <w:p w14:paraId="72AD74D0" w14:textId="77777777" w:rsidR="004672DB" w:rsidRPr="00B85D62" w:rsidRDefault="004672DB" w:rsidP="004672DB">
            <w:r w:rsidRPr="00B85D62">
              <w:rPr>
                <w:rFonts w:eastAsia="Arial" w:cs="Arial"/>
                <w:sz w:val="18"/>
                <w:szCs w:val="18"/>
              </w:rPr>
              <w:t>Postoperative myocardial infarction</w:t>
            </w:r>
          </w:p>
        </w:tc>
      </w:tr>
      <w:tr w:rsidR="004672DB" w:rsidRPr="00B85D62" w14:paraId="2E080258" w14:textId="77777777" w:rsidTr="00B85D62">
        <w:trPr>
          <w:cantSplit/>
        </w:trPr>
        <w:tc>
          <w:tcPr>
            <w:tcW w:w="0" w:type="auto"/>
            <w:shd w:val="clear" w:color="auto" w:fill="auto"/>
          </w:tcPr>
          <w:p w14:paraId="29CFA969" w14:textId="77777777" w:rsidR="004672DB" w:rsidRPr="00B85D62" w:rsidRDefault="004672DB" w:rsidP="004672DB">
            <w:r w:rsidRPr="00B85D62">
              <w:rPr>
                <w:rFonts w:eastAsia="Arial" w:cs="Arial"/>
                <w:sz w:val="18"/>
                <w:szCs w:val="18"/>
              </w:rPr>
              <w:t>46112</w:t>
            </w:r>
          </w:p>
        </w:tc>
        <w:tc>
          <w:tcPr>
            <w:tcW w:w="0" w:type="auto"/>
            <w:shd w:val="clear" w:color="auto" w:fill="auto"/>
          </w:tcPr>
          <w:p w14:paraId="1EA2F883" w14:textId="77777777" w:rsidR="004672DB" w:rsidRPr="00B85D62" w:rsidRDefault="004672DB" w:rsidP="004672DB">
            <w:r w:rsidRPr="00B85D62">
              <w:rPr>
                <w:rFonts w:eastAsia="Arial" w:cs="Arial"/>
                <w:sz w:val="18"/>
                <w:szCs w:val="18"/>
              </w:rPr>
              <w:t>G380.00</w:t>
            </w:r>
          </w:p>
        </w:tc>
        <w:tc>
          <w:tcPr>
            <w:tcW w:w="0" w:type="auto"/>
            <w:shd w:val="clear" w:color="auto" w:fill="auto"/>
          </w:tcPr>
          <w:p w14:paraId="6D248B7C" w14:textId="77777777" w:rsidR="004672DB" w:rsidRPr="00B85D62" w:rsidRDefault="004672DB" w:rsidP="004672DB">
            <w:r w:rsidRPr="00B85D62">
              <w:rPr>
                <w:rFonts w:eastAsia="Arial" w:cs="Arial"/>
                <w:sz w:val="18"/>
                <w:szCs w:val="18"/>
              </w:rPr>
              <w:t>Postoperative transmural myocardial infarction anterior wall</w:t>
            </w:r>
          </w:p>
        </w:tc>
      </w:tr>
      <w:tr w:rsidR="004672DB" w:rsidRPr="00B85D62" w14:paraId="6CE985C1" w14:textId="77777777" w:rsidTr="00B85D62">
        <w:trPr>
          <w:cantSplit/>
        </w:trPr>
        <w:tc>
          <w:tcPr>
            <w:tcW w:w="0" w:type="auto"/>
            <w:shd w:val="clear" w:color="auto" w:fill="auto"/>
          </w:tcPr>
          <w:p w14:paraId="044EABD6" w14:textId="77777777" w:rsidR="004672DB" w:rsidRPr="00B85D62" w:rsidRDefault="004672DB" w:rsidP="004672DB">
            <w:r w:rsidRPr="00B85D62">
              <w:rPr>
                <w:rFonts w:eastAsia="Arial" w:cs="Arial"/>
                <w:sz w:val="18"/>
                <w:szCs w:val="18"/>
              </w:rPr>
              <w:t>46276</w:t>
            </w:r>
          </w:p>
        </w:tc>
        <w:tc>
          <w:tcPr>
            <w:tcW w:w="0" w:type="auto"/>
            <w:shd w:val="clear" w:color="auto" w:fill="auto"/>
          </w:tcPr>
          <w:p w14:paraId="5922D741" w14:textId="77777777" w:rsidR="004672DB" w:rsidRPr="00B85D62" w:rsidRDefault="004672DB" w:rsidP="004672DB">
            <w:r w:rsidRPr="00B85D62">
              <w:rPr>
                <w:rFonts w:eastAsia="Arial" w:cs="Arial"/>
                <w:sz w:val="18"/>
                <w:szCs w:val="18"/>
              </w:rPr>
              <w:t>G381.00</w:t>
            </w:r>
          </w:p>
        </w:tc>
        <w:tc>
          <w:tcPr>
            <w:tcW w:w="0" w:type="auto"/>
            <w:shd w:val="clear" w:color="auto" w:fill="auto"/>
          </w:tcPr>
          <w:p w14:paraId="28A8C064" w14:textId="77777777" w:rsidR="004672DB" w:rsidRPr="00B85D62" w:rsidRDefault="004672DB" w:rsidP="004672DB">
            <w:r w:rsidRPr="00B85D62">
              <w:rPr>
                <w:rFonts w:eastAsia="Arial" w:cs="Arial"/>
                <w:sz w:val="18"/>
                <w:szCs w:val="18"/>
              </w:rPr>
              <w:t>Postoperative transmural myocardial infarction inferior wall</w:t>
            </w:r>
          </w:p>
        </w:tc>
      </w:tr>
      <w:tr w:rsidR="004672DB" w:rsidRPr="00B85D62" w14:paraId="2C0160E3" w14:textId="77777777" w:rsidTr="00B85D62">
        <w:trPr>
          <w:cantSplit/>
        </w:trPr>
        <w:tc>
          <w:tcPr>
            <w:tcW w:w="0" w:type="auto"/>
            <w:shd w:val="clear" w:color="auto" w:fill="auto"/>
          </w:tcPr>
          <w:p w14:paraId="55BD3D9D" w14:textId="77777777" w:rsidR="004672DB" w:rsidRPr="00B85D62" w:rsidRDefault="004672DB" w:rsidP="004672DB">
            <w:r w:rsidRPr="00B85D62">
              <w:rPr>
                <w:rFonts w:eastAsia="Arial" w:cs="Arial"/>
                <w:sz w:val="18"/>
                <w:szCs w:val="18"/>
              </w:rPr>
              <w:t>106812</w:t>
            </w:r>
          </w:p>
        </w:tc>
        <w:tc>
          <w:tcPr>
            <w:tcW w:w="0" w:type="auto"/>
            <w:shd w:val="clear" w:color="auto" w:fill="auto"/>
          </w:tcPr>
          <w:p w14:paraId="57F19DA7" w14:textId="77777777" w:rsidR="004672DB" w:rsidRPr="00B85D62" w:rsidRDefault="004672DB" w:rsidP="004672DB">
            <w:r w:rsidRPr="00B85D62">
              <w:rPr>
                <w:rFonts w:eastAsia="Arial" w:cs="Arial"/>
                <w:sz w:val="18"/>
                <w:szCs w:val="18"/>
              </w:rPr>
              <w:t>G383.00</w:t>
            </w:r>
          </w:p>
        </w:tc>
        <w:tc>
          <w:tcPr>
            <w:tcW w:w="0" w:type="auto"/>
            <w:shd w:val="clear" w:color="auto" w:fill="auto"/>
          </w:tcPr>
          <w:p w14:paraId="6B3A05E7" w14:textId="77777777" w:rsidR="004672DB" w:rsidRPr="00B85D62" w:rsidRDefault="004672DB" w:rsidP="004672DB">
            <w:r w:rsidRPr="00B85D62">
              <w:rPr>
                <w:rFonts w:eastAsia="Arial" w:cs="Arial"/>
                <w:sz w:val="18"/>
                <w:szCs w:val="18"/>
              </w:rPr>
              <w:t xml:space="preserve">Postoperative transmural myocardial infarction unspec </w:t>
            </w:r>
            <w:r w:rsidRPr="00B85D62">
              <w:rPr>
                <w:rFonts w:eastAsia="Arial" w:cs="Arial"/>
                <w:sz w:val="18"/>
                <w:szCs w:val="18"/>
                <w:highlight w:val="magenta"/>
              </w:rPr>
              <w:t>site</w:t>
            </w:r>
          </w:p>
        </w:tc>
      </w:tr>
      <w:tr w:rsidR="004672DB" w:rsidRPr="00B85D62" w14:paraId="1481F81A" w14:textId="77777777" w:rsidTr="00B85D62">
        <w:trPr>
          <w:cantSplit/>
        </w:trPr>
        <w:tc>
          <w:tcPr>
            <w:tcW w:w="0" w:type="auto"/>
            <w:shd w:val="clear" w:color="auto" w:fill="auto"/>
          </w:tcPr>
          <w:p w14:paraId="4BEEA294" w14:textId="77777777" w:rsidR="004672DB" w:rsidRPr="00B85D62" w:rsidRDefault="004672DB" w:rsidP="004672DB">
            <w:r w:rsidRPr="00B85D62">
              <w:rPr>
                <w:rFonts w:eastAsia="Arial" w:cs="Arial"/>
                <w:sz w:val="18"/>
                <w:szCs w:val="18"/>
              </w:rPr>
              <w:t>41835</w:t>
            </w:r>
          </w:p>
        </w:tc>
        <w:tc>
          <w:tcPr>
            <w:tcW w:w="0" w:type="auto"/>
            <w:shd w:val="clear" w:color="auto" w:fill="auto"/>
          </w:tcPr>
          <w:p w14:paraId="1CDFF7DC" w14:textId="77777777" w:rsidR="004672DB" w:rsidRPr="00B85D62" w:rsidRDefault="004672DB" w:rsidP="004672DB">
            <w:r w:rsidRPr="00B85D62">
              <w:rPr>
                <w:rFonts w:eastAsia="Arial" w:cs="Arial"/>
                <w:sz w:val="18"/>
                <w:szCs w:val="18"/>
              </w:rPr>
              <w:t>G384.00</w:t>
            </w:r>
          </w:p>
        </w:tc>
        <w:tc>
          <w:tcPr>
            <w:tcW w:w="0" w:type="auto"/>
            <w:shd w:val="clear" w:color="auto" w:fill="auto"/>
          </w:tcPr>
          <w:p w14:paraId="57348292" w14:textId="77777777" w:rsidR="004672DB" w:rsidRPr="00B85D62" w:rsidRDefault="004672DB" w:rsidP="004672DB">
            <w:r w:rsidRPr="00B85D62">
              <w:rPr>
                <w:rFonts w:eastAsia="Arial" w:cs="Arial"/>
                <w:sz w:val="18"/>
                <w:szCs w:val="18"/>
              </w:rPr>
              <w:t>Postoperative subendocardial myocardial infarction</w:t>
            </w:r>
          </w:p>
        </w:tc>
      </w:tr>
      <w:tr w:rsidR="004672DB" w:rsidRPr="00B85D62" w14:paraId="6997EE41" w14:textId="77777777" w:rsidTr="00B85D62">
        <w:trPr>
          <w:cantSplit/>
        </w:trPr>
        <w:tc>
          <w:tcPr>
            <w:tcW w:w="0" w:type="auto"/>
            <w:shd w:val="clear" w:color="auto" w:fill="auto"/>
          </w:tcPr>
          <w:p w14:paraId="5917C7D9" w14:textId="77777777" w:rsidR="004672DB" w:rsidRPr="00B85D62" w:rsidRDefault="004672DB" w:rsidP="004672DB">
            <w:r w:rsidRPr="00B85D62">
              <w:rPr>
                <w:rFonts w:eastAsia="Arial" w:cs="Arial"/>
                <w:sz w:val="18"/>
                <w:szCs w:val="18"/>
              </w:rPr>
              <w:t>68748</w:t>
            </w:r>
          </w:p>
        </w:tc>
        <w:tc>
          <w:tcPr>
            <w:tcW w:w="0" w:type="auto"/>
            <w:shd w:val="clear" w:color="auto" w:fill="auto"/>
          </w:tcPr>
          <w:p w14:paraId="005AB7D6" w14:textId="77777777" w:rsidR="004672DB" w:rsidRPr="00B85D62" w:rsidRDefault="004672DB" w:rsidP="004672DB">
            <w:r w:rsidRPr="00B85D62">
              <w:rPr>
                <w:rFonts w:eastAsia="Arial" w:cs="Arial"/>
                <w:sz w:val="18"/>
                <w:szCs w:val="18"/>
              </w:rPr>
              <w:t>G38z.00</w:t>
            </w:r>
          </w:p>
        </w:tc>
        <w:tc>
          <w:tcPr>
            <w:tcW w:w="0" w:type="auto"/>
            <w:shd w:val="clear" w:color="auto" w:fill="auto"/>
          </w:tcPr>
          <w:p w14:paraId="334B44B7" w14:textId="77777777" w:rsidR="004672DB" w:rsidRPr="00B85D62" w:rsidRDefault="004672DB" w:rsidP="004672DB">
            <w:r w:rsidRPr="00B85D62">
              <w:rPr>
                <w:rFonts w:eastAsia="Arial" w:cs="Arial"/>
                <w:sz w:val="18"/>
                <w:szCs w:val="18"/>
              </w:rPr>
              <w:t>Postoperative myocardial infarction, unspecified</w:t>
            </w:r>
          </w:p>
        </w:tc>
      </w:tr>
      <w:tr w:rsidR="004672DB" w:rsidRPr="00B85D62" w14:paraId="6C735E3D" w14:textId="77777777" w:rsidTr="00B85D62">
        <w:trPr>
          <w:cantSplit/>
        </w:trPr>
        <w:tc>
          <w:tcPr>
            <w:tcW w:w="0" w:type="auto"/>
            <w:shd w:val="clear" w:color="auto" w:fill="auto"/>
          </w:tcPr>
          <w:p w14:paraId="049C30AC" w14:textId="77777777" w:rsidR="004672DB" w:rsidRPr="00B85D62" w:rsidRDefault="004672DB" w:rsidP="004672DB">
            <w:r w:rsidRPr="00B85D62">
              <w:rPr>
                <w:rFonts w:eastAsia="Arial" w:cs="Arial"/>
                <w:sz w:val="18"/>
                <w:szCs w:val="18"/>
              </w:rPr>
              <w:t>22383</w:t>
            </w:r>
          </w:p>
        </w:tc>
        <w:tc>
          <w:tcPr>
            <w:tcW w:w="0" w:type="auto"/>
            <w:shd w:val="clear" w:color="auto" w:fill="auto"/>
          </w:tcPr>
          <w:p w14:paraId="7703F007" w14:textId="77777777" w:rsidR="004672DB" w:rsidRPr="00B85D62" w:rsidRDefault="004672DB" w:rsidP="004672DB">
            <w:r w:rsidRPr="00B85D62">
              <w:rPr>
                <w:rFonts w:eastAsia="Arial" w:cs="Arial"/>
                <w:sz w:val="18"/>
                <w:szCs w:val="18"/>
              </w:rPr>
              <w:t>G3y..00</w:t>
            </w:r>
          </w:p>
        </w:tc>
        <w:tc>
          <w:tcPr>
            <w:tcW w:w="0" w:type="auto"/>
            <w:shd w:val="clear" w:color="auto" w:fill="auto"/>
          </w:tcPr>
          <w:p w14:paraId="6D1C2990" w14:textId="77777777" w:rsidR="004672DB" w:rsidRPr="00B85D62" w:rsidRDefault="004672DB" w:rsidP="004672DB">
            <w:r w:rsidRPr="00B85D62">
              <w:rPr>
                <w:rFonts w:eastAsia="Arial" w:cs="Arial"/>
                <w:sz w:val="18"/>
                <w:szCs w:val="18"/>
              </w:rPr>
              <w:t>Other specified ischaemic heart disease</w:t>
            </w:r>
          </w:p>
        </w:tc>
      </w:tr>
      <w:tr w:rsidR="004672DB" w:rsidRPr="00B85D62" w14:paraId="77DF1F3D" w14:textId="77777777" w:rsidTr="00B85D62">
        <w:trPr>
          <w:cantSplit/>
        </w:trPr>
        <w:tc>
          <w:tcPr>
            <w:tcW w:w="0" w:type="auto"/>
            <w:shd w:val="clear" w:color="auto" w:fill="auto"/>
          </w:tcPr>
          <w:p w14:paraId="20F33DC7" w14:textId="77777777" w:rsidR="004672DB" w:rsidRPr="00B85D62" w:rsidRDefault="004672DB" w:rsidP="004672DB">
            <w:r w:rsidRPr="00B85D62">
              <w:rPr>
                <w:rFonts w:eastAsia="Arial" w:cs="Arial"/>
                <w:sz w:val="18"/>
                <w:szCs w:val="18"/>
              </w:rPr>
              <w:t>1676</w:t>
            </w:r>
          </w:p>
        </w:tc>
        <w:tc>
          <w:tcPr>
            <w:tcW w:w="0" w:type="auto"/>
            <w:shd w:val="clear" w:color="auto" w:fill="auto"/>
          </w:tcPr>
          <w:p w14:paraId="2E95B943" w14:textId="77777777" w:rsidR="004672DB" w:rsidRPr="00B85D62" w:rsidRDefault="004672DB" w:rsidP="004672DB">
            <w:r w:rsidRPr="00B85D62">
              <w:rPr>
                <w:rFonts w:eastAsia="Arial" w:cs="Arial"/>
                <w:sz w:val="18"/>
                <w:szCs w:val="18"/>
              </w:rPr>
              <w:t>G3z..00</w:t>
            </w:r>
          </w:p>
        </w:tc>
        <w:tc>
          <w:tcPr>
            <w:tcW w:w="0" w:type="auto"/>
            <w:shd w:val="clear" w:color="auto" w:fill="auto"/>
          </w:tcPr>
          <w:p w14:paraId="40F0FB22" w14:textId="77777777" w:rsidR="004672DB" w:rsidRPr="00B85D62" w:rsidRDefault="004672DB" w:rsidP="004672DB">
            <w:r w:rsidRPr="00B85D62">
              <w:rPr>
                <w:rFonts w:eastAsia="Arial" w:cs="Arial"/>
                <w:sz w:val="18"/>
                <w:szCs w:val="18"/>
              </w:rPr>
              <w:t>Ischaemic heart disease NOS</w:t>
            </w:r>
          </w:p>
        </w:tc>
      </w:tr>
      <w:tr w:rsidR="004672DB" w:rsidRPr="00B85D62" w14:paraId="6E233F1B" w14:textId="77777777" w:rsidTr="00B85D62">
        <w:trPr>
          <w:cantSplit/>
        </w:trPr>
        <w:tc>
          <w:tcPr>
            <w:tcW w:w="0" w:type="auto"/>
            <w:shd w:val="clear" w:color="auto" w:fill="auto"/>
          </w:tcPr>
          <w:p w14:paraId="45BE69D6" w14:textId="77777777" w:rsidR="004672DB" w:rsidRPr="00B85D62" w:rsidRDefault="004672DB" w:rsidP="004672DB">
            <w:r w:rsidRPr="00B85D62">
              <w:rPr>
                <w:rFonts w:eastAsia="Arial" w:cs="Arial"/>
                <w:sz w:val="18"/>
                <w:szCs w:val="18"/>
              </w:rPr>
              <w:t>35119</w:t>
            </w:r>
          </w:p>
        </w:tc>
        <w:tc>
          <w:tcPr>
            <w:tcW w:w="0" w:type="auto"/>
            <w:shd w:val="clear" w:color="auto" w:fill="auto"/>
          </w:tcPr>
          <w:p w14:paraId="34EF0831" w14:textId="77777777" w:rsidR="004672DB" w:rsidRPr="00B85D62" w:rsidRDefault="004672DB" w:rsidP="004672DB">
            <w:r w:rsidRPr="00B85D62">
              <w:rPr>
                <w:rFonts w:eastAsia="Arial" w:cs="Arial"/>
                <w:sz w:val="18"/>
                <w:szCs w:val="18"/>
              </w:rPr>
              <w:t>G501.00</w:t>
            </w:r>
          </w:p>
        </w:tc>
        <w:tc>
          <w:tcPr>
            <w:tcW w:w="0" w:type="auto"/>
            <w:shd w:val="clear" w:color="auto" w:fill="auto"/>
          </w:tcPr>
          <w:p w14:paraId="511A0449" w14:textId="77777777" w:rsidR="004672DB" w:rsidRPr="00B85D62" w:rsidRDefault="004672DB" w:rsidP="004672DB">
            <w:r w:rsidRPr="00B85D62">
              <w:rPr>
                <w:rFonts w:eastAsia="Arial" w:cs="Arial"/>
                <w:sz w:val="18"/>
                <w:szCs w:val="18"/>
              </w:rPr>
              <w:t>Post infarction pericarditis</w:t>
            </w:r>
          </w:p>
        </w:tc>
      </w:tr>
      <w:tr w:rsidR="004672DB" w:rsidRPr="00B85D62" w14:paraId="14F9A5A6" w14:textId="77777777" w:rsidTr="00B85D62">
        <w:trPr>
          <w:cantSplit/>
        </w:trPr>
        <w:tc>
          <w:tcPr>
            <w:tcW w:w="0" w:type="auto"/>
            <w:shd w:val="clear" w:color="auto" w:fill="auto"/>
          </w:tcPr>
          <w:p w14:paraId="5938DFCD" w14:textId="77777777" w:rsidR="004672DB" w:rsidRPr="00B85D62" w:rsidRDefault="004672DB" w:rsidP="004672DB">
            <w:r w:rsidRPr="00B85D62">
              <w:rPr>
                <w:rFonts w:eastAsia="Arial" w:cs="Arial"/>
                <w:sz w:val="18"/>
                <w:szCs w:val="18"/>
              </w:rPr>
              <w:t>52517</w:t>
            </w:r>
          </w:p>
        </w:tc>
        <w:tc>
          <w:tcPr>
            <w:tcW w:w="0" w:type="auto"/>
            <w:shd w:val="clear" w:color="auto" w:fill="auto"/>
          </w:tcPr>
          <w:p w14:paraId="75EE9203" w14:textId="77777777" w:rsidR="004672DB" w:rsidRPr="00B85D62" w:rsidRDefault="004672DB" w:rsidP="004672DB">
            <w:r w:rsidRPr="00B85D62">
              <w:rPr>
                <w:rFonts w:eastAsia="Arial" w:cs="Arial"/>
                <w:sz w:val="18"/>
                <w:szCs w:val="18"/>
              </w:rPr>
              <w:t>Gyu3.00</w:t>
            </w:r>
          </w:p>
        </w:tc>
        <w:tc>
          <w:tcPr>
            <w:tcW w:w="0" w:type="auto"/>
            <w:shd w:val="clear" w:color="auto" w:fill="auto"/>
          </w:tcPr>
          <w:p w14:paraId="5C64756C" w14:textId="77777777" w:rsidR="004672DB" w:rsidRPr="00B85D62" w:rsidRDefault="004672DB" w:rsidP="004672DB">
            <w:r w:rsidRPr="00B85D62">
              <w:rPr>
                <w:rFonts w:eastAsia="Arial" w:cs="Arial"/>
                <w:sz w:val="18"/>
                <w:szCs w:val="18"/>
              </w:rPr>
              <w:t>[X]Ischaemic heart diseases</w:t>
            </w:r>
          </w:p>
        </w:tc>
      </w:tr>
      <w:tr w:rsidR="004672DB" w:rsidRPr="00B85D62" w14:paraId="41B14500" w14:textId="77777777" w:rsidTr="00B85D62">
        <w:trPr>
          <w:cantSplit/>
        </w:trPr>
        <w:tc>
          <w:tcPr>
            <w:tcW w:w="0" w:type="auto"/>
            <w:shd w:val="clear" w:color="auto" w:fill="auto"/>
          </w:tcPr>
          <w:p w14:paraId="48549CFB" w14:textId="77777777" w:rsidR="004672DB" w:rsidRPr="00B85D62" w:rsidRDefault="004672DB" w:rsidP="004672DB">
            <w:r w:rsidRPr="00B85D62">
              <w:rPr>
                <w:rFonts w:eastAsia="Arial" w:cs="Arial"/>
                <w:sz w:val="18"/>
                <w:szCs w:val="18"/>
              </w:rPr>
              <w:t>39546</w:t>
            </w:r>
          </w:p>
        </w:tc>
        <w:tc>
          <w:tcPr>
            <w:tcW w:w="0" w:type="auto"/>
            <w:shd w:val="clear" w:color="auto" w:fill="auto"/>
          </w:tcPr>
          <w:p w14:paraId="7117348E" w14:textId="77777777" w:rsidR="004672DB" w:rsidRPr="00B85D62" w:rsidRDefault="004672DB" w:rsidP="004672DB">
            <w:r w:rsidRPr="00B85D62">
              <w:rPr>
                <w:rFonts w:eastAsia="Arial" w:cs="Arial"/>
                <w:sz w:val="18"/>
                <w:szCs w:val="18"/>
              </w:rPr>
              <w:t>Gyu3000</w:t>
            </w:r>
          </w:p>
        </w:tc>
        <w:tc>
          <w:tcPr>
            <w:tcW w:w="0" w:type="auto"/>
            <w:shd w:val="clear" w:color="auto" w:fill="auto"/>
          </w:tcPr>
          <w:p w14:paraId="22481097" w14:textId="77777777" w:rsidR="004672DB" w:rsidRPr="00B85D62" w:rsidRDefault="004672DB" w:rsidP="004672DB">
            <w:r w:rsidRPr="00B85D62">
              <w:rPr>
                <w:rFonts w:eastAsia="Arial" w:cs="Arial"/>
                <w:sz w:val="18"/>
                <w:szCs w:val="18"/>
              </w:rPr>
              <w:t>[X]Other forms of angina pectoris</w:t>
            </w:r>
          </w:p>
        </w:tc>
      </w:tr>
      <w:tr w:rsidR="004672DB" w:rsidRPr="00B85D62" w14:paraId="7E9FF7F9" w14:textId="77777777" w:rsidTr="00B85D62">
        <w:trPr>
          <w:cantSplit/>
        </w:trPr>
        <w:tc>
          <w:tcPr>
            <w:tcW w:w="0" w:type="auto"/>
            <w:shd w:val="clear" w:color="auto" w:fill="auto"/>
          </w:tcPr>
          <w:p w14:paraId="48B0EA2A" w14:textId="77777777" w:rsidR="004672DB" w:rsidRPr="00B85D62" w:rsidRDefault="004672DB" w:rsidP="004672DB">
            <w:r w:rsidRPr="00B85D62">
              <w:rPr>
                <w:rFonts w:eastAsia="Arial" w:cs="Arial"/>
                <w:sz w:val="18"/>
                <w:szCs w:val="18"/>
              </w:rPr>
              <w:t>68401</w:t>
            </w:r>
          </w:p>
        </w:tc>
        <w:tc>
          <w:tcPr>
            <w:tcW w:w="0" w:type="auto"/>
            <w:shd w:val="clear" w:color="auto" w:fill="auto"/>
          </w:tcPr>
          <w:p w14:paraId="46142CF1" w14:textId="77777777" w:rsidR="004672DB" w:rsidRPr="00B85D62" w:rsidRDefault="004672DB" w:rsidP="004672DB">
            <w:r w:rsidRPr="00B85D62">
              <w:rPr>
                <w:rFonts w:eastAsia="Arial" w:cs="Arial"/>
                <w:sz w:val="18"/>
                <w:szCs w:val="18"/>
              </w:rPr>
              <w:t>Gyu3200</w:t>
            </w:r>
          </w:p>
        </w:tc>
        <w:tc>
          <w:tcPr>
            <w:tcW w:w="0" w:type="auto"/>
            <w:shd w:val="clear" w:color="auto" w:fill="auto"/>
          </w:tcPr>
          <w:p w14:paraId="0F0CF1AB" w14:textId="77777777" w:rsidR="004672DB" w:rsidRPr="00B85D62" w:rsidRDefault="004672DB" w:rsidP="004672DB">
            <w:r w:rsidRPr="00B85D62">
              <w:rPr>
                <w:rFonts w:eastAsia="Arial" w:cs="Arial"/>
                <w:sz w:val="18"/>
                <w:szCs w:val="18"/>
              </w:rPr>
              <w:t>[X]Other forms of acute ischaemic heart disease</w:t>
            </w:r>
          </w:p>
        </w:tc>
      </w:tr>
      <w:tr w:rsidR="004672DB" w:rsidRPr="00B85D62" w14:paraId="7C6B8983" w14:textId="77777777" w:rsidTr="00B85D62">
        <w:trPr>
          <w:cantSplit/>
        </w:trPr>
        <w:tc>
          <w:tcPr>
            <w:tcW w:w="0" w:type="auto"/>
            <w:shd w:val="clear" w:color="auto" w:fill="auto"/>
          </w:tcPr>
          <w:p w14:paraId="59F8F6E7" w14:textId="77777777" w:rsidR="004672DB" w:rsidRPr="00B85D62" w:rsidRDefault="004672DB" w:rsidP="004672DB">
            <w:r w:rsidRPr="00B85D62">
              <w:rPr>
                <w:rFonts w:eastAsia="Arial" w:cs="Arial"/>
                <w:sz w:val="18"/>
                <w:szCs w:val="18"/>
              </w:rPr>
              <w:t>47637</w:t>
            </w:r>
          </w:p>
        </w:tc>
        <w:tc>
          <w:tcPr>
            <w:tcW w:w="0" w:type="auto"/>
            <w:shd w:val="clear" w:color="auto" w:fill="auto"/>
          </w:tcPr>
          <w:p w14:paraId="3F24E80A" w14:textId="77777777" w:rsidR="004672DB" w:rsidRPr="00B85D62" w:rsidRDefault="004672DB" w:rsidP="004672DB">
            <w:r w:rsidRPr="00B85D62">
              <w:rPr>
                <w:rFonts w:eastAsia="Arial" w:cs="Arial"/>
                <w:sz w:val="18"/>
                <w:szCs w:val="18"/>
              </w:rPr>
              <w:t>Gyu3300</w:t>
            </w:r>
          </w:p>
        </w:tc>
        <w:tc>
          <w:tcPr>
            <w:tcW w:w="0" w:type="auto"/>
            <w:shd w:val="clear" w:color="auto" w:fill="auto"/>
          </w:tcPr>
          <w:p w14:paraId="05E6A599" w14:textId="77777777" w:rsidR="004672DB" w:rsidRPr="00B85D62" w:rsidRDefault="004672DB" w:rsidP="004672DB">
            <w:r w:rsidRPr="00B85D62">
              <w:rPr>
                <w:rFonts w:eastAsia="Arial" w:cs="Arial"/>
                <w:sz w:val="18"/>
                <w:szCs w:val="18"/>
              </w:rPr>
              <w:t>[X]Other forms of chronic ischaemic heart disease</w:t>
            </w:r>
          </w:p>
        </w:tc>
      </w:tr>
      <w:tr w:rsidR="004672DB" w:rsidRPr="00B85D62" w14:paraId="39AAADE1" w14:textId="77777777" w:rsidTr="00B85D62">
        <w:trPr>
          <w:cantSplit/>
        </w:trPr>
        <w:tc>
          <w:tcPr>
            <w:tcW w:w="0" w:type="auto"/>
            <w:shd w:val="clear" w:color="auto" w:fill="auto"/>
          </w:tcPr>
          <w:p w14:paraId="448769DD" w14:textId="77777777" w:rsidR="004672DB" w:rsidRPr="00B85D62" w:rsidRDefault="004672DB" w:rsidP="004672DB">
            <w:r w:rsidRPr="00B85D62">
              <w:rPr>
                <w:rFonts w:eastAsia="Arial" w:cs="Arial"/>
                <w:sz w:val="18"/>
                <w:szCs w:val="18"/>
              </w:rPr>
              <w:t>96838</w:t>
            </w:r>
          </w:p>
        </w:tc>
        <w:tc>
          <w:tcPr>
            <w:tcW w:w="0" w:type="auto"/>
            <w:shd w:val="clear" w:color="auto" w:fill="auto"/>
          </w:tcPr>
          <w:p w14:paraId="19F5261E" w14:textId="77777777" w:rsidR="004672DB" w:rsidRPr="00B85D62" w:rsidRDefault="004672DB" w:rsidP="004672DB">
            <w:r w:rsidRPr="00B85D62">
              <w:rPr>
                <w:rFonts w:eastAsia="Arial" w:cs="Arial"/>
                <w:sz w:val="18"/>
                <w:szCs w:val="18"/>
              </w:rPr>
              <w:t>Gyu3400</w:t>
            </w:r>
          </w:p>
        </w:tc>
        <w:tc>
          <w:tcPr>
            <w:tcW w:w="0" w:type="auto"/>
            <w:shd w:val="clear" w:color="auto" w:fill="auto"/>
          </w:tcPr>
          <w:p w14:paraId="6CC416C6" w14:textId="77777777" w:rsidR="004672DB" w:rsidRPr="00B85D62" w:rsidRDefault="004672DB" w:rsidP="004672DB">
            <w:r w:rsidRPr="00B85D62">
              <w:rPr>
                <w:rFonts w:eastAsia="Arial" w:cs="Arial"/>
                <w:sz w:val="18"/>
                <w:szCs w:val="18"/>
              </w:rPr>
              <w:t xml:space="preserve">[X]Acute transmural myocardial infarction of unspecif </w:t>
            </w:r>
            <w:r w:rsidRPr="00B85D62">
              <w:rPr>
                <w:rFonts w:eastAsia="Arial" w:cs="Arial"/>
                <w:sz w:val="18"/>
                <w:szCs w:val="18"/>
                <w:highlight w:val="magenta"/>
              </w:rPr>
              <w:t>site</w:t>
            </w:r>
          </w:p>
        </w:tc>
      </w:tr>
      <w:tr w:rsidR="004672DB" w:rsidRPr="00B85D62" w14:paraId="3313431C" w14:textId="77777777" w:rsidTr="00B85D62">
        <w:trPr>
          <w:cantSplit/>
        </w:trPr>
        <w:tc>
          <w:tcPr>
            <w:tcW w:w="0" w:type="auto"/>
            <w:shd w:val="clear" w:color="auto" w:fill="auto"/>
          </w:tcPr>
          <w:p w14:paraId="63DD65A1" w14:textId="77777777" w:rsidR="004672DB" w:rsidRPr="00B85D62" w:rsidRDefault="004672DB" w:rsidP="004672DB">
            <w:r w:rsidRPr="00B85D62">
              <w:rPr>
                <w:rFonts w:eastAsia="Arial" w:cs="Arial"/>
                <w:sz w:val="18"/>
                <w:szCs w:val="18"/>
              </w:rPr>
              <w:t>109035</w:t>
            </w:r>
          </w:p>
        </w:tc>
        <w:tc>
          <w:tcPr>
            <w:tcW w:w="0" w:type="auto"/>
            <w:shd w:val="clear" w:color="auto" w:fill="auto"/>
          </w:tcPr>
          <w:p w14:paraId="3F90C9F9" w14:textId="77777777" w:rsidR="004672DB" w:rsidRPr="00B85D62" w:rsidRDefault="004672DB" w:rsidP="004672DB">
            <w:r w:rsidRPr="00B85D62">
              <w:rPr>
                <w:rFonts w:eastAsia="Arial" w:cs="Arial"/>
                <w:sz w:val="18"/>
                <w:szCs w:val="18"/>
              </w:rPr>
              <w:t>Gyu3500</w:t>
            </w:r>
          </w:p>
        </w:tc>
        <w:tc>
          <w:tcPr>
            <w:tcW w:w="0" w:type="auto"/>
            <w:shd w:val="clear" w:color="auto" w:fill="auto"/>
          </w:tcPr>
          <w:p w14:paraId="30A1324B" w14:textId="77777777" w:rsidR="004672DB" w:rsidRPr="00B85D62" w:rsidRDefault="004672DB" w:rsidP="004672DB">
            <w:r w:rsidRPr="00B85D62">
              <w:rPr>
                <w:rFonts w:eastAsia="Arial" w:cs="Arial"/>
                <w:sz w:val="18"/>
                <w:szCs w:val="18"/>
              </w:rPr>
              <w:t>[X]Subsequent myocardial infarction of other sites</w:t>
            </w:r>
          </w:p>
        </w:tc>
      </w:tr>
      <w:tr w:rsidR="004672DB" w:rsidRPr="00B85D62" w14:paraId="02F302A0" w14:textId="77777777" w:rsidTr="00B85D62">
        <w:trPr>
          <w:cantSplit/>
        </w:trPr>
        <w:tc>
          <w:tcPr>
            <w:tcW w:w="0" w:type="auto"/>
            <w:shd w:val="clear" w:color="auto" w:fill="auto"/>
          </w:tcPr>
          <w:p w14:paraId="0502572D" w14:textId="77777777" w:rsidR="004672DB" w:rsidRPr="00B85D62" w:rsidRDefault="004672DB" w:rsidP="004672DB">
            <w:r w:rsidRPr="00B85D62">
              <w:rPr>
                <w:rFonts w:eastAsia="Arial" w:cs="Arial"/>
                <w:sz w:val="18"/>
                <w:szCs w:val="18"/>
              </w:rPr>
              <w:t>99991</w:t>
            </w:r>
          </w:p>
        </w:tc>
        <w:tc>
          <w:tcPr>
            <w:tcW w:w="0" w:type="auto"/>
            <w:shd w:val="clear" w:color="auto" w:fill="auto"/>
          </w:tcPr>
          <w:p w14:paraId="45D71032" w14:textId="77777777" w:rsidR="004672DB" w:rsidRPr="00B85D62" w:rsidRDefault="004672DB" w:rsidP="004672DB">
            <w:r w:rsidRPr="00B85D62">
              <w:rPr>
                <w:rFonts w:eastAsia="Arial" w:cs="Arial"/>
                <w:sz w:val="18"/>
                <w:szCs w:val="18"/>
              </w:rPr>
              <w:t>Gyu3600</w:t>
            </w:r>
          </w:p>
        </w:tc>
        <w:tc>
          <w:tcPr>
            <w:tcW w:w="0" w:type="auto"/>
            <w:shd w:val="clear" w:color="auto" w:fill="auto"/>
          </w:tcPr>
          <w:p w14:paraId="66952681" w14:textId="77777777" w:rsidR="004672DB" w:rsidRPr="00B85D62" w:rsidRDefault="004672DB" w:rsidP="004672DB">
            <w:r w:rsidRPr="00B85D62">
              <w:rPr>
                <w:rFonts w:eastAsia="Arial" w:cs="Arial"/>
                <w:sz w:val="18"/>
                <w:szCs w:val="18"/>
              </w:rPr>
              <w:t xml:space="preserve">[X]Subsequent myocardial infarction of unspecified </w:t>
            </w:r>
            <w:r w:rsidRPr="00B85D62">
              <w:rPr>
                <w:rFonts w:eastAsia="Arial" w:cs="Arial"/>
                <w:sz w:val="18"/>
                <w:szCs w:val="18"/>
                <w:highlight w:val="magenta"/>
              </w:rPr>
              <w:t>site</w:t>
            </w:r>
          </w:p>
        </w:tc>
      </w:tr>
      <w:tr w:rsidR="004672DB" w:rsidRPr="00B85D62" w14:paraId="2BF5F81A" w14:textId="77777777" w:rsidTr="00B85D62">
        <w:trPr>
          <w:cantSplit/>
        </w:trPr>
        <w:tc>
          <w:tcPr>
            <w:tcW w:w="0" w:type="auto"/>
            <w:shd w:val="clear" w:color="auto" w:fill="auto"/>
          </w:tcPr>
          <w:p w14:paraId="3FB86CD9" w14:textId="77777777" w:rsidR="004672DB" w:rsidRPr="00B85D62" w:rsidRDefault="004672DB" w:rsidP="004672DB">
            <w:r w:rsidRPr="00B85D62">
              <w:rPr>
                <w:rFonts w:eastAsia="Arial" w:cs="Arial"/>
                <w:sz w:val="18"/>
                <w:szCs w:val="18"/>
              </w:rPr>
              <w:t>40887</w:t>
            </w:r>
          </w:p>
        </w:tc>
        <w:tc>
          <w:tcPr>
            <w:tcW w:w="0" w:type="auto"/>
            <w:shd w:val="clear" w:color="auto" w:fill="auto"/>
          </w:tcPr>
          <w:p w14:paraId="21348792" w14:textId="77777777" w:rsidR="004672DB" w:rsidRPr="00B85D62" w:rsidRDefault="004672DB" w:rsidP="004672DB">
            <w:r w:rsidRPr="00B85D62">
              <w:rPr>
                <w:rFonts w:eastAsia="Arial" w:cs="Arial"/>
                <w:sz w:val="18"/>
                <w:szCs w:val="18"/>
              </w:rPr>
              <w:t>N23yB00</w:t>
            </w:r>
          </w:p>
        </w:tc>
        <w:tc>
          <w:tcPr>
            <w:tcW w:w="0" w:type="auto"/>
            <w:shd w:val="clear" w:color="auto" w:fill="auto"/>
          </w:tcPr>
          <w:p w14:paraId="7741A222" w14:textId="77777777" w:rsidR="004672DB" w:rsidRPr="00B85D62" w:rsidRDefault="004672DB" w:rsidP="004672DB">
            <w:r w:rsidRPr="00B85D62">
              <w:rPr>
                <w:rFonts w:eastAsia="Arial" w:cs="Arial"/>
                <w:sz w:val="18"/>
                <w:szCs w:val="18"/>
              </w:rPr>
              <w:t>Ischaemic infarction of muscle</w:t>
            </w:r>
          </w:p>
        </w:tc>
      </w:tr>
    </w:tbl>
    <w:p w14:paraId="43FB8AB6" w14:textId="77777777" w:rsidR="00B85D62" w:rsidRPr="00B85D62" w:rsidRDefault="00B85D62" w:rsidP="004672DB">
      <w:pPr>
        <w:spacing w:line="257" w:lineRule="auto"/>
        <w:rPr>
          <w:rFonts w:eastAsia="Arial" w:cs="Arial"/>
          <w:b/>
          <w:bCs/>
        </w:rPr>
      </w:pPr>
    </w:p>
    <w:p w14:paraId="0C525026" w14:textId="34588BE4" w:rsidR="004672DB" w:rsidRPr="00B85D62" w:rsidRDefault="004672DB" w:rsidP="004672DB">
      <w:pPr>
        <w:rPr>
          <w:rFonts w:eastAsia="Arial" w:cs="Arial"/>
        </w:rPr>
      </w:pPr>
      <w:r w:rsidRPr="00B85D62">
        <w:rPr>
          <w:rFonts w:eastAsia="Arial" w:cs="Arial"/>
          <w:b/>
          <w:bCs/>
        </w:rPr>
        <w:t xml:space="preserve">Peripheral vascular disease </w:t>
      </w:r>
      <w:r w:rsidRPr="00B85D62">
        <w:rPr>
          <w:rFonts w:eastAsia="Arial" w:cs="Arial"/>
        </w:rPr>
        <w:t>diagnostic codes (Read code lists)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95"/>
        <w:gridCol w:w="875"/>
        <w:gridCol w:w="3725"/>
      </w:tblGrid>
      <w:tr w:rsidR="004672DB" w:rsidRPr="00B85D62" w14:paraId="5416E673" w14:textId="77777777" w:rsidTr="00B85D62">
        <w:trPr>
          <w:cantSplit/>
        </w:trPr>
        <w:tc>
          <w:tcPr>
            <w:tcW w:w="0" w:type="auto"/>
            <w:shd w:val="clear" w:color="auto" w:fill="auto"/>
          </w:tcPr>
          <w:p w14:paraId="4CD98145" w14:textId="77777777" w:rsidR="004672DB" w:rsidRPr="00B85D62" w:rsidRDefault="004672DB" w:rsidP="004672DB">
            <w:r w:rsidRPr="00B85D62">
              <w:rPr>
                <w:rFonts w:eastAsia="Arial" w:cs="Arial"/>
                <w:sz w:val="18"/>
                <w:szCs w:val="18"/>
              </w:rPr>
              <w:t>Medical code</w:t>
            </w:r>
          </w:p>
        </w:tc>
        <w:tc>
          <w:tcPr>
            <w:tcW w:w="0" w:type="auto"/>
            <w:shd w:val="clear" w:color="auto" w:fill="auto"/>
          </w:tcPr>
          <w:p w14:paraId="4F410823" w14:textId="77777777" w:rsidR="004672DB" w:rsidRPr="00B85D62" w:rsidRDefault="004672DB" w:rsidP="004672DB">
            <w:r w:rsidRPr="00B85D62">
              <w:rPr>
                <w:rFonts w:eastAsia="Arial" w:cs="Arial"/>
                <w:sz w:val="18"/>
                <w:szCs w:val="18"/>
              </w:rPr>
              <w:t>Read code</w:t>
            </w:r>
          </w:p>
        </w:tc>
        <w:tc>
          <w:tcPr>
            <w:tcW w:w="0" w:type="auto"/>
            <w:shd w:val="clear" w:color="auto" w:fill="auto"/>
          </w:tcPr>
          <w:p w14:paraId="0CE1F8EA" w14:textId="77777777" w:rsidR="004672DB" w:rsidRPr="00B85D62" w:rsidRDefault="004672DB" w:rsidP="004672DB">
            <w:r w:rsidRPr="00B85D62">
              <w:rPr>
                <w:rFonts w:eastAsia="Arial" w:cs="Arial"/>
                <w:sz w:val="18"/>
                <w:szCs w:val="18"/>
              </w:rPr>
              <w:t>Read term</w:t>
            </w:r>
          </w:p>
        </w:tc>
      </w:tr>
      <w:tr w:rsidR="004672DB" w:rsidRPr="00B85D62" w14:paraId="58C41815" w14:textId="77777777" w:rsidTr="00B85D62">
        <w:trPr>
          <w:cantSplit/>
        </w:trPr>
        <w:tc>
          <w:tcPr>
            <w:tcW w:w="0" w:type="auto"/>
            <w:shd w:val="clear" w:color="auto" w:fill="auto"/>
          </w:tcPr>
          <w:p w14:paraId="0D93A186" w14:textId="77777777" w:rsidR="004672DB" w:rsidRPr="00B85D62" w:rsidRDefault="004672DB" w:rsidP="004672DB">
            <w:r w:rsidRPr="00B85D62">
              <w:rPr>
                <w:rFonts w:eastAsia="Arial" w:cs="Arial"/>
                <w:sz w:val="18"/>
                <w:szCs w:val="18"/>
              </w:rPr>
              <w:t>5943</w:t>
            </w:r>
          </w:p>
        </w:tc>
        <w:tc>
          <w:tcPr>
            <w:tcW w:w="0" w:type="auto"/>
            <w:shd w:val="clear" w:color="auto" w:fill="auto"/>
          </w:tcPr>
          <w:p w14:paraId="73A839B0" w14:textId="77777777" w:rsidR="004672DB" w:rsidRPr="00B85D62" w:rsidRDefault="004672DB" w:rsidP="004672DB">
            <w:r w:rsidRPr="00B85D62">
              <w:rPr>
                <w:rFonts w:eastAsia="Arial" w:cs="Arial"/>
                <w:sz w:val="18"/>
                <w:szCs w:val="18"/>
              </w:rPr>
              <w:t>G73..00</w:t>
            </w:r>
          </w:p>
        </w:tc>
        <w:tc>
          <w:tcPr>
            <w:tcW w:w="0" w:type="auto"/>
            <w:shd w:val="clear" w:color="auto" w:fill="auto"/>
          </w:tcPr>
          <w:p w14:paraId="17BA14FE" w14:textId="77777777" w:rsidR="004672DB" w:rsidRPr="00B85D62" w:rsidRDefault="004672DB" w:rsidP="004672DB">
            <w:r w:rsidRPr="00B85D62">
              <w:rPr>
                <w:rFonts w:eastAsia="Arial" w:cs="Arial"/>
                <w:sz w:val="18"/>
                <w:szCs w:val="18"/>
              </w:rPr>
              <w:t>Other peripheral vascular disease</w:t>
            </w:r>
          </w:p>
        </w:tc>
      </w:tr>
      <w:tr w:rsidR="004672DB" w:rsidRPr="00B85D62" w14:paraId="747728C2" w14:textId="77777777" w:rsidTr="00B85D62">
        <w:trPr>
          <w:cantSplit/>
        </w:trPr>
        <w:tc>
          <w:tcPr>
            <w:tcW w:w="0" w:type="auto"/>
            <w:shd w:val="clear" w:color="auto" w:fill="auto"/>
          </w:tcPr>
          <w:p w14:paraId="75DCC63A" w14:textId="77777777" w:rsidR="004672DB" w:rsidRPr="00B85D62" w:rsidRDefault="004672DB" w:rsidP="004672DB">
            <w:r w:rsidRPr="00B85D62">
              <w:rPr>
                <w:rFonts w:eastAsia="Arial" w:cs="Arial"/>
                <w:sz w:val="18"/>
                <w:szCs w:val="18"/>
              </w:rPr>
              <w:t>5702</w:t>
            </w:r>
          </w:p>
        </w:tc>
        <w:tc>
          <w:tcPr>
            <w:tcW w:w="0" w:type="auto"/>
            <w:shd w:val="clear" w:color="auto" w:fill="auto"/>
          </w:tcPr>
          <w:p w14:paraId="31AD8ECA" w14:textId="77777777" w:rsidR="004672DB" w:rsidRPr="00B85D62" w:rsidRDefault="004672DB" w:rsidP="004672DB">
            <w:r w:rsidRPr="00B85D62">
              <w:rPr>
                <w:rFonts w:eastAsia="Arial" w:cs="Arial"/>
                <w:sz w:val="18"/>
                <w:szCs w:val="18"/>
              </w:rPr>
              <w:t>G73..11</w:t>
            </w:r>
          </w:p>
        </w:tc>
        <w:tc>
          <w:tcPr>
            <w:tcW w:w="0" w:type="auto"/>
            <w:shd w:val="clear" w:color="auto" w:fill="auto"/>
          </w:tcPr>
          <w:p w14:paraId="6A4BAEA0" w14:textId="77777777" w:rsidR="004672DB" w:rsidRPr="00B85D62" w:rsidRDefault="004672DB" w:rsidP="004672DB">
            <w:r w:rsidRPr="00B85D62">
              <w:rPr>
                <w:rFonts w:eastAsia="Arial" w:cs="Arial"/>
                <w:sz w:val="18"/>
                <w:szCs w:val="18"/>
              </w:rPr>
              <w:t>Peripheral ischaemic vascular disease</w:t>
            </w:r>
          </w:p>
        </w:tc>
      </w:tr>
      <w:tr w:rsidR="004672DB" w:rsidRPr="00B85D62" w14:paraId="0F6600E7" w14:textId="77777777" w:rsidTr="00B85D62">
        <w:trPr>
          <w:cantSplit/>
        </w:trPr>
        <w:tc>
          <w:tcPr>
            <w:tcW w:w="0" w:type="auto"/>
            <w:shd w:val="clear" w:color="auto" w:fill="auto"/>
          </w:tcPr>
          <w:p w14:paraId="1A638541" w14:textId="77777777" w:rsidR="004672DB" w:rsidRPr="00B85D62" w:rsidRDefault="004672DB" w:rsidP="004672DB">
            <w:r w:rsidRPr="00B85D62">
              <w:rPr>
                <w:rFonts w:eastAsia="Arial" w:cs="Arial"/>
                <w:sz w:val="18"/>
                <w:szCs w:val="18"/>
              </w:rPr>
              <w:t>6827</w:t>
            </w:r>
          </w:p>
        </w:tc>
        <w:tc>
          <w:tcPr>
            <w:tcW w:w="0" w:type="auto"/>
            <w:shd w:val="clear" w:color="auto" w:fill="auto"/>
          </w:tcPr>
          <w:p w14:paraId="76FBBBF1" w14:textId="77777777" w:rsidR="004672DB" w:rsidRPr="00B85D62" w:rsidRDefault="004672DB" w:rsidP="004672DB">
            <w:r w:rsidRPr="00B85D62">
              <w:rPr>
                <w:rFonts w:eastAsia="Arial" w:cs="Arial"/>
                <w:sz w:val="18"/>
                <w:szCs w:val="18"/>
              </w:rPr>
              <w:t>G73..13</w:t>
            </w:r>
          </w:p>
        </w:tc>
        <w:tc>
          <w:tcPr>
            <w:tcW w:w="0" w:type="auto"/>
            <w:shd w:val="clear" w:color="auto" w:fill="auto"/>
          </w:tcPr>
          <w:p w14:paraId="326608A2" w14:textId="77777777" w:rsidR="004672DB" w:rsidRPr="00B85D62" w:rsidRDefault="004672DB" w:rsidP="004672DB">
            <w:r w:rsidRPr="00B85D62">
              <w:rPr>
                <w:rFonts w:eastAsia="Arial" w:cs="Arial"/>
                <w:sz w:val="18"/>
                <w:szCs w:val="18"/>
              </w:rPr>
              <w:t>Peripheral ischaemia</w:t>
            </w:r>
          </w:p>
        </w:tc>
      </w:tr>
      <w:tr w:rsidR="004672DB" w:rsidRPr="00B85D62" w14:paraId="15691FD4" w14:textId="77777777" w:rsidTr="00B85D62">
        <w:trPr>
          <w:cantSplit/>
        </w:trPr>
        <w:tc>
          <w:tcPr>
            <w:tcW w:w="0" w:type="auto"/>
            <w:shd w:val="clear" w:color="auto" w:fill="auto"/>
          </w:tcPr>
          <w:p w14:paraId="573D4D6C" w14:textId="77777777" w:rsidR="004672DB" w:rsidRPr="00B85D62" w:rsidRDefault="004672DB" w:rsidP="004672DB">
            <w:r w:rsidRPr="00B85D62">
              <w:rPr>
                <w:rFonts w:eastAsia="Arial" w:cs="Arial"/>
                <w:sz w:val="18"/>
                <w:szCs w:val="18"/>
              </w:rPr>
              <w:t>9204</w:t>
            </w:r>
          </w:p>
        </w:tc>
        <w:tc>
          <w:tcPr>
            <w:tcW w:w="0" w:type="auto"/>
            <w:shd w:val="clear" w:color="auto" w:fill="auto"/>
          </w:tcPr>
          <w:p w14:paraId="65D00837" w14:textId="77777777" w:rsidR="004672DB" w:rsidRPr="00B85D62" w:rsidRDefault="004672DB" w:rsidP="004672DB">
            <w:r w:rsidRPr="00B85D62">
              <w:rPr>
                <w:rFonts w:eastAsia="Arial" w:cs="Arial"/>
                <w:sz w:val="18"/>
                <w:szCs w:val="18"/>
              </w:rPr>
              <w:t>G732.00</w:t>
            </w:r>
          </w:p>
        </w:tc>
        <w:tc>
          <w:tcPr>
            <w:tcW w:w="0" w:type="auto"/>
            <w:shd w:val="clear" w:color="auto" w:fill="auto"/>
          </w:tcPr>
          <w:p w14:paraId="78D819F7" w14:textId="77777777" w:rsidR="004672DB" w:rsidRPr="00B85D62" w:rsidRDefault="004672DB" w:rsidP="004672DB">
            <w:r w:rsidRPr="00B85D62">
              <w:rPr>
                <w:rFonts w:eastAsia="Arial" w:cs="Arial"/>
                <w:sz w:val="18"/>
                <w:szCs w:val="18"/>
              </w:rPr>
              <w:t>Peripheral gangrene</w:t>
            </w:r>
          </w:p>
        </w:tc>
      </w:tr>
      <w:tr w:rsidR="004672DB" w:rsidRPr="00B85D62" w14:paraId="46A948B6" w14:textId="77777777" w:rsidTr="00B85D62">
        <w:trPr>
          <w:cantSplit/>
        </w:trPr>
        <w:tc>
          <w:tcPr>
            <w:tcW w:w="0" w:type="auto"/>
            <w:shd w:val="clear" w:color="auto" w:fill="auto"/>
          </w:tcPr>
          <w:p w14:paraId="7CF6CEAB" w14:textId="77777777" w:rsidR="004672DB" w:rsidRPr="00B85D62" w:rsidRDefault="004672DB" w:rsidP="004672DB">
            <w:r w:rsidRPr="00B85D62">
              <w:rPr>
                <w:rFonts w:eastAsia="Arial" w:cs="Arial"/>
                <w:sz w:val="18"/>
                <w:szCs w:val="18"/>
              </w:rPr>
              <w:t>105317</w:t>
            </w:r>
          </w:p>
        </w:tc>
        <w:tc>
          <w:tcPr>
            <w:tcW w:w="0" w:type="auto"/>
            <w:shd w:val="clear" w:color="auto" w:fill="auto"/>
          </w:tcPr>
          <w:p w14:paraId="23638157" w14:textId="77777777" w:rsidR="004672DB" w:rsidRPr="00B85D62" w:rsidRDefault="004672DB" w:rsidP="004672DB">
            <w:r w:rsidRPr="00B85D62">
              <w:rPr>
                <w:rFonts w:eastAsia="Arial" w:cs="Arial"/>
                <w:sz w:val="18"/>
                <w:szCs w:val="18"/>
              </w:rPr>
              <w:t>G734.00</w:t>
            </w:r>
          </w:p>
        </w:tc>
        <w:tc>
          <w:tcPr>
            <w:tcW w:w="0" w:type="auto"/>
            <w:shd w:val="clear" w:color="auto" w:fill="auto"/>
          </w:tcPr>
          <w:p w14:paraId="3B65ACF7" w14:textId="77777777" w:rsidR="004672DB" w:rsidRPr="00B85D62" w:rsidRDefault="004672DB" w:rsidP="004672DB">
            <w:r w:rsidRPr="00B85D62">
              <w:rPr>
                <w:rFonts w:eastAsia="Arial" w:cs="Arial"/>
                <w:sz w:val="18"/>
                <w:szCs w:val="18"/>
              </w:rPr>
              <w:t>Peripheral arterial disease</w:t>
            </w:r>
          </w:p>
        </w:tc>
      </w:tr>
      <w:tr w:rsidR="004672DB" w:rsidRPr="00B85D62" w14:paraId="4B82E2DE" w14:textId="77777777" w:rsidTr="00B85D62">
        <w:trPr>
          <w:cantSplit/>
        </w:trPr>
        <w:tc>
          <w:tcPr>
            <w:tcW w:w="0" w:type="auto"/>
            <w:shd w:val="clear" w:color="auto" w:fill="auto"/>
          </w:tcPr>
          <w:p w14:paraId="675744CF" w14:textId="77777777" w:rsidR="004672DB" w:rsidRPr="00B85D62" w:rsidRDefault="004672DB" w:rsidP="004672DB">
            <w:r w:rsidRPr="00B85D62">
              <w:rPr>
                <w:rFonts w:eastAsia="Arial" w:cs="Arial"/>
                <w:sz w:val="18"/>
                <w:szCs w:val="18"/>
              </w:rPr>
              <w:t>38907</w:t>
            </w:r>
          </w:p>
        </w:tc>
        <w:tc>
          <w:tcPr>
            <w:tcW w:w="0" w:type="auto"/>
            <w:shd w:val="clear" w:color="auto" w:fill="auto"/>
          </w:tcPr>
          <w:p w14:paraId="19F7991C" w14:textId="77777777" w:rsidR="004672DB" w:rsidRPr="00B85D62" w:rsidRDefault="004672DB" w:rsidP="004672DB">
            <w:r w:rsidRPr="00B85D62">
              <w:rPr>
                <w:rFonts w:eastAsia="Arial" w:cs="Arial"/>
                <w:sz w:val="18"/>
                <w:szCs w:val="18"/>
              </w:rPr>
              <w:t>G73y.00</w:t>
            </w:r>
          </w:p>
        </w:tc>
        <w:tc>
          <w:tcPr>
            <w:tcW w:w="0" w:type="auto"/>
            <w:shd w:val="clear" w:color="auto" w:fill="auto"/>
          </w:tcPr>
          <w:p w14:paraId="4AB98DD4" w14:textId="77777777" w:rsidR="004672DB" w:rsidRPr="00B85D62" w:rsidRDefault="004672DB" w:rsidP="004672DB">
            <w:r w:rsidRPr="00B85D62">
              <w:rPr>
                <w:rFonts w:eastAsia="Arial" w:cs="Arial"/>
                <w:sz w:val="18"/>
                <w:szCs w:val="18"/>
              </w:rPr>
              <w:t>Other specified peripheral vascular disease</w:t>
            </w:r>
          </w:p>
        </w:tc>
      </w:tr>
      <w:tr w:rsidR="004672DB" w:rsidRPr="00B85D62" w14:paraId="2A3B50BC" w14:textId="77777777" w:rsidTr="00B85D62">
        <w:trPr>
          <w:cantSplit/>
        </w:trPr>
        <w:tc>
          <w:tcPr>
            <w:tcW w:w="0" w:type="auto"/>
            <w:shd w:val="clear" w:color="auto" w:fill="auto"/>
          </w:tcPr>
          <w:p w14:paraId="77464B37" w14:textId="77777777" w:rsidR="004672DB" w:rsidRPr="00B85D62" w:rsidRDefault="004672DB" w:rsidP="004672DB">
            <w:r w:rsidRPr="00B85D62">
              <w:rPr>
                <w:rFonts w:eastAsia="Arial" w:cs="Arial"/>
                <w:sz w:val="18"/>
                <w:szCs w:val="18"/>
              </w:rPr>
              <w:t>4325</w:t>
            </w:r>
          </w:p>
        </w:tc>
        <w:tc>
          <w:tcPr>
            <w:tcW w:w="0" w:type="auto"/>
            <w:shd w:val="clear" w:color="auto" w:fill="auto"/>
          </w:tcPr>
          <w:p w14:paraId="5EC084C0" w14:textId="77777777" w:rsidR="004672DB" w:rsidRPr="00B85D62" w:rsidRDefault="004672DB" w:rsidP="004672DB">
            <w:r w:rsidRPr="00B85D62">
              <w:rPr>
                <w:rFonts w:eastAsia="Arial" w:cs="Arial"/>
                <w:sz w:val="18"/>
                <w:szCs w:val="18"/>
              </w:rPr>
              <w:t>G73yz00</w:t>
            </w:r>
          </w:p>
        </w:tc>
        <w:tc>
          <w:tcPr>
            <w:tcW w:w="0" w:type="auto"/>
            <w:shd w:val="clear" w:color="auto" w:fill="auto"/>
          </w:tcPr>
          <w:p w14:paraId="1AB198B0" w14:textId="77777777" w:rsidR="004672DB" w:rsidRPr="00B85D62" w:rsidRDefault="004672DB" w:rsidP="004672DB">
            <w:r w:rsidRPr="00B85D62">
              <w:rPr>
                <w:rFonts w:eastAsia="Arial" w:cs="Arial"/>
                <w:sz w:val="18"/>
                <w:szCs w:val="18"/>
              </w:rPr>
              <w:t>Other specified peripheral vascular disease NOS</w:t>
            </w:r>
          </w:p>
        </w:tc>
      </w:tr>
      <w:tr w:rsidR="004672DB" w:rsidRPr="00B85D62" w14:paraId="5EF0416F" w14:textId="77777777" w:rsidTr="00B85D62">
        <w:trPr>
          <w:cantSplit/>
        </w:trPr>
        <w:tc>
          <w:tcPr>
            <w:tcW w:w="0" w:type="auto"/>
            <w:shd w:val="clear" w:color="auto" w:fill="auto"/>
          </w:tcPr>
          <w:p w14:paraId="409509FF" w14:textId="77777777" w:rsidR="004672DB" w:rsidRPr="00B85D62" w:rsidRDefault="004672DB" w:rsidP="004672DB">
            <w:r w:rsidRPr="00B85D62">
              <w:rPr>
                <w:rFonts w:eastAsia="Arial" w:cs="Arial"/>
                <w:sz w:val="18"/>
                <w:szCs w:val="18"/>
              </w:rPr>
              <w:t>3530</w:t>
            </w:r>
          </w:p>
        </w:tc>
        <w:tc>
          <w:tcPr>
            <w:tcW w:w="0" w:type="auto"/>
            <w:shd w:val="clear" w:color="auto" w:fill="auto"/>
          </w:tcPr>
          <w:p w14:paraId="30AD6357" w14:textId="77777777" w:rsidR="004672DB" w:rsidRPr="00B85D62" w:rsidRDefault="004672DB" w:rsidP="004672DB">
            <w:r w:rsidRPr="00B85D62">
              <w:rPr>
                <w:rFonts w:eastAsia="Arial" w:cs="Arial"/>
                <w:sz w:val="18"/>
                <w:szCs w:val="18"/>
              </w:rPr>
              <w:t>G73z.00</w:t>
            </w:r>
          </w:p>
        </w:tc>
        <w:tc>
          <w:tcPr>
            <w:tcW w:w="0" w:type="auto"/>
            <w:shd w:val="clear" w:color="auto" w:fill="auto"/>
          </w:tcPr>
          <w:p w14:paraId="06C8C312" w14:textId="77777777" w:rsidR="004672DB" w:rsidRPr="00B85D62" w:rsidRDefault="004672DB" w:rsidP="004672DB">
            <w:r w:rsidRPr="00B85D62">
              <w:rPr>
                <w:rFonts w:eastAsia="Arial" w:cs="Arial"/>
                <w:sz w:val="18"/>
                <w:szCs w:val="18"/>
              </w:rPr>
              <w:t>Peripheral vascular disease NOS</w:t>
            </w:r>
          </w:p>
        </w:tc>
      </w:tr>
      <w:tr w:rsidR="004672DB" w:rsidRPr="00B85D62" w14:paraId="54945DBC" w14:textId="77777777" w:rsidTr="00B85D62">
        <w:trPr>
          <w:cantSplit/>
        </w:trPr>
        <w:tc>
          <w:tcPr>
            <w:tcW w:w="0" w:type="auto"/>
            <w:shd w:val="clear" w:color="auto" w:fill="auto"/>
          </w:tcPr>
          <w:p w14:paraId="420B2C7F" w14:textId="77777777" w:rsidR="004672DB" w:rsidRPr="00B85D62" w:rsidRDefault="004672DB" w:rsidP="004672DB">
            <w:r w:rsidRPr="00B85D62">
              <w:rPr>
                <w:rFonts w:eastAsia="Arial" w:cs="Arial"/>
                <w:sz w:val="18"/>
                <w:szCs w:val="18"/>
              </w:rPr>
              <w:t>1517</w:t>
            </w:r>
          </w:p>
        </w:tc>
        <w:tc>
          <w:tcPr>
            <w:tcW w:w="0" w:type="auto"/>
            <w:shd w:val="clear" w:color="auto" w:fill="auto"/>
          </w:tcPr>
          <w:p w14:paraId="41B6D090" w14:textId="77777777" w:rsidR="004672DB" w:rsidRPr="00B85D62" w:rsidRDefault="004672DB" w:rsidP="004672DB">
            <w:r w:rsidRPr="00B85D62">
              <w:rPr>
                <w:rFonts w:eastAsia="Arial" w:cs="Arial"/>
                <w:sz w:val="18"/>
                <w:szCs w:val="18"/>
              </w:rPr>
              <w:t>G73z000</w:t>
            </w:r>
          </w:p>
        </w:tc>
        <w:tc>
          <w:tcPr>
            <w:tcW w:w="0" w:type="auto"/>
            <w:shd w:val="clear" w:color="auto" w:fill="auto"/>
          </w:tcPr>
          <w:p w14:paraId="1D6C08A5" w14:textId="77777777" w:rsidR="004672DB" w:rsidRPr="00B85D62" w:rsidRDefault="004672DB" w:rsidP="004672DB">
            <w:r w:rsidRPr="00B85D62">
              <w:rPr>
                <w:rFonts w:eastAsia="Arial" w:cs="Arial"/>
                <w:sz w:val="18"/>
                <w:szCs w:val="18"/>
              </w:rPr>
              <w:t>Intermittent claudication</w:t>
            </w:r>
          </w:p>
        </w:tc>
      </w:tr>
      <w:tr w:rsidR="004672DB" w:rsidRPr="00B85D62" w14:paraId="26697A04" w14:textId="77777777" w:rsidTr="00B85D62">
        <w:trPr>
          <w:cantSplit/>
        </w:trPr>
        <w:tc>
          <w:tcPr>
            <w:tcW w:w="0" w:type="auto"/>
            <w:shd w:val="clear" w:color="auto" w:fill="auto"/>
          </w:tcPr>
          <w:p w14:paraId="5ADCCD30" w14:textId="77777777" w:rsidR="004672DB" w:rsidRPr="00B85D62" w:rsidRDefault="004672DB" w:rsidP="004672DB">
            <w:r w:rsidRPr="00B85D62">
              <w:rPr>
                <w:rFonts w:eastAsia="Arial" w:cs="Arial"/>
                <w:sz w:val="18"/>
                <w:szCs w:val="18"/>
              </w:rPr>
              <w:t>101866</w:t>
            </w:r>
          </w:p>
        </w:tc>
        <w:tc>
          <w:tcPr>
            <w:tcW w:w="0" w:type="auto"/>
            <w:shd w:val="clear" w:color="auto" w:fill="auto"/>
          </w:tcPr>
          <w:p w14:paraId="63B886BF" w14:textId="77777777" w:rsidR="004672DB" w:rsidRPr="00B85D62" w:rsidRDefault="004672DB" w:rsidP="004672DB">
            <w:r w:rsidRPr="00B85D62">
              <w:rPr>
                <w:rFonts w:eastAsia="Arial" w:cs="Arial"/>
                <w:sz w:val="18"/>
                <w:szCs w:val="18"/>
              </w:rPr>
              <w:t>G73z012</w:t>
            </w:r>
          </w:p>
        </w:tc>
        <w:tc>
          <w:tcPr>
            <w:tcW w:w="0" w:type="auto"/>
            <w:shd w:val="clear" w:color="auto" w:fill="auto"/>
          </w:tcPr>
          <w:p w14:paraId="39164533" w14:textId="77777777" w:rsidR="004672DB" w:rsidRPr="00B85D62" w:rsidRDefault="004672DB" w:rsidP="004672DB">
            <w:r w:rsidRPr="00B85D62">
              <w:rPr>
                <w:rFonts w:eastAsia="Arial" w:cs="Arial"/>
                <w:sz w:val="18"/>
                <w:szCs w:val="18"/>
              </w:rPr>
              <w:t>Vascular claudication</w:t>
            </w:r>
          </w:p>
        </w:tc>
      </w:tr>
      <w:tr w:rsidR="004672DB" w:rsidRPr="00B85D62" w14:paraId="7EE16859" w14:textId="77777777" w:rsidTr="00B85D62">
        <w:trPr>
          <w:cantSplit/>
        </w:trPr>
        <w:tc>
          <w:tcPr>
            <w:tcW w:w="0" w:type="auto"/>
            <w:shd w:val="clear" w:color="auto" w:fill="auto"/>
          </w:tcPr>
          <w:p w14:paraId="377A9FAE" w14:textId="77777777" w:rsidR="004672DB" w:rsidRPr="00B85D62" w:rsidRDefault="004672DB" w:rsidP="004672DB">
            <w:r w:rsidRPr="00B85D62">
              <w:rPr>
                <w:rFonts w:eastAsia="Arial" w:cs="Arial"/>
                <w:sz w:val="18"/>
                <w:szCs w:val="18"/>
              </w:rPr>
              <w:t>2760</w:t>
            </w:r>
          </w:p>
        </w:tc>
        <w:tc>
          <w:tcPr>
            <w:tcW w:w="0" w:type="auto"/>
            <w:shd w:val="clear" w:color="auto" w:fill="auto"/>
          </w:tcPr>
          <w:p w14:paraId="764CA0D6" w14:textId="77777777" w:rsidR="004672DB" w:rsidRPr="00B85D62" w:rsidRDefault="004672DB" w:rsidP="004672DB">
            <w:r w:rsidRPr="00B85D62">
              <w:rPr>
                <w:rFonts w:eastAsia="Arial" w:cs="Arial"/>
                <w:sz w:val="18"/>
                <w:szCs w:val="18"/>
              </w:rPr>
              <w:t>G73zz00</w:t>
            </w:r>
          </w:p>
        </w:tc>
        <w:tc>
          <w:tcPr>
            <w:tcW w:w="0" w:type="auto"/>
            <w:shd w:val="clear" w:color="auto" w:fill="auto"/>
          </w:tcPr>
          <w:p w14:paraId="74C32EA5" w14:textId="77777777" w:rsidR="004672DB" w:rsidRPr="00B85D62" w:rsidRDefault="004672DB" w:rsidP="004672DB">
            <w:r w:rsidRPr="00B85D62">
              <w:rPr>
                <w:rFonts w:eastAsia="Arial" w:cs="Arial"/>
                <w:sz w:val="18"/>
                <w:szCs w:val="18"/>
              </w:rPr>
              <w:t>Peripheral vascular disease NOS</w:t>
            </w:r>
          </w:p>
        </w:tc>
      </w:tr>
      <w:tr w:rsidR="004672DB" w:rsidRPr="00B85D62" w14:paraId="39DAFBC6" w14:textId="77777777" w:rsidTr="00B85D62">
        <w:trPr>
          <w:cantSplit/>
        </w:trPr>
        <w:tc>
          <w:tcPr>
            <w:tcW w:w="0" w:type="auto"/>
            <w:shd w:val="clear" w:color="auto" w:fill="auto"/>
          </w:tcPr>
          <w:p w14:paraId="286D1AA4" w14:textId="77777777" w:rsidR="004672DB" w:rsidRPr="00B85D62" w:rsidRDefault="004672DB" w:rsidP="004672DB">
            <w:r w:rsidRPr="00B85D62">
              <w:rPr>
                <w:rFonts w:eastAsia="Arial" w:cs="Arial"/>
                <w:sz w:val="18"/>
                <w:szCs w:val="18"/>
              </w:rPr>
              <w:t>15302</w:t>
            </w:r>
          </w:p>
        </w:tc>
        <w:tc>
          <w:tcPr>
            <w:tcW w:w="0" w:type="auto"/>
            <w:shd w:val="clear" w:color="auto" w:fill="auto"/>
          </w:tcPr>
          <w:p w14:paraId="7CA3C63D" w14:textId="77777777" w:rsidR="004672DB" w:rsidRPr="00B85D62" w:rsidRDefault="004672DB" w:rsidP="004672DB">
            <w:r w:rsidRPr="00B85D62">
              <w:rPr>
                <w:rFonts w:eastAsia="Arial" w:cs="Arial"/>
                <w:sz w:val="18"/>
                <w:szCs w:val="18"/>
              </w:rPr>
              <w:t>G742z00</w:t>
            </w:r>
          </w:p>
        </w:tc>
        <w:tc>
          <w:tcPr>
            <w:tcW w:w="0" w:type="auto"/>
            <w:shd w:val="clear" w:color="auto" w:fill="auto"/>
          </w:tcPr>
          <w:p w14:paraId="31F908FF" w14:textId="77777777" w:rsidR="004672DB" w:rsidRPr="00B85D62" w:rsidRDefault="004672DB" w:rsidP="004672DB">
            <w:r w:rsidRPr="00B85D62">
              <w:rPr>
                <w:rFonts w:eastAsia="Arial" w:cs="Arial"/>
                <w:sz w:val="18"/>
                <w:szCs w:val="18"/>
              </w:rPr>
              <w:t>Peripheral arterial embolism and thrombosis NOS</w:t>
            </w:r>
          </w:p>
        </w:tc>
      </w:tr>
      <w:tr w:rsidR="004672DB" w:rsidRPr="00B85D62" w14:paraId="55F74489" w14:textId="77777777" w:rsidTr="00B85D62">
        <w:trPr>
          <w:cantSplit/>
        </w:trPr>
        <w:tc>
          <w:tcPr>
            <w:tcW w:w="0" w:type="auto"/>
            <w:shd w:val="clear" w:color="auto" w:fill="auto"/>
          </w:tcPr>
          <w:p w14:paraId="20F9AC4E" w14:textId="77777777" w:rsidR="004672DB" w:rsidRPr="00B85D62" w:rsidRDefault="004672DB" w:rsidP="004672DB">
            <w:r w:rsidRPr="00B85D62">
              <w:rPr>
                <w:rFonts w:eastAsia="Arial" w:cs="Arial"/>
                <w:sz w:val="18"/>
                <w:szCs w:val="18"/>
              </w:rPr>
              <w:t>73961</w:t>
            </w:r>
          </w:p>
        </w:tc>
        <w:tc>
          <w:tcPr>
            <w:tcW w:w="0" w:type="auto"/>
            <w:shd w:val="clear" w:color="auto" w:fill="auto"/>
          </w:tcPr>
          <w:p w14:paraId="2553E9DB" w14:textId="77777777" w:rsidR="004672DB" w:rsidRPr="00B85D62" w:rsidRDefault="004672DB" w:rsidP="004672DB">
            <w:r w:rsidRPr="00B85D62">
              <w:rPr>
                <w:rFonts w:eastAsia="Arial" w:cs="Arial"/>
                <w:sz w:val="18"/>
                <w:szCs w:val="18"/>
              </w:rPr>
              <w:t>Gyu7400</w:t>
            </w:r>
          </w:p>
        </w:tc>
        <w:tc>
          <w:tcPr>
            <w:tcW w:w="0" w:type="auto"/>
            <w:shd w:val="clear" w:color="auto" w:fill="auto"/>
          </w:tcPr>
          <w:p w14:paraId="1F3F2EE8" w14:textId="77777777" w:rsidR="004672DB" w:rsidRPr="00B85D62" w:rsidRDefault="004672DB" w:rsidP="004672DB">
            <w:r w:rsidRPr="00B85D62">
              <w:rPr>
                <w:rFonts w:eastAsia="Arial" w:cs="Arial"/>
                <w:sz w:val="18"/>
                <w:szCs w:val="18"/>
              </w:rPr>
              <w:t>[X]Other specified peripheral vascular diseases</w:t>
            </w:r>
          </w:p>
        </w:tc>
      </w:tr>
    </w:tbl>
    <w:p w14:paraId="499CFA03" w14:textId="77777777" w:rsidR="00B85D62" w:rsidRPr="00B85D62" w:rsidRDefault="00B85D62" w:rsidP="004672DB">
      <w:pPr>
        <w:spacing w:line="257" w:lineRule="auto"/>
        <w:rPr>
          <w:rFonts w:eastAsia="Arial" w:cs="Arial"/>
        </w:rPr>
      </w:pPr>
    </w:p>
    <w:p w14:paraId="330B72F5" w14:textId="77777777" w:rsidR="004672DB" w:rsidRPr="00B85D62" w:rsidRDefault="004672DB" w:rsidP="004672DB">
      <w:pPr>
        <w:rPr>
          <w:rFonts w:eastAsia="Arial" w:cs="Arial"/>
        </w:rPr>
      </w:pPr>
      <w:r w:rsidRPr="00B85D62">
        <w:rPr>
          <w:rFonts w:eastAsia="Arial" w:cs="Arial"/>
          <w:b/>
          <w:bCs/>
        </w:rPr>
        <w:t xml:space="preserve">Cerebrovascular accident (Stroke) and Transient ischaemic attack (TIA) </w:t>
      </w:r>
      <w:r w:rsidRPr="00B85D62">
        <w:rPr>
          <w:rFonts w:eastAsia="Arial" w:cs="Arial"/>
        </w:rPr>
        <w:t>diagnostic codes (Read code lists)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95"/>
        <w:gridCol w:w="875"/>
        <w:gridCol w:w="4673"/>
      </w:tblGrid>
      <w:tr w:rsidR="004672DB" w:rsidRPr="00B85D62" w14:paraId="6C924F4B" w14:textId="77777777" w:rsidTr="00B85D62">
        <w:trPr>
          <w:cantSplit/>
        </w:trPr>
        <w:tc>
          <w:tcPr>
            <w:tcW w:w="0" w:type="auto"/>
            <w:shd w:val="clear" w:color="auto" w:fill="auto"/>
          </w:tcPr>
          <w:p w14:paraId="5945EE07" w14:textId="77777777" w:rsidR="004672DB" w:rsidRPr="00B85D62" w:rsidRDefault="004672DB" w:rsidP="004672DB">
            <w:r w:rsidRPr="00B85D62">
              <w:rPr>
                <w:rFonts w:eastAsia="Arial" w:cs="Arial"/>
                <w:sz w:val="18"/>
                <w:szCs w:val="18"/>
              </w:rPr>
              <w:t>Medical code</w:t>
            </w:r>
          </w:p>
        </w:tc>
        <w:tc>
          <w:tcPr>
            <w:tcW w:w="0" w:type="auto"/>
            <w:shd w:val="clear" w:color="auto" w:fill="auto"/>
          </w:tcPr>
          <w:p w14:paraId="6AC97841" w14:textId="77777777" w:rsidR="004672DB" w:rsidRPr="00B85D62" w:rsidRDefault="004672DB" w:rsidP="004672DB">
            <w:r w:rsidRPr="00B85D62">
              <w:rPr>
                <w:rFonts w:eastAsia="Arial" w:cs="Arial"/>
                <w:sz w:val="18"/>
                <w:szCs w:val="18"/>
              </w:rPr>
              <w:t>Read code</w:t>
            </w:r>
          </w:p>
        </w:tc>
        <w:tc>
          <w:tcPr>
            <w:tcW w:w="0" w:type="auto"/>
            <w:shd w:val="clear" w:color="auto" w:fill="auto"/>
          </w:tcPr>
          <w:p w14:paraId="4E173D2A" w14:textId="77777777" w:rsidR="004672DB" w:rsidRPr="00B85D62" w:rsidRDefault="004672DB" w:rsidP="004672DB">
            <w:r w:rsidRPr="00B85D62">
              <w:rPr>
                <w:rFonts w:eastAsia="Arial" w:cs="Arial"/>
                <w:sz w:val="18"/>
                <w:szCs w:val="18"/>
              </w:rPr>
              <w:t>Read term</w:t>
            </w:r>
          </w:p>
        </w:tc>
      </w:tr>
      <w:tr w:rsidR="004672DB" w:rsidRPr="00B85D62" w14:paraId="0F6C69CC" w14:textId="77777777" w:rsidTr="00B85D62">
        <w:trPr>
          <w:cantSplit/>
        </w:trPr>
        <w:tc>
          <w:tcPr>
            <w:tcW w:w="0" w:type="auto"/>
            <w:shd w:val="clear" w:color="auto" w:fill="auto"/>
          </w:tcPr>
          <w:p w14:paraId="43F8E4AF" w14:textId="77777777" w:rsidR="004672DB" w:rsidRPr="00B85D62" w:rsidRDefault="004672DB" w:rsidP="004672DB">
            <w:r w:rsidRPr="00B85D62">
              <w:rPr>
                <w:rFonts w:eastAsia="Arial" w:cs="Arial"/>
                <w:sz w:val="18"/>
                <w:szCs w:val="18"/>
              </w:rPr>
              <w:t>569</w:t>
            </w:r>
          </w:p>
        </w:tc>
        <w:tc>
          <w:tcPr>
            <w:tcW w:w="0" w:type="auto"/>
            <w:shd w:val="clear" w:color="auto" w:fill="auto"/>
          </w:tcPr>
          <w:p w14:paraId="3E69F1E7" w14:textId="77777777" w:rsidR="004672DB" w:rsidRPr="00B85D62" w:rsidRDefault="004672DB" w:rsidP="004672DB">
            <w:r w:rsidRPr="00B85D62">
              <w:rPr>
                <w:rFonts w:eastAsia="Arial" w:cs="Arial"/>
                <w:sz w:val="18"/>
                <w:szCs w:val="18"/>
              </w:rPr>
              <w:t>G64..12</w:t>
            </w:r>
          </w:p>
        </w:tc>
        <w:tc>
          <w:tcPr>
            <w:tcW w:w="0" w:type="auto"/>
            <w:shd w:val="clear" w:color="auto" w:fill="auto"/>
          </w:tcPr>
          <w:p w14:paraId="01720D14" w14:textId="40400F1E" w:rsidR="004672DB" w:rsidRPr="00B85D62" w:rsidRDefault="004672DB" w:rsidP="004672DB">
            <w:r w:rsidRPr="00B85D62">
              <w:rPr>
                <w:rFonts w:eastAsia="Arial" w:cs="Arial"/>
                <w:sz w:val="18"/>
                <w:szCs w:val="18"/>
              </w:rPr>
              <w:t>Infarction</w:t>
            </w:r>
            <w:r w:rsidR="00B85D62" w:rsidRPr="00B85D62">
              <w:rPr>
                <w:rFonts w:eastAsia="Arial" w:cs="Arial"/>
                <w:color w:val="00B0F0"/>
                <w:sz w:val="18"/>
                <w:szCs w:val="18"/>
              </w:rPr>
              <w:t xml:space="preserve"> – </w:t>
            </w:r>
            <w:r w:rsidRPr="00B85D62">
              <w:rPr>
                <w:rFonts w:eastAsia="Arial" w:cs="Arial"/>
                <w:sz w:val="18"/>
                <w:szCs w:val="18"/>
              </w:rPr>
              <w:t>cerebral</w:t>
            </w:r>
          </w:p>
        </w:tc>
      </w:tr>
      <w:tr w:rsidR="004672DB" w:rsidRPr="00B85D62" w14:paraId="70D5C55F" w14:textId="77777777" w:rsidTr="00B85D62">
        <w:trPr>
          <w:cantSplit/>
        </w:trPr>
        <w:tc>
          <w:tcPr>
            <w:tcW w:w="0" w:type="auto"/>
            <w:shd w:val="clear" w:color="auto" w:fill="auto"/>
          </w:tcPr>
          <w:p w14:paraId="4D236D0F" w14:textId="77777777" w:rsidR="004672DB" w:rsidRPr="00B85D62" w:rsidRDefault="004672DB" w:rsidP="004672DB">
            <w:r w:rsidRPr="00B85D62">
              <w:rPr>
                <w:rFonts w:eastAsia="Arial" w:cs="Arial"/>
                <w:sz w:val="18"/>
                <w:szCs w:val="18"/>
              </w:rPr>
              <w:t>1469</w:t>
            </w:r>
          </w:p>
        </w:tc>
        <w:tc>
          <w:tcPr>
            <w:tcW w:w="0" w:type="auto"/>
            <w:shd w:val="clear" w:color="auto" w:fill="auto"/>
          </w:tcPr>
          <w:p w14:paraId="631BB565" w14:textId="77777777" w:rsidR="004672DB" w:rsidRPr="00B85D62" w:rsidRDefault="004672DB" w:rsidP="004672DB">
            <w:r w:rsidRPr="00B85D62">
              <w:rPr>
                <w:rFonts w:eastAsia="Arial" w:cs="Arial"/>
                <w:sz w:val="18"/>
                <w:szCs w:val="18"/>
              </w:rPr>
              <w:t>G66..00</w:t>
            </w:r>
          </w:p>
        </w:tc>
        <w:tc>
          <w:tcPr>
            <w:tcW w:w="0" w:type="auto"/>
            <w:shd w:val="clear" w:color="auto" w:fill="auto"/>
          </w:tcPr>
          <w:p w14:paraId="390ADD3A" w14:textId="77777777" w:rsidR="004672DB" w:rsidRPr="00B85D62" w:rsidRDefault="004672DB" w:rsidP="004672DB">
            <w:r w:rsidRPr="00B85D62">
              <w:rPr>
                <w:rFonts w:eastAsia="Arial" w:cs="Arial"/>
                <w:sz w:val="18"/>
                <w:szCs w:val="18"/>
              </w:rPr>
              <w:t>Stroke and cerebrovascular accident unspecified</w:t>
            </w:r>
          </w:p>
        </w:tc>
      </w:tr>
      <w:tr w:rsidR="004672DB" w:rsidRPr="00B85D62" w14:paraId="0AE5D957" w14:textId="77777777" w:rsidTr="00B85D62">
        <w:trPr>
          <w:cantSplit/>
        </w:trPr>
        <w:tc>
          <w:tcPr>
            <w:tcW w:w="0" w:type="auto"/>
            <w:shd w:val="clear" w:color="auto" w:fill="auto"/>
          </w:tcPr>
          <w:p w14:paraId="5401BC68" w14:textId="77777777" w:rsidR="004672DB" w:rsidRPr="00B85D62" w:rsidRDefault="004672DB" w:rsidP="004672DB">
            <w:r w:rsidRPr="00B85D62">
              <w:rPr>
                <w:rFonts w:eastAsia="Arial" w:cs="Arial"/>
                <w:sz w:val="18"/>
                <w:szCs w:val="18"/>
              </w:rPr>
              <w:t>1895</w:t>
            </w:r>
          </w:p>
        </w:tc>
        <w:tc>
          <w:tcPr>
            <w:tcW w:w="0" w:type="auto"/>
            <w:shd w:val="clear" w:color="auto" w:fill="auto"/>
          </w:tcPr>
          <w:p w14:paraId="61A5B506" w14:textId="77777777" w:rsidR="004672DB" w:rsidRPr="00B85D62" w:rsidRDefault="004672DB" w:rsidP="004672DB">
            <w:r w:rsidRPr="00B85D62">
              <w:rPr>
                <w:rFonts w:eastAsia="Arial" w:cs="Arial"/>
                <w:sz w:val="18"/>
                <w:szCs w:val="18"/>
              </w:rPr>
              <w:t>G65z.00</w:t>
            </w:r>
          </w:p>
        </w:tc>
        <w:tc>
          <w:tcPr>
            <w:tcW w:w="0" w:type="auto"/>
            <w:shd w:val="clear" w:color="auto" w:fill="auto"/>
          </w:tcPr>
          <w:p w14:paraId="2D1E9FD1" w14:textId="77777777" w:rsidR="004672DB" w:rsidRPr="00B85D62" w:rsidRDefault="004672DB" w:rsidP="004672DB">
            <w:r w:rsidRPr="00B85D62">
              <w:rPr>
                <w:rFonts w:eastAsia="Arial" w:cs="Arial"/>
                <w:sz w:val="18"/>
                <w:szCs w:val="18"/>
              </w:rPr>
              <w:t>Transient cerebral ischaemia NOS</w:t>
            </w:r>
          </w:p>
        </w:tc>
      </w:tr>
      <w:tr w:rsidR="004672DB" w:rsidRPr="00B85D62" w14:paraId="3BEC7D55" w14:textId="77777777" w:rsidTr="00B85D62">
        <w:trPr>
          <w:cantSplit/>
        </w:trPr>
        <w:tc>
          <w:tcPr>
            <w:tcW w:w="0" w:type="auto"/>
            <w:shd w:val="clear" w:color="auto" w:fill="auto"/>
          </w:tcPr>
          <w:p w14:paraId="2ECF8BDD" w14:textId="77777777" w:rsidR="004672DB" w:rsidRPr="00B85D62" w:rsidRDefault="004672DB" w:rsidP="004672DB">
            <w:r w:rsidRPr="00B85D62">
              <w:rPr>
                <w:rFonts w:eastAsia="Arial" w:cs="Arial"/>
                <w:sz w:val="18"/>
                <w:szCs w:val="18"/>
              </w:rPr>
              <w:t>2418</w:t>
            </w:r>
          </w:p>
        </w:tc>
        <w:tc>
          <w:tcPr>
            <w:tcW w:w="0" w:type="auto"/>
            <w:shd w:val="clear" w:color="auto" w:fill="auto"/>
          </w:tcPr>
          <w:p w14:paraId="6B356C08" w14:textId="1FE0A538" w:rsidR="004672DB" w:rsidRPr="00B85D62" w:rsidRDefault="004672DB" w:rsidP="004672DB">
            <w:r w:rsidRPr="00B85D62">
              <w:rPr>
                <w:rFonts w:eastAsia="Arial" w:cs="Arial"/>
                <w:sz w:val="18"/>
                <w:szCs w:val="18"/>
              </w:rPr>
              <w:t>G6</w:t>
            </w:r>
            <w:r w:rsidR="00B85D62" w:rsidRPr="00B85D62">
              <w:rPr>
                <w:rFonts w:eastAsia="Arial" w:cs="Arial"/>
                <w:color w:val="00B0F0"/>
                <w:sz w:val="18"/>
                <w:szCs w:val="18"/>
              </w:rPr>
              <w:t>. . .</w:t>
            </w:r>
            <w:r w:rsidRPr="00B85D62">
              <w:rPr>
                <w:rFonts w:eastAsia="Arial" w:cs="Arial"/>
                <w:sz w:val="18"/>
                <w:szCs w:val="18"/>
              </w:rPr>
              <w:t>00</w:t>
            </w:r>
          </w:p>
        </w:tc>
        <w:tc>
          <w:tcPr>
            <w:tcW w:w="0" w:type="auto"/>
            <w:shd w:val="clear" w:color="auto" w:fill="auto"/>
          </w:tcPr>
          <w:p w14:paraId="7B7E6B6F" w14:textId="77777777" w:rsidR="004672DB" w:rsidRPr="00B85D62" w:rsidRDefault="004672DB" w:rsidP="004672DB">
            <w:r w:rsidRPr="00B85D62">
              <w:rPr>
                <w:rFonts w:eastAsia="Arial" w:cs="Arial"/>
                <w:sz w:val="18"/>
                <w:szCs w:val="18"/>
              </w:rPr>
              <w:t>Cerebrovascular disease</w:t>
            </w:r>
          </w:p>
        </w:tc>
      </w:tr>
      <w:tr w:rsidR="004672DB" w:rsidRPr="00B85D62" w14:paraId="610A5231" w14:textId="77777777" w:rsidTr="00B85D62">
        <w:trPr>
          <w:cantSplit/>
        </w:trPr>
        <w:tc>
          <w:tcPr>
            <w:tcW w:w="0" w:type="auto"/>
            <w:shd w:val="clear" w:color="auto" w:fill="auto"/>
          </w:tcPr>
          <w:p w14:paraId="7A90F107" w14:textId="77777777" w:rsidR="004672DB" w:rsidRPr="00B85D62" w:rsidRDefault="004672DB" w:rsidP="004672DB">
            <w:r w:rsidRPr="00B85D62">
              <w:rPr>
                <w:rFonts w:eastAsia="Arial" w:cs="Arial"/>
                <w:sz w:val="18"/>
                <w:szCs w:val="18"/>
              </w:rPr>
              <w:t>3149</w:t>
            </w:r>
          </w:p>
        </w:tc>
        <w:tc>
          <w:tcPr>
            <w:tcW w:w="0" w:type="auto"/>
            <w:shd w:val="clear" w:color="auto" w:fill="auto"/>
          </w:tcPr>
          <w:p w14:paraId="257BA0DE" w14:textId="77777777" w:rsidR="004672DB" w:rsidRPr="00B85D62" w:rsidRDefault="004672DB" w:rsidP="004672DB">
            <w:r w:rsidRPr="00B85D62">
              <w:rPr>
                <w:rFonts w:eastAsia="Arial" w:cs="Arial"/>
                <w:sz w:val="18"/>
                <w:szCs w:val="18"/>
              </w:rPr>
              <w:t>G64z.00</w:t>
            </w:r>
          </w:p>
        </w:tc>
        <w:tc>
          <w:tcPr>
            <w:tcW w:w="0" w:type="auto"/>
            <w:shd w:val="clear" w:color="auto" w:fill="auto"/>
          </w:tcPr>
          <w:p w14:paraId="12D719ED" w14:textId="77777777" w:rsidR="004672DB" w:rsidRPr="00B85D62" w:rsidRDefault="004672DB" w:rsidP="004672DB">
            <w:r w:rsidRPr="00B85D62">
              <w:rPr>
                <w:rFonts w:eastAsia="Arial" w:cs="Arial"/>
                <w:sz w:val="18"/>
                <w:szCs w:val="18"/>
              </w:rPr>
              <w:t>Cerebral infarction NOS</w:t>
            </w:r>
          </w:p>
        </w:tc>
      </w:tr>
      <w:tr w:rsidR="004672DB" w:rsidRPr="00B85D62" w14:paraId="138B1076" w14:textId="77777777" w:rsidTr="00B85D62">
        <w:trPr>
          <w:cantSplit/>
        </w:trPr>
        <w:tc>
          <w:tcPr>
            <w:tcW w:w="0" w:type="auto"/>
            <w:shd w:val="clear" w:color="auto" w:fill="auto"/>
          </w:tcPr>
          <w:p w14:paraId="64000B5F" w14:textId="77777777" w:rsidR="004672DB" w:rsidRPr="00B85D62" w:rsidRDefault="004672DB" w:rsidP="004672DB">
            <w:r w:rsidRPr="00B85D62">
              <w:rPr>
                <w:rFonts w:eastAsia="Arial" w:cs="Arial"/>
                <w:sz w:val="18"/>
                <w:szCs w:val="18"/>
              </w:rPr>
              <w:t>5184</w:t>
            </w:r>
          </w:p>
        </w:tc>
        <w:tc>
          <w:tcPr>
            <w:tcW w:w="0" w:type="auto"/>
            <w:shd w:val="clear" w:color="auto" w:fill="auto"/>
          </w:tcPr>
          <w:p w14:paraId="70C13917" w14:textId="77777777" w:rsidR="004672DB" w:rsidRPr="00B85D62" w:rsidRDefault="004672DB" w:rsidP="004672DB">
            <w:r w:rsidRPr="00B85D62">
              <w:rPr>
                <w:rFonts w:eastAsia="Arial" w:cs="Arial"/>
                <w:sz w:val="18"/>
                <w:szCs w:val="18"/>
              </w:rPr>
              <w:t>G670.11</w:t>
            </w:r>
          </w:p>
        </w:tc>
        <w:tc>
          <w:tcPr>
            <w:tcW w:w="0" w:type="auto"/>
            <w:shd w:val="clear" w:color="auto" w:fill="auto"/>
          </w:tcPr>
          <w:p w14:paraId="3FB811AE" w14:textId="77777777" w:rsidR="004672DB" w:rsidRPr="00B85D62" w:rsidRDefault="004672DB" w:rsidP="004672DB">
            <w:r w:rsidRPr="00B85D62">
              <w:rPr>
                <w:rFonts w:eastAsia="Arial" w:cs="Arial"/>
                <w:sz w:val="18"/>
                <w:szCs w:val="18"/>
              </w:rPr>
              <w:t>Precerebral atherosclerosis</w:t>
            </w:r>
          </w:p>
        </w:tc>
      </w:tr>
      <w:tr w:rsidR="004672DB" w:rsidRPr="00B85D62" w14:paraId="3C141F15" w14:textId="77777777" w:rsidTr="00B85D62">
        <w:trPr>
          <w:cantSplit/>
        </w:trPr>
        <w:tc>
          <w:tcPr>
            <w:tcW w:w="0" w:type="auto"/>
            <w:shd w:val="clear" w:color="auto" w:fill="auto"/>
          </w:tcPr>
          <w:p w14:paraId="590346F2" w14:textId="77777777" w:rsidR="004672DB" w:rsidRPr="00B85D62" w:rsidRDefault="004672DB" w:rsidP="004672DB">
            <w:r w:rsidRPr="00B85D62">
              <w:rPr>
                <w:rFonts w:eastAsia="Arial" w:cs="Arial"/>
                <w:sz w:val="18"/>
                <w:szCs w:val="18"/>
              </w:rPr>
              <w:t>5363</w:t>
            </w:r>
          </w:p>
        </w:tc>
        <w:tc>
          <w:tcPr>
            <w:tcW w:w="0" w:type="auto"/>
            <w:shd w:val="clear" w:color="auto" w:fill="auto"/>
          </w:tcPr>
          <w:p w14:paraId="6DC5A813" w14:textId="77777777" w:rsidR="004672DB" w:rsidRPr="00B85D62" w:rsidRDefault="004672DB" w:rsidP="004672DB">
            <w:r w:rsidRPr="00B85D62">
              <w:rPr>
                <w:rFonts w:eastAsia="Arial" w:cs="Arial"/>
                <w:sz w:val="18"/>
                <w:szCs w:val="18"/>
              </w:rPr>
              <w:t>G64..11</w:t>
            </w:r>
          </w:p>
        </w:tc>
        <w:tc>
          <w:tcPr>
            <w:tcW w:w="0" w:type="auto"/>
            <w:shd w:val="clear" w:color="auto" w:fill="auto"/>
          </w:tcPr>
          <w:p w14:paraId="52CDCBE6" w14:textId="741B29DA" w:rsidR="004672DB" w:rsidRPr="00B85D62" w:rsidRDefault="004672DB" w:rsidP="004672DB">
            <w:r w:rsidRPr="00B85D62">
              <w:rPr>
                <w:rFonts w:eastAsia="Arial" w:cs="Arial"/>
                <w:sz w:val="18"/>
                <w:szCs w:val="18"/>
              </w:rPr>
              <w:t>CVA</w:t>
            </w:r>
            <w:r w:rsidR="00B85D62" w:rsidRPr="00B85D62">
              <w:rPr>
                <w:rFonts w:eastAsia="Arial" w:cs="Arial"/>
                <w:color w:val="00B0F0"/>
                <w:sz w:val="18"/>
                <w:szCs w:val="18"/>
              </w:rPr>
              <w:t xml:space="preserve"> – </w:t>
            </w:r>
            <w:r w:rsidRPr="00B85D62">
              <w:rPr>
                <w:rFonts w:eastAsia="Arial" w:cs="Arial"/>
                <w:sz w:val="18"/>
                <w:szCs w:val="18"/>
              </w:rPr>
              <w:t>cerebral artery occlusion</w:t>
            </w:r>
          </w:p>
        </w:tc>
      </w:tr>
      <w:tr w:rsidR="004672DB" w:rsidRPr="00B85D62" w14:paraId="0996186D" w14:textId="77777777" w:rsidTr="00B85D62">
        <w:trPr>
          <w:cantSplit/>
        </w:trPr>
        <w:tc>
          <w:tcPr>
            <w:tcW w:w="0" w:type="auto"/>
            <w:shd w:val="clear" w:color="auto" w:fill="auto"/>
          </w:tcPr>
          <w:p w14:paraId="6AF92B03" w14:textId="77777777" w:rsidR="004672DB" w:rsidRPr="00B85D62" w:rsidRDefault="004672DB" w:rsidP="004672DB">
            <w:r w:rsidRPr="00B85D62">
              <w:rPr>
                <w:rFonts w:eastAsia="Arial" w:cs="Arial"/>
                <w:sz w:val="18"/>
                <w:szCs w:val="18"/>
              </w:rPr>
              <w:t>5602</w:t>
            </w:r>
          </w:p>
        </w:tc>
        <w:tc>
          <w:tcPr>
            <w:tcW w:w="0" w:type="auto"/>
            <w:shd w:val="clear" w:color="auto" w:fill="auto"/>
          </w:tcPr>
          <w:p w14:paraId="73F40FBE" w14:textId="77777777" w:rsidR="004672DB" w:rsidRPr="00B85D62" w:rsidRDefault="004672DB" w:rsidP="004672DB">
            <w:r w:rsidRPr="00B85D62">
              <w:rPr>
                <w:rFonts w:eastAsia="Arial" w:cs="Arial"/>
                <w:sz w:val="18"/>
                <w:szCs w:val="18"/>
              </w:rPr>
              <w:t>G64z.12</w:t>
            </w:r>
          </w:p>
        </w:tc>
        <w:tc>
          <w:tcPr>
            <w:tcW w:w="0" w:type="auto"/>
            <w:shd w:val="clear" w:color="auto" w:fill="auto"/>
          </w:tcPr>
          <w:p w14:paraId="750CDD63" w14:textId="77777777" w:rsidR="004672DB" w:rsidRPr="00B85D62" w:rsidRDefault="004672DB" w:rsidP="004672DB">
            <w:r w:rsidRPr="00B85D62">
              <w:rPr>
                <w:rFonts w:eastAsia="Arial" w:cs="Arial"/>
                <w:sz w:val="18"/>
                <w:szCs w:val="18"/>
              </w:rPr>
              <w:t>Cerebellar infarction</w:t>
            </w:r>
          </w:p>
        </w:tc>
      </w:tr>
      <w:tr w:rsidR="004672DB" w:rsidRPr="00B85D62" w14:paraId="0C0EA6CD" w14:textId="77777777" w:rsidTr="00B85D62">
        <w:trPr>
          <w:cantSplit/>
        </w:trPr>
        <w:tc>
          <w:tcPr>
            <w:tcW w:w="0" w:type="auto"/>
            <w:shd w:val="clear" w:color="auto" w:fill="auto"/>
          </w:tcPr>
          <w:p w14:paraId="5E33D201" w14:textId="77777777" w:rsidR="004672DB" w:rsidRPr="00B85D62" w:rsidRDefault="004672DB" w:rsidP="004672DB">
            <w:r w:rsidRPr="00B85D62">
              <w:rPr>
                <w:rFonts w:eastAsia="Arial" w:cs="Arial"/>
                <w:sz w:val="18"/>
                <w:szCs w:val="18"/>
              </w:rPr>
              <w:t>6116</w:t>
            </w:r>
          </w:p>
        </w:tc>
        <w:tc>
          <w:tcPr>
            <w:tcW w:w="0" w:type="auto"/>
            <w:shd w:val="clear" w:color="auto" w:fill="auto"/>
          </w:tcPr>
          <w:p w14:paraId="050C6A5A" w14:textId="77777777" w:rsidR="004672DB" w:rsidRPr="00B85D62" w:rsidRDefault="004672DB" w:rsidP="004672DB">
            <w:r w:rsidRPr="00B85D62">
              <w:rPr>
                <w:rFonts w:eastAsia="Arial" w:cs="Arial"/>
                <w:sz w:val="18"/>
                <w:szCs w:val="18"/>
              </w:rPr>
              <w:t>G66..13</w:t>
            </w:r>
          </w:p>
        </w:tc>
        <w:tc>
          <w:tcPr>
            <w:tcW w:w="0" w:type="auto"/>
            <w:shd w:val="clear" w:color="auto" w:fill="auto"/>
          </w:tcPr>
          <w:p w14:paraId="4858A715" w14:textId="0EB0762F" w:rsidR="004672DB" w:rsidRPr="00B85D62" w:rsidRDefault="004672DB" w:rsidP="004672DB">
            <w:r w:rsidRPr="00B85D62">
              <w:rPr>
                <w:rFonts w:eastAsia="Arial" w:cs="Arial"/>
                <w:sz w:val="18"/>
                <w:szCs w:val="18"/>
              </w:rPr>
              <w:t>CVA</w:t>
            </w:r>
            <w:r w:rsidR="00B85D62" w:rsidRPr="00B85D62">
              <w:rPr>
                <w:rFonts w:eastAsia="Arial" w:cs="Arial"/>
                <w:color w:val="00B0F0"/>
                <w:sz w:val="18"/>
                <w:szCs w:val="18"/>
              </w:rPr>
              <w:t xml:space="preserve"> – </w:t>
            </w:r>
            <w:r w:rsidRPr="00B85D62">
              <w:rPr>
                <w:rFonts w:eastAsia="Arial" w:cs="Arial"/>
                <w:sz w:val="18"/>
                <w:szCs w:val="18"/>
              </w:rPr>
              <w:t>Cerebrovascular accident unspecified</w:t>
            </w:r>
          </w:p>
        </w:tc>
      </w:tr>
      <w:tr w:rsidR="004672DB" w:rsidRPr="00B85D62" w14:paraId="651A8995" w14:textId="77777777" w:rsidTr="00B85D62">
        <w:trPr>
          <w:cantSplit/>
        </w:trPr>
        <w:tc>
          <w:tcPr>
            <w:tcW w:w="0" w:type="auto"/>
            <w:shd w:val="clear" w:color="auto" w:fill="auto"/>
          </w:tcPr>
          <w:p w14:paraId="2921B59B" w14:textId="77777777" w:rsidR="004672DB" w:rsidRPr="00B85D62" w:rsidRDefault="004672DB" w:rsidP="004672DB">
            <w:r w:rsidRPr="00B85D62">
              <w:rPr>
                <w:rFonts w:eastAsia="Arial" w:cs="Arial"/>
                <w:sz w:val="18"/>
                <w:szCs w:val="18"/>
              </w:rPr>
              <w:t>6155</w:t>
            </w:r>
          </w:p>
        </w:tc>
        <w:tc>
          <w:tcPr>
            <w:tcW w:w="0" w:type="auto"/>
            <w:shd w:val="clear" w:color="auto" w:fill="auto"/>
          </w:tcPr>
          <w:p w14:paraId="0D40B874" w14:textId="77777777" w:rsidR="004672DB" w:rsidRPr="00B85D62" w:rsidRDefault="004672DB" w:rsidP="004672DB">
            <w:r w:rsidRPr="00B85D62">
              <w:rPr>
                <w:rFonts w:eastAsia="Arial" w:cs="Arial"/>
                <w:sz w:val="18"/>
                <w:szCs w:val="18"/>
              </w:rPr>
              <w:t>G64..13</w:t>
            </w:r>
          </w:p>
        </w:tc>
        <w:tc>
          <w:tcPr>
            <w:tcW w:w="0" w:type="auto"/>
            <w:shd w:val="clear" w:color="auto" w:fill="auto"/>
          </w:tcPr>
          <w:p w14:paraId="06F0F603" w14:textId="77777777" w:rsidR="004672DB" w:rsidRPr="00B85D62" w:rsidRDefault="004672DB" w:rsidP="004672DB">
            <w:r w:rsidRPr="00B85D62">
              <w:rPr>
                <w:rFonts w:eastAsia="Arial" w:cs="Arial"/>
                <w:sz w:val="18"/>
                <w:szCs w:val="18"/>
              </w:rPr>
              <w:t xml:space="preserve">Stroke </w:t>
            </w:r>
            <w:r w:rsidRPr="00B85D62">
              <w:rPr>
                <w:rFonts w:eastAsia="Arial" w:cs="Arial"/>
                <w:sz w:val="18"/>
                <w:szCs w:val="18"/>
                <w:highlight w:val="magenta"/>
              </w:rPr>
              <w:t>due to</w:t>
            </w:r>
            <w:r w:rsidRPr="00B85D62">
              <w:rPr>
                <w:rFonts w:eastAsia="Arial" w:cs="Arial"/>
                <w:sz w:val="18"/>
                <w:szCs w:val="18"/>
              </w:rPr>
              <w:t xml:space="preserve"> cerebral arterial occlusion</w:t>
            </w:r>
          </w:p>
        </w:tc>
      </w:tr>
      <w:tr w:rsidR="004672DB" w:rsidRPr="00B85D62" w14:paraId="05093DCE" w14:textId="77777777" w:rsidTr="00B85D62">
        <w:trPr>
          <w:cantSplit/>
        </w:trPr>
        <w:tc>
          <w:tcPr>
            <w:tcW w:w="0" w:type="auto"/>
            <w:shd w:val="clear" w:color="auto" w:fill="auto"/>
          </w:tcPr>
          <w:p w14:paraId="461D17AF" w14:textId="77777777" w:rsidR="004672DB" w:rsidRPr="00B85D62" w:rsidRDefault="004672DB" w:rsidP="004672DB">
            <w:r w:rsidRPr="00B85D62">
              <w:rPr>
                <w:rFonts w:eastAsia="Arial" w:cs="Arial"/>
                <w:sz w:val="18"/>
                <w:szCs w:val="18"/>
              </w:rPr>
              <w:t>6228</w:t>
            </w:r>
          </w:p>
        </w:tc>
        <w:tc>
          <w:tcPr>
            <w:tcW w:w="0" w:type="auto"/>
            <w:shd w:val="clear" w:color="auto" w:fill="auto"/>
          </w:tcPr>
          <w:p w14:paraId="65226665" w14:textId="77777777" w:rsidR="004672DB" w:rsidRPr="00B85D62" w:rsidRDefault="004672DB" w:rsidP="004672DB">
            <w:r w:rsidRPr="00B85D62">
              <w:rPr>
                <w:rFonts w:eastAsia="Arial" w:cs="Arial"/>
                <w:sz w:val="18"/>
                <w:szCs w:val="18"/>
              </w:rPr>
              <w:t>G68X.00</w:t>
            </w:r>
          </w:p>
        </w:tc>
        <w:tc>
          <w:tcPr>
            <w:tcW w:w="0" w:type="auto"/>
            <w:shd w:val="clear" w:color="auto" w:fill="auto"/>
          </w:tcPr>
          <w:p w14:paraId="73BF1804" w14:textId="0AD59DED" w:rsidR="004672DB" w:rsidRPr="00B85D62" w:rsidRDefault="004672DB" w:rsidP="004672DB">
            <w:r w:rsidRPr="00B85D62">
              <w:rPr>
                <w:rFonts w:eastAsia="Arial" w:cs="Arial"/>
                <w:sz w:val="18"/>
                <w:szCs w:val="18"/>
              </w:rPr>
              <w:t>Sequelae of stroke,not specfd as h</w:t>
            </w:r>
            <w:r w:rsidR="00B85D62" w:rsidRPr="00B85D62">
              <w:rPr>
                <w:rFonts w:eastAsia="Arial" w:cs="Arial"/>
                <w:sz w:val="18"/>
                <w:szCs w:val="18"/>
              </w:rPr>
              <w:t>’</w:t>
            </w:r>
            <w:r w:rsidRPr="00B85D62">
              <w:rPr>
                <w:rFonts w:eastAsia="Arial" w:cs="Arial"/>
                <w:sz w:val="18"/>
                <w:szCs w:val="18"/>
              </w:rPr>
              <w:t>morrhage or infarction</w:t>
            </w:r>
          </w:p>
        </w:tc>
      </w:tr>
      <w:tr w:rsidR="004672DB" w:rsidRPr="00B85D62" w14:paraId="6FE44079" w14:textId="77777777" w:rsidTr="00B85D62">
        <w:trPr>
          <w:cantSplit/>
        </w:trPr>
        <w:tc>
          <w:tcPr>
            <w:tcW w:w="0" w:type="auto"/>
            <w:shd w:val="clear" w:color="auto" w:fill="auto"/>
          </w:tcPr>
          <w:p w14:paraId="4E94AE20" w14:textId="77777777" w:rsidR="004672DB" w:rsidRPr="00B85D62" w:rsidRDefault="004672DB" w:rsidP="004672DB">
            <w:r w:rsidRPr="00B85D62">
              <w:rPr>
                <w:rFonts w:eastAsia="Arial" w:cs="Arial"/>
                <w:sz w:val="18"/>
                <w:szCs w:val="18"/>
              </w:rPr>
              <w:t>6253</w:t>
            </w:r>
          </w:p>
        </w:tc>
        <w:tc>
          <w:tcPr>
            <w:tcW w:w="0" w:type="auto"/>
            <w:shd w:val="clear" w:color="auto" w:fill="auto"/>
          </w:tcPr>
          <w:p w14:paraId="38E8D47F" w14:textId="77777777" w:rsidR="004672DB" w:rsidRPr="00B85D62" w:rsidRDefault="004672DB" w:rsidP="004672DB">
            <w:r w:rsidRPr="00B85D62">
              <w:rPr>
                <w:rFonts w:eastAsia="Arial" w:cs="Arial"/>
                <w:sz w:val="18"/>
                <w:szCs w:val="18"/>
              </w:rPr>
              <w:t>G66..12</w:t>
            </w:r>
          </w:p>
        </w:tc>
        <w:tc>
          <w:tcPr>
            <w:tcW w:w="0" w:type="auto"/>
            <w:shd w:val="clear" w:color="auto" w:fill="auto"/>
          </w:tcPr>
          <w:p w14:paraId="572CE1EE" w14:textId="77777777" w:rsidR="004672DB" w:rsidRPr="00B85D62" w:rsidRDefault="004672DB" w:rsidP="004672DB">
            <w:r w:rsidRPr="00B85D62">
              <w:rPr>
                <w:rFonts w:eastAsia="Arial" w:cs="Arial"/>
                <w:sz w:val="18"/>
                <w:szCs w:val="18"/>
              </w:rPr>
              <w:t>Stroke unspecified</w:t>
            </w:r>
          </w:p>
        </w:tc>
      </w:tr>
      <w:tr w:rsidR="004672DB" w:rsidRPr="00B85D62" w14:paraId="7D70C264" w14:textId="77777777" w:rsidTr="00B85D62">
        <w:trPr>
          <w:cantSplit/>
        </w:trPr>
        <w:tc>
          <w:tcPr>
            <w:tcW w:w="0" w:type="auto"/>
            <w:shd w:val="clear" w:color="auto" w:fill="auto"/>
          </w:tcPr>
          <w:p w14:paraId="228A5A12" w14:textId="77777777" w:rsidR="004672DB" w:rsidRPr="00B85D62" w:rsidRDefault="004672DB" w:rsidP="004672DB">
            <w:r w:rsidRPr="00B85D62">
              <w:rPr>
                <w:rFonts w:eastAsia="Arial" w:cs="Arial"/>
                <w:sz w:val="18"/>
                <w:szCs w:val="18"/>
              </w:rPr>
              <w:t>6960</w:t>
            </w:r>
          </w:p>
        </w:tc>
        <w:tc>
          <w:tcPr>
            <w:tcW w:w="0" w:type="auto"/>
            <w:shd w:val="clear" w:color="auto" w:fill="auto"/>
          </w:tcPr>
          <w:p w14:paraId="30AE1E9C" w14:textId="77777777" w:rsidR="004672DB" w:rsidRPr="00B85D62" w:rsidRDefault="004672DB" w:rsidP="004672DB">
            <w:r w:rsidRPr="00B85D62">
              <w:rPr>
                <w:rFonts w:eastAsia="Arial" w:cs="Arial"/>
                <w:sz w:val="18"/>
                <w:szCs w:val="18"/>
              </w:rPr>
              <w:t>G61..11</w:t>
            </w:r>
          </w:p>
        </w:tc>
        <w:tc>
          <w:tcPr>
            <w:tcW w:w="0" w:type="auto"/>
            <w:shd w:val="clear" w:color="auto" w:fill="auto"/>
          </w:tcPr>
          <w:p w14:paraId="22D917BF" w14:textId="3CC195A4" w:rsidR="004672DB" w:rsidRPr="00B85D62" w:rsidRDefault="004672DB" w:rsidP="004672DB">
            <w:r w:rsidRPr="00B85D62">
              <w:rPr>
                <w:rFonts w:eastAsia="Arial" w:cs="Arial"/>
                <w:sz w:val="18"/>
                <w:szCs w:val="18"/>
              </w:rPr>
              <w:t>CVA</w:t>
            </w:r>
            <w:r w:rsidR="00B85D62" w:rsidRPr="00B85D62">
              <w:rPr>
                <w:rFonts w:eastAsia="Arial" w:cs="Arial"/>
                <w:color w:val="00B0F0"/>
                <w:sz w:val="18"/>
                <w:szCs w:val="18"/>
              </w:rPr>
              <w:t xml:space="preserve"> – </w:t>
            </w:r>
            <w:r w:rsidRPr="00B85D62">
              <w:rPr>
                <w:rFonts w:eastAsia="Arial" w:cs="Arial"/>
                <w:sz w:val="18"/>
                <w:szCs w:val="18"/>
              </w:rPr>
              <w:t xml:space="preserve">cerebrovascular accid </w:t>
            </w:r>
            <w:r w:rsidRPr="00B85D62">
              <w:rPr>
                <w:rFonts w:eastAsia="Arial" w:cs="Arial"/>
                <w:sz w:val="18"/>
                <w:szCs w:val="18"/>
                <w:highlight w:val="magenta"/>
              </w:rPr>
              <w:t>due to</w:t>
            </w:r>
            <w:r w:rsidRPr="00B85D62">
              <w:rPr>
                <w:rFonts w:eastAsia="Arial" w:cs="Arial"/>
                <w:sz w:val="18"/>
                <w:szCs w:val="18"/>
              </w:rPr>
              <w:t xml:space="preserve"> intracerebral haemorrhage</w:t>
            </w:r>
          </w:p>
        </w:tc>
      </w:tr>
      <w:tr w:rsidR="004672DB" w:rsidRPr="00B85D62" w14:paraId="598CAE3A" w14:textId="77777777" w:rsidTr="00B85D62">
        <w:trPr>
          <w:cantSplit/>
        </w:trPr>
        <w:tc>
          <w:tcPr>
            <w:tcW w:w="0" w:type="auto"/>
            <w:shd w:val="clear" w:color="auto" w:fill="auto"/>
          </w:tcPr>
          <w:p w14:paraId="69DE6585" w14:textId="77777777" w:rsidR="004672DB" w:rsidRPr="00B85D62" w:rsidRDefault="004672DB" w:rsidP="004672DB">
            <w:r w:rsidRPr="00B85D62">
              <w:rPr>
                <w:rFonts w:eastAsia="Arial" w:cs="Arial"/>
                <w:sz w:val="18"/>
                <w:szCs w:val="18"/>
              </w:rPr>
              <w:t>8443</w:t>
            </w:r>
          </w:p>
        </w:tc>
        <w:tc>
          <w:tcPr>
            <w:tcW w:w="0" w:type="auto"/>
            <w:shd w:val="clear" w:color="auto" w:fill="auto"/>
          </w:tcPr>
          <w:p w14:paraId="13E98E70" w14:textId="77777777" w:rsidR="004672DB" w:rsidRPr="00B85D62" w:rsidRDefault="004672DB" w:rsidP="004672DB">
            <w:r w:rsidRPr="00B85D62">
              <w:rPr>
                <w:rFonts w:eastAsia="Arial" w:cs="Arial"/>
                <w:sz w:val="18"/>
                <w:szCs w:val="18"/>
              </w:rPr>
              <w:t>G663.00</w:t>
            </w:r>
          </w:p>
        </w:tc>
        <w:tc>
          <w:tcPr>
            <w:tcW w:w="0" w:type="auto"/>
            <w:shd w:val="clear" w:color="auto" w:fill="auto"/>
          </w:tcPr>
          <w:p w14:paraId="020A207B" w14:textId="77777777" w:rsidR="004672DB" w:rsidRPr="00B85D62" w:rsidRDefault="004672DB" w:rsidP="004672DB">
            <w:r w:rsidRPr="00B85D62">
              <w:rPr>
                <w:rFonts w:eastAsia="Arial" w:cs="Arial"/>
                <w:sz w:val="18"/>
                <w:szCs w:val="18"/>
              </w:rPr>
              <w:t>Brain stem stroke syndrome</w:t>
            </w:r>
          </w:p>
        </w:tc>
      </w:tr>
      <w:tr w:rsidR="004672DB" w:rsidRPr="00B85D62" w14:paraId="6B4E8573" w14:textId="77777777" w:rsidTr="00B85D62">
        <w:trPr>
          <w:cantSplit/>
        </w:trPr>
        <w:tc>
          <w:tcPr>
            <w:tcW w:w="0" w:type="auto"/>
            <w:shd w:val="clear" w:color="auto" w:fill="auto"/>
          </w:tcPr>
          <w:p w14:paraId="0504D2F9" w14:textId="77777777" w:rsidR="004672DB" w:rsidRPr="00B85D62" w:rsidRDefault="004672DB" w:rsidP="004672DB">
            <w:r w:rsidRPr="00B85D62">
              <w:rPr>
                <w:rFonts w:eastAsia="Arial" w:cs="Arial"/>
                <w:sz w:val="18"/>
                <w:szCs w:val="18"/>
              </w:rPr>
              <w:t>8837</w:t>
            </w:r>
          </w:p>
        </w:tc>
        <w:tc>
          <w:tcPr>
            <w:tcW w:w="0" w:type="auto"/>
            <w:shd w:val="clear" w:color="auto" w:fill="auto"/>
          </w:tcPr>
          <w:p w14:paraId="251E5427" w14:textId="77777777" w:rsidR="004672DB" w:rsidRPr="00B85D62" w:rsidRDefault="004672DB" w:rsidP="004672DB">
            <w:r w:rsidRPr="00B85D62">
              <w:rPr>
                <w:rFonts w:eastAsia="Arial" w:cs="Arial"/>
                <w:sz w:val="18"/>
                <w:szCs w:val="18"/>
              </w:rPr>
              <w:t>G64..00</w:t>
            </w:r>
          </w:p>
        </w:tc>
        <w:tc>
          <w:tcPr>
            <w:tcW w:w="0" w:type="auto"/>
            <w:shd w:val="clear" w:color="auto" w:fill="auto"/>
          </w:tcPr>
          <w:p w14:paraId="178F30C4" w14:textId="77777777" w:rsidR="004672DB" w:rsidRPr="00B85D62" w:rsidRDefault="004672DB" w:rsidP="004672DB">
            <w:r w:rsidRPr="00B85D62">
              <w:rPr>
                <w:rFonts w:eastAsia="Arial" w:cs="Arial"/>
                <w:sz w:val="18"/>
                <w:szCs w:val="18"/>
              </w:rPr>
              <w:t>Cerebral arterial occlusion</w:t>
            </w:r>
          </w:p>
        </w:tc>
      </w:tr>
      <w:tr w:rsidR="004672DB" w:rsidRPr="00B85D62" w14:paraId="32468B4C" w14:textId="77777777" w:rsidTr="00B85D62">
        <w:trPr>
          <w:cantSplit/>
        </w:trPr>
        <w:tc>
          <w:tcPr>
            <w:tcW w:w="0" w:type="auto"/>
            <w:shd w:val="clear" w:color="auto" w:fill="auto"/>
          </w:tcPr>
          <w:p w14:paraId="3E627A19" w14:textId="77777777" w:rsidR="004672DB" w:rsidRPr="00B85D62" w:rsidRDefault="004672DB" w:rsidP="004672DB">
            <w:r w:rsidRPr="00B85D62">
              <w:rPr>
                <w:rFonts w:eastAsia="Arial" w:cs="Arial"/>
                <w:sz w:val="18"/>
                <w:szCs w:val="18"/>
              </w:rPr>
              <w:t>9985</w:t>
            </w:r>
          </w:p>
        </w:tc>
        <w:tc>
          <w:tcPr>
            <w:tcW w:w="0" w:type="auto"/>
            <w:shd w:val="clear" w:color="auto" w:fill="auto"/>
          </w:tcPr>
          <w:p w14:paraId="62F2EB85" w14:textId="77777777" w:rsidR="004672DB" w:rsidRPr="00B85D62" w:rsidRDefault="004672DB" w:rsidP="004672DB">
            <w:r w:rsidRPr="00B85D62">
              <w:rPr>
                <w:rFonts w:eastAsia="Arial" w:cs="Arial"/>
                <w:sz w:val="18"/>
                <w:szCs w:val="18"/>
              </w:rPr>
              <w:t>G64z200</w:t>
            </w:r>
          </w:p>
        </w:tc>
        <w:tc>
          <w:tcPr>
            <w:tcW w:w="0" w:type="auto"/>
            <w:shd w:val="clear" w:color="auto" w:fill="auto"/>
          </w:tcPr>
          <w:p w14:paraId="1C423060" w14:textId="77777777" w:rsidR="004672DB" w:rsidRPr="00B85D62" w:rsidRDefault="004672DB" w:rsidP="004672DB">
            <w:r w:rsidRPr="00B85D62">
              <w:rPr>
                <w:rFonts w:eastAsia="Arial" w:cs="Arial"/>
                <w:sz w:val="18"/>
                <w:szCs w:val="18"/>
              </w:rPr>
              <w:t>Left sided cerebral infarction</w:t>
            </w:r>
          </w:p>
        </w:tc>
      </w:tr>
      <w:tr w:rsidR="004672DB" w:rsidRPr="00B85D62" w14:paraId="29ADBA88" w14:textId="77777777" w:rsidTr="00B85D62">
        <w:trPr>
          <w:cantSplit/>
        </w:trPr>
        <w:tc>
          <w:tcPr>
            <w:tcW w:w="0" w:type="auto"/>
            <w:shd w:val="clear" w:color="auto" w:fill="auto"/>
          </w:tcPr>
          <w:p w14:paraId="575AB3D5" w14:textId="77777777" w:rsidR="004672DB" w:rsidRPr="00B85D62" w:rsidRDefault="004672DB" w:rsidP="004672DB">
            <w:r w:rsidRPr="00B85D62">
              <w:rPr>
                <w:rFonts w:eastAsia="Arial" w:cs="Arial"/>
                <w:sz w:val="18"/>
                <w:szCs w:val="18"/>
              </w:rPr>
              <w:t>10062</w:t>
            </w:r>
          </w:p>
        </w:tc>
        <w:tc>
          <w:tcPr>
            <w:tcW w:w="0" w:type="auto"/>
            <w:shd w:val="clear" w:color="auto" w:fill="auto"/>
          </w:tcPr>
          <w:p w14:paraId="4DB1C852" w14:textId="77777777" w:rsidR="004672DB" w:rsidRPr="00B85D62" w:rsidRDefault="004672DB" w:rsidP="004672DB">
            <w:r w:rsidRPr="00B85D62">
              <w:rPr>
                <w:rFonts w:eastAsia="Arial" w:cs="Arial"/>
                <w:sz w:val="18"/>
                <w:szCs w:val="18"/>
              </w:rPr>
              <w:t>G6z..00</w:t>
            </w:r>
          </w:p>
        </w:tc>
        <w:tc>
          <w:tcPr>
            <w:tcW w:w="0" w:type="auto"/>
            <w:shd w:val="clear" w:color="auto" w:fill="auto"/>
          </w:tcPr>
          <w:p w14:paraId="385ED8BE" w14:textId="77777777" w:rsidR="004672DB" w:rsidRPr="00B85D62" w:rsidRDefault="004672DB" w:rsidP="004672DB">
            <w:r w:rsidRPr="00B85D62">
              <w:rPr>
                <w:rFonts w:eastAsia="Arial" w:cs="Arial"/>
                <w:sz w:val="18"/>
                <w:szCs w:val="18"/>
              </w:rPr>
              <w:t>Cerebrovascular disease NOS</w:t>
            </w:r>
          </w:p>
        </w:tc>
      </w:tr>
      <w:tr w:rsidR="004672DB" w:rsidRPr="00B85D62" w14:paraId="70FE71AE" w14:textId="77777777" w:rsidTr="00B85D62">
        <w:trPr>
          <w:cantSplit/>
        </w:trPr>
        <w:tc>
          <w:tcPr>
            <w:tcW w:w="0" w:type="auto"/>
            <w:shd w:val="clear" w:color="auto" w:fill="auto"/>
          </w:tcPr>
          <w:p w14:paraId="08D9AE27" w14:textId="77777777" w:rsidR="004672DB" w:rsidRPr="00B85D62" w:rsidRDefault="004672DB" w:rsidP="004672DB">
            <w:r w:rsidRPr="00B85D62">
              <w:rPr>
                <w:rFonts w:eastAsia="Arial" w:cs="Arial"/>
                <w:sz w:val="18"/>
                <w:szCs w:val="18"/>
              </w:rPr>
              <w:t>10504</w:t>
            </w:r>
          </w:p>
        </w:tc>
        <w:tc>
          <w:tcPr>
            <w:tcW w:w="0" w:type="auto"/>
            <w:shd w:val="clear" w:color="auto" w:fill="auto"/>
          </w:tcPr>
          <w:p w14:paraId="21FAD13B" w14:textId="77777777" w:rsidR="004672DB" w:rsidRPr="00B85D62" w:rsidRDefault="004672DB" w:rsidP="004672DB">
            <w:r w:rsidRPr="00B85D62">
              <w:rPr>
                <w:rFonts w:eastAsia="Arial" w:cs="Arial"/>
                <w:sz w:val="18"/>
                <w:szCs w:val="18"/>
              </w:rPr>
              <w:t>G64z300</w:t>
            </w:r>
          </w:p>
        </w:tc>
        <w:tc>
          <w:tcPr>
            <w:tcW w:w="0" w:type="auto"/>
            <w:shd w:val="clear" w:color="auto" w:fill="auto"/>
          </w:tcPr>
          <w:p w14:paraId="2E398DB7" w14:textId="77777777" w:rsidR="004672DB" w:rsidRPr="00B85D62" w:rsidRDefault="004672DB" w:rsidP="004672DB">
            <w:r w:rsidRPr="00B85D62">
              <w:rPr>
                <w:rFonts w:eastAsia="Arial" w:cs="Arial"/>
                <w:sz w:val="18"/>
                <w:szCs w:val="18"/>
              </w:rPr>
              <w:t>Right sided cerebral infarction</w:t>
            </w:r>
          </w:p>
        </w:tc>
      </w:tr>
      <w:tr w:rsidR="004672DB" w:rsidRPr="00B85D62" w14:paraId="523E015B" w14:textId="77777777" w:rsidTr="00B85D62">
        <w:trPr>
          <w:cantSplit/>
        </w:trPr>
        <w:tc>
          <w:tcPr>
            <w:tcW w:w="0" w:type="auto"/>
            <w:shd w:val="clear" w:color="auto" w:fill="auto"/>
          </w:tcPr>
          <w:p w14:paraId="6C5C15FF" w14:textId="77777777" w:rsidR="004672DB" w:rsidRPr="00B85D62" w:rsidRDefault="004672DB" w:rsidP="004672DB">
            <w:r w:rsidRPr="00B85D62">
              <w:rPr>
                <w:rFonts w:eastAsia="Arial" w:cs="Arial"/>
                <w:sz w:val="18"/>
                <w:szCs w:val="18"/>
              </w:rPr>
              <w:t>11171</w:t>
            </w:r>
          </w:p>
        </w:tc>
        <w:tc>
          <w:tcPr>
            <w:tcW w:w="0" w:type="auto"/>
            <w:shd w:val="clear" w:color="auto" w:fill="auto"/>
          </w:tcPr>
          <w:p w14:paraId="23C4C628" w14:textId="77777777" w:rsidR="004672DB" w:rsidRPr="00B85D62" w:rsidRDefault="004672DB" w:rsidP="004672DB">
            <w:r w:rsidRPr="00B85D62">
              <w:rPr>
                <w:rFonts w:eastAsia="Arial" w:cs="Arial"/>
                <w:sz w:val="18"/>
                <w:szCs w:val="18"/>
              </w:rPr>
              <w:t>G670.00</w:t>
            </w:r>
          </w:p>
        </w:tc>
        <w:tc>
          <w:tcPr>
            <w:tcW w:w="0" w:type="auto"/>
            <w:shd w:val="clear" w:color="auto" w:fill="auto"/>
          </w:tcPr>
          <w:p w14:paraId="4EF2C35F" w14:textId="77777777" w:rsidR="004672DB" w:rsidRPr="00B85D62" w:rsidRDefault="004672DB" w:rsidP="004672DB">
            <w:r w:rsidRPr="00B85D62">
              <w:rPr>
                <w:rFonts w:eastAsia="Arial" w:cs="Arial"/>
                <w:sz w:val="18"/>
                <w:szCs w:val="18"/>
              </w:rPr>
              <w:t>Cerebral atherosclerosis</w:t>
            </w:r>
          </w:p>
        </w:tc>
      </w:tr>
      <w:tr w:rsidR="004672DB" w:rsidRPr="00B85D62" w14:paraId="6162EAC5" w14:textId="77777777" w:rsidTr="00B85D62">
        <w:trPr>
          <w:cantSplit/>
        </w:trPr>
        <w:tc>
          <w:tcPr>
            <w:tcW w:w="0" w:type="auto"/>
            <w:shd w:val="clear" w:color="auto" w:fill="auto"/>
          </w:tcPr>
          <w:p w14:paraId="2FC6E4D7" w14:textId="77777777" w:rsidR="004672DB" w:rsidRPr="00B85D62" w:rsidRDefault="004672DB" w:rsidP="004672DB">
            <w:r w:rsidRPr="00B85D62">
              <w:rPr>
                <w:rFonts w:eastAsia="Arial" w:cs="Arial"/>
                <w:sz w:val="18"/>
                <w:szCs w:val="18"/>
              </w:rPr>
              <w:t>13577</w:t>
            </w:r>
          </w:p>
        </w:tc>
        <w:tc>
          <w:tcPr>
            <w:tcW w:w="0" w:type="auto"/>
            <w:shd w:val="clear" w:color="auto" w:fill="auto"/>
          </w:tcPr>
          <w:p w14:paraId="7C45CB57" w14:textId="77777777" w:rsidR="004672DB" w:rsidRPr="00B85D62" w:rsidRDefault="004672DB" w:rsidP="004672DB">
            <w:r w:rsidRPr="00B85D62">
              <w:rPr>
                <w:rFonts w:eastAsia="Arial" w:cs="Arial"/>
                <w:sz w:val="18"/>
                <w:szCs w:val="18"/>
              </w:rPr>
              <w:t>G67..00</w:t>
            </w:r>
          </w:p>
        </w:tc>
        <w:tc>
          <w:tcPr>
            <w:tcW w:w="0" w:type="auto"/>
            <w:shd w:val="clear" w:color="auto" w:fill="auto"/>
          </w:tcPr>
          <w:p w14:paraId="1C96D480" w14:textId="77777777" w:rsidR="004672DB" w:rsidRPr="00B85D62" w:rsidRDefault="004672DB" w:rsidP="004672DB">
            <w:r w:rsidRPr="00B85D62">
              <w:rPr>
                <w:rFonts w:eastAsia="Arial" w:cs="Arial"/>
                <w:sz w:val="18"/>
                <w:szCs w:val="18"/>
              </w:rPr>
              <w:t>Other cerebrovascular disease</w:t>
            </w:r>
          </w:p>
        </w:tc>
      </w:tr>
      <w:tr w:rsidR="004672DB" w:rsidRPr="00B85D62" w14:paraId="410F7D6A" w14:textId="77777777" w:rsidTr="00B85D62">
        <w:trPr>
          <w:cantSplit/>
        </w:trPr>
        <w:tc>
          <w:tcPr>
            <w:tcW w:w="0" w:type="auto"/>
            <w:shd w:val="clear" w:color="auto" w:fill="auto"/>
          </w:tcPr>
          <w:p w14:paraId="2AD57138" w14:textId="77777777" w:rsidR="004672DB" w:rsidRPr="00B85D62" w:rsidRDefault="004672DB" w:rsidP="004672DB">
            <w:r w:rsidRPr="00B85D62">
              <w:rPr>
                <w:rFonts w:eastAsia="Arial" w:cs="Arial"/>
                <w:sz w:val="18"/>
                <w:szCs w:val="18"/>
              </w:rPr>
              <w:t>15019</w:t>
            </w:r>
          </w:p>
        </w:tc>
        <w:tc>
          <w:tcPr>
            <w:tcW w:w="0" w:type="auto"/>
            <w:shd w:val="clear" w:color="auto" w:fill="auto"/>
          </w:tcPr>
          <w:p w14:paraId="5965292A" w14:textId="77777777" w:rsidR="004672DB" w:rsidRPr="00B85D62" w:rsidRDefault="004672DB" w:rsidP="004672DB">
            <w:r w:rsidRPr="00B85D62">
              <w:rPr>
                <w:rFonts w:eastAsia="Arial" w:cs="Arial"/>
                <w:sz w:val="18"/>
                <w:szCs w:val="18"/>
              </w:rPr>
              <w:t>G641.00</w:t>
            </w:r>
          </w:p>
        </w:tc>
        <w:tc>
          <w:tcPr>
            <w:tcW w:w="0" w:type="auto"/>
            <w:shd w:val="clear" w:color="auto" w:fill="auto"/>
          </w:tcPr>
          <w:p w14:paraId="18E91676" w14:textId="77777777" w:rsidR="004672DB" w:rsidRPr="00B85D62" w:rsidRDefault="004672DB" w:rsidP="004672DB">
            <w:r w:rsidRPr="00B85D62">
              <w:rPr>
                <w:rFonts w:eastAsia="Arial" w:cs="Arial"/>
                <w:sz w:val="18"/>
                <w:szCs w:val="18"/>
              </w:rPr>
              <w:t>Cerebral embolism</w:t>
            </w:r>
          </w:p>
        </w:tc>
      </w:tr>
      <w:tr w:rsidR="004672DB" w:rsidRPr="00B85D62" w14:paraId="706BC9B6" w14:textId="77777777" w:rsidTr="00B85D62">
        <w:trPr>
          <w:cantSplit/>
        </w:trPr>
        <w:tc>
          <w:tcPr>
            <w:tcW w:w="0" w:type="auto"/>
            <w:shd w:val="clear" w:color="auto" w:fill="auto"/>
          </w:tcPr>
          <w:p w14:paraId="0A4B2F77" w14:textId="77777777" w:rsidR="004672DB" w:rsidRPr="00B85D62" w:rsidRDefault="004672DB" w:rsidP="004672DB">
            <w:r w:rsidRPr="00B85D62">
              <w:rPr>
                <w:rFonts w:eastAsia="Arial" w:cs="Arial"/>
                <w:sz w:val="18"/>
                <w:szCs w:val="18"/>
              </w:rPr>
              <w:t>15788</w:t>
            </w:r>
          </w:p>
        </w:tc>
        <w:tc>
          <w:tcPr>
            <w:tcW w:w="0" w:type="auto"/>
            <w:shd w:val="clear" w:color="auto" w:fill="auto"/>
          </w:tcPr>
          <w:p w14:paraId="0168A78D" w14:textId="77777777" w:rsidR="004672DB" w:rsidRPr="00B85D62" w:rsidRDefault="004672DB" w:rsidP="004672DB">
            <w:r w:rsidRPr="00B85D62">
              <w:rPr>
                <w:rFonts w:eastAsia="Arial" w:cs="Arial"/>
                <w:sz w:val="18"/>
                <w:szCs w:val="18"/>
              </w:rPr>
              <w:t>G65zz00</w:t>
            </w:r>
          </w:p>
        </w:tc>
        <w:tc>
          <w:tcPr>
            <w:tcW w:w="0" w:type="auto"/>
            <w:shd w:val="clear" w:color="auto" w:fill="auto"/>
          </w:tcPr>
          <w:p w14:paraId="26F06BFE" w14:textId="77777777" w:rsidR="004672DB" w:rsidRPr="00B85D62" w:rsidRDefault="004672DB" w:rsidP="004672DB">
            <w:r w:rsidRPr="00B85D62">
              <w:rPr>
                <w:rFonts w:eastAsia="Arial" w:cs="Arial"/>
                <w:sz w:val="18"/>
                <w:szCs w:val="18"/>
              </w:rPr>
              <w:t>Transient cerebral ischaemia NOS</w:t>
            </w:r>
          </w:p>
        </w:tc>
      </w:tr>
      <w:tr w:rsidR="004672DB" w:rsidRPr="00B85D62" w14:paraId="56CD1144" w14:textId="77777777" w:rsidTr="00B85D62">
        <w:trPr>
          <w:cantSplit/>
        </w:trPr>
        <w:tc>
          <w:tcPr>
            <w:tcW w:w="0" w:type="auto"/>
            <w:shd w:val="clear" w:color="auto" w:fill="auto"/>
          </w:tcPr>
          <w:p w14:paraId="722639AC" w14:textId="77777777" w:rsidR="004672DB" w:rsidRPr="00B85D62" w:rsidRDefault="004672DB" w:rsidP="004672DB">
            <w:r w:rsidRPr="00B85D62">
              <w:rPr>
                <w:rFonts w:eastAsia="Arial" w:cs="Arial"/>
                <w:sz w:val="18"/>
                <w:szCs w:val="18"/>
              </w:rPr>
              <w:t>16517</w:t>
            </w:r>
          </w:p>
        </w:tc>
        <w:tc>
          <w:tcPr>
            <w:tcW w:w="0" w:type="auto"/>
            <w:shd w:val="clear" w:color="auto" w:fill="auto"/>
          </w:tcPr>
          <w:p w14:paraId="3F7F68F4" w14:textId="77777777" w:rsidR="004672DB" w:rsidRPr="00B85D62" w:rsidRDefault="004672DB" w:rsidP="004672DB">
            <w:r w:rsidRPr="00B85D62">
              <w:rPr>
                <w:rFonts w:eastAsia="Arial" w:cs="Arial"/>
                <w:sz w:val="18"/>
                <w:szCs w:val="18"/>
              </w:rPr>
              <w:t>G640.00</w:t>
            </w:r>
          </w:p>
        </w:tc>
        <w:tc>
          <w:tcPr>
            <w:tcW w:w="0" w:type="auto"/>
            <w:shd w:val="clear" w:color="auto" w:fill="auto"/>
          </w:tcPr>
          <w:p w14:paraId="15EA4105" w14:textId="77777777" w:rsidR="004672DB" w:rsidRPr="00B85D62" w:rsidRDefault="004672DB" w:rsidP="004672DB">
            <w:r w:rsidRPr="00B85D62">
              <w:rPr>
                <w:rFonts w:eastAsia="Arial" w:cs="Arial"/>
                <w:sz w:val="18"/>
                <w:szCs w:val="18"/>
              </w:rPr>
              <w:t>Cerebral thrombosis</w:t>
            </w:r>
          </w:p>
        </w:tc>
      </w:tr>
      <w:tr w:rsidR="004672DB" w:rsidRPr="00B85D62" w14:paraId="0C57B8BB" w14:textId="77777777" w:rsidTr="00B85D62">
        <w:trPr>
          <w:cantSplit/>
        </w:trPr>
        <w:tc>
          <w:tcPr>
            <w:tcW w:w="0" w:type="auto"/>
            <w:shd w:val="clear" w:color="auto" w:fill="auto"/>
          </w:tcPr>
          <w:p w14:paraId="141C3D3D" w14:textId="77777777" w:rsidR="004672DB" w:rsidRPr="00B85D62" w:rsidRDefault="004672DB" w:rsidP="004672DB">
            <w:r w:rsidRPr="00B85D62">
              <w:rPr>
                <w:rFonts w:eastAsia="Arial" w:cs="Arial"/>
                <w:sz w:val="18"/>
                <w:szCs w:val="18"/>
              </w:rPr>
              <w:t>17322</w:t>
            </w:r>
          </w:p>
        </w:tc>
        <w:tc>
          <w:tcPr>
            <w:tcW w:w="0" w:type="auto"/>
            <w:shd w:val="clear" w:color="auto" w:fill="auto"/>
          </w:tcPr>
          <w:p w14:paraId="1A661757" w14:textId="77777777" w:rsidR="004672DB" w:rsidRPr="00B85D62" w:rsidRDefault="004672DB" w:rsidP="004672DB">
            <w:r w:rsidRPr="00B85D62">
              <w:rPr>
                <w:rFonts w:eastAsia="Arial" w:cs="Arial"/>
                <w:sz w:val="18"/>
                <w:szCs w:val="18"/>
              </w:rPr>
              <w:t>G664.00</w:t>
            </w:r>
          </w:p>
        </w:tc>
        <w:tc>
          <w:tcPr>
            <w:tcW w:w="0" w:type="auto"/>
            <w:shd w:val="clear" w:color="auto" w:fill="auto"/>
          </w:tcPr>
          <w:p w14:paraId="599A37B3" w14:textId="77777777" w:rsidR="004672DB" w:rsidRPr="00B85D62" w:rsidRDefault="004672DB" w:rsidP="004672DB">
            <w:r w:rsidRPr="00B85D62">
              <w:rPr>
                <w:rFonts w:eastAsia="Arial" w:cs="Arial"/>
                <w:sz w:val="18"/>
                <w:szCs w:val="18"/>
              </w:rPr>
              <w:t>Cerebellar stroke syndrome</w:t>
            </w:r>
          </w:p>
        </w:tc>
      </w:tr>
      <w:tr w:rsidR="004672DB" w:rsidRPr="00B85D62" w14:paraId="068BF6F8" w14:textId="77777777" w:rsidTr="00B85D62">
        <w:trPr>
          <w:cantSplit/>
        </w:trPr>
        <w:tc>
          <w:tcPr>
            <w:tcW w:w="0" w:type="auto"/>
            <w:shd w:val="clear" w:color="auto" w:fill="auto"/>
          </w:tcPr>
          <w:p w14:paraId="1C568439" w14:textId="77777777" w:rsidR="004672DB" w:rsidRPr="00B85D62" w:rsidRDefault="004672DB" w:rsidP="004672DB">
            <w:r w:rsidRPr="00B85D62">
              <w:rPr>
                <w:rFonts w:eastAsia="Arial" w:cs="Arial"/>
                <w:sz w:val="18"/>
                <w:szCs w:val="18"/>
              </w:rPr>
              <w:t>18604</w:t>
            </w:r>
          </w:p>
        </w:tc>
        <w:tc>
          <w:tcPr>
            <w:tcW w:w="0" w:type="auto"/>
            <w:shd w:val="clear" w:color="auto" w:fill="auto"/>
          </w:tcPr>
          <w:p w14:paraId="3E1B5194" w14:textId="77777777" w:rsidR="004672DB" w:rsidRPr="00B85D62" w:rsidRDefault="004672DB" w:rsidP="004672DB">
            <w:r w:rsidRPr="00B85D62">
              <w:rPr>
                <w:rFonts w:eastAsia="Arial" w:cs="Arial"/>
                <w:sz w:val="18"/>
                <w:szCs w:val="18"/>
              </w:rPr>
              <w:t>G61..12</w:t>
            </w:r>
          </w:p>
        </w:tc>
        <w:tc>
          <w:tcPr>
            <w:tcW w:w="0" w:type="auto"/>
            <w:shd w:val="clear" w:color="auto" w:fill="auto"/>
          </w:tcPr>
          <w:p w14:paraId="3915708F" w14:textId="77777777" w:rsidR="004672DB" w:rsidRPr="00B85D62" w:rsidRDefault="004672DB" w:rsidP="004672DB">
            <w:r w:rsidRPr="00B85D62">
              <w:rPr>
                <w:rFonts w:eastAsia="Arial" w:cs="Arial"/>
                <w:sz w:val="18"/>
                <w:szCs w:val="18"/>
              </w:rPr>
              <w:t xml:space="preserve">Stroke </w:t>
            </w:r>
            <w:r w:rsidRPr="00B85D62">
              <w:rPr>
                <w:rFonts w:eastAsia="Arial" w:cs="Arial"/>
                <w:sz w:val="18"/>
                <w:szCs w:val="18"/>
                <w:highlight w:val="magenta"/>
              </w:rPr>
              <w:t>due to</w:t>
            </w:r>
            <w:r w:rsidRPr="00B85D62">
              <w:rPr>
                <w:rFonts w:eastAsia="Arial" w:cs="Arial"/>
                <w:sz w:val="18"/>
                <w:szCs w:val="18"/>
              </w:rPr>
              <w:t xml:space="preserve"> intracerebral haemorrhage</w:t>
            </w:r>
          </w:p>
        </w:tc>
      </w:tr>
      <w:tr w:rsidR="004672DB" w:rsidRPr="00B85D62" w14:paraId="4EA29F8D" w14:textId="77777777" w:rsidTr="00B85D62">
        <w:trPr>
          <w:cantSplit/>
        </w:trPr>
        <w:tc>
          <w:tcPr>
            <w:tcW w:w="0" w:type="auto"/>
            <w:shd w:val="clear" w:color="auto" w:fill="auto"/>
          </w:tcPr>
          <w:p w14:paraId="428E337A" w14:textId="77777777" w:rsidR="004672DB" w:rsidRPr="00B85D62" w:rsidRDefault="004672DB" w:rsidP="004672DB">
            <w:r w:rsidRPr="00B85D62">
              <w:rPr>
                <w:rFonts w:eastAsia="Arial" w:cs="Arial"/>
                <w:sz w:val="18"/>
                <w:szCs w:val="18"/>
              </w:rPr>
              <w:t>19354</w:t>
            </w:r>
          </w:p>
        </w:tc>
        <w:tc>
          <w:tcPr>
            <w:tcW w:w="0" w:type="auto"/>
            <w:shd w:val="clear" w:color="auto" w:fill="auto"/>
          </w:tcPr>
          <w:p w14:paraId="6459AFAD" w14:textId="77777777" w:rsidR="004672DB" w:rsidRPr="00B85D62" w:rsidRDefault="004672DB" w:rsidP="004672DB">
            <w:r w:rsidRPr="00B85D62">
              <w:rPr>
                <w:rFonts w:eastAsia="Arial" w:cs="Arial"/>
                <w:sz w:val="18"/>
                <w:szCs w:val="18"/>
              </w:rPr>
              <w:t>G65y.00</w:t>
            </w:r>
          </w:p>
        </w:tc>
        <w:tc>
          <w:tcPr>
            <w:tcW w:w="0" w:type="auto"/>
            <w:shd w:val="clear" w:color="auto" w:fill="auto"/>
          </w:tcPr>
          <w:p w14:paraId="5FB57050" w14:textId="77777777" w:rsidR="004672DB" w:rsidRPr="00B85D62" w:rsidRDefault="004672DB" w:rsidP="004672DB">
            <w:r w:rsidRPr="00B85D62">
              <w:rPr>
                <w:rFonts w:eastAsia="Arial" w:cs="Arial"/>
                <w:sz w:val="18"/>
                <w:szCs w:val="18"/>
              </w:rPr>
              <w:t>Other transient cerebral ischaemia</w:t>
            </w:r>
          </w:p>
        </w:tc>
      </w:tr>
      <w:tr w:rsidR="004672DB" w:rsidRPr="00B85D62" w14:paraId="34602AC3" w14:textId="77777777" w:rsidTr="00B85D62">
        <w:trPr>
          <w:cantSplit/>
        </w:trPr>
        <w:tc>
          <w:tcPr>
            <w:tcW w:w="0" w:type="auto"/>
            <w:shd w:val="clear" w:color="auto" w:fill="auto"/>
          </w:tcPr>
          <w:p w14:paraId="4FCFD30A" w14:textId="77777777" w:rsidR="004672DB" w:rsidRPr="00B85D62" w:rsidRDefault="004672DB" w:rsidP="004672DB">
            <w:r w:rsidRPr="00B85D62">
              <w:rPr>
                <w:rFonts w:eastAsia="Arial" w:cs="Arial"/>
                <w:sz w:val="18"/>
                <w:szCs w:val="18"/>
              </w:rPr>
              <w:t>23671</w:t>
            </w:r>
          </w:p>
        </w:tc>
        <w:tc>
          <w:tcPr>
            <w:tcW w:w="0" w:type="auto"/>
            <w:shd w:val="clear" w:color="auto" w:fill="auto"/>
          </w:tcPr>
          <w:p w14:paraId="72E01945" w14:textId="77777777" w:rsidR="004672DB" w:rsidRPr="00B85D62" w:rsidRDefault="004672DB" w:rsidP="004672DB">
            <w:r w:rsidRPr="00B85D62">
              <w:rPr>
                <w:rFonts w:eastAsia="Arial" w:cs="Arial"/>
                <w:sz w:val="18"/>
                <w:szCs w:val="18"/>
              </w:rPr>
              <w:t>G63y000</w:t>
            </w:r>
          </w:p>
        </w:tc>
        <w:tc>
          <w:tcPr>
            <w:tcW w:w="0" w:type="auto"/>
            <w:shd w:val="clear" w:color="auto" w:fill="auto"/>
          </w:tcPr>
          <w:p w14:paraId="1A3668D3" w14:textId="77777777" w:rsidR="004672DB" w:rsidRPr="00B85D62" w:rsidRDefault="004672DB" w:rsidP="004672DB">
            <w:r w:rsidRPr="00B85D62">
              <w:rPr>
                <w:rFonts w:eastAsia="Arial" w:cs="Arial"/>
                <w:sz w:val="18"/>
                <w:szCs w:val="18"/>
              </w:rPr>
              <w:t xml:space="preserve">Cerebral infarct </w:t>
            </w:r>
            <w:r w:rsidRPr="00B85D62">
              <w:rPr>
                <w:rFonts w:eastAsia="Arial" w:cs="Arial"/>
                <w:sz w:val="18"/>
                <w:szCs w:val="18"/>
                <w:highlight w:val="magenta"/>
              </w:rPr>
              <w:t>due to</w:t>
            </w:r>
            <w:r w:rsidRPr="00B85D62">
              <w:rPr>
                <w:rFonts w:eastAsia="Arial" w:cs="Arial"/>
                <w:sz w:val="18"/>
                <w:szCs w:val="18"/>
              </w:rPr>
              <w:t xml:space="preserve"> thrombosis of precerebral arteries</w:t>
            </w:r>
          </w:p>
        </w:tc>
      </w:tr>
      <w:tr w:rsidR="004672DB" w:rsidRPr="00B85D62" w14:paraId="3967AE8F" w14:textId="77777777" w:rsidTr="00B85D62">
        <w:trPr>
          <w:cantSplit/>
        </w:trPr>
        <w:tc>
          <w:tcPr>
            <w:tcW w:w="0" w:type="auto"/>
            <w:shd w:val="clear" w:color="auto" w:fill="auto"/>
          </w:tcPr>
          <w:p w14:paraId="685558F3" w14:textId="77777777" w:rsidR="004672DB" w:rsidRPr="00B85D62" w:rsidRDefault="004672DB" w:rsidP="004672DB">
            <w:r w:rsidRPr="00B85D62">
              <w:rPr>
                <w:rFonts w:eastAsia="Arial" w:cs="Arial"/>
                <w:sz w:val="18"/>
                <w:szCs w:val="18"/>
              </w:rPr>
              <w:t>24446</w:t>
            </w:r>
          </w:p>
        </w:tc>
        <w:tc>
          <w:tcPr>
            <w:tcW w:w="0" w:type="auto"/>
            <w:shd w:val="clear" w:color="auto" w:fill="auto"/>
          </w:tcPr>
          <w:p w14:paraId="2D424183" w14:textId="77777777" w:rsidR="004672DB" w:rsidRPr="00B85D62" w:rsidRDefault="004672DB" w:rsidP="004672DB">
            <w:r w:rsidRPr="00B85D62">
              <w:rPr>
                <w:rFonts w:eastAsia="Arial" w:cs="Arial"/>
                <w:sz w:val="18"/>
                <w:szCs w:val="18"/>
              </w:rPr>
              <w:t>G63y100</w:t>
            </w:r>
          </w:p>
        </w:tc>
        <w:tc>
          <w:tcPr>
            <w:tcW w:w="0" w:type="auto"/>
            <w:shd w:val="clear" w:color="auto" w:fill="auto"/>
          </w:tcPr>
          <w:p w14:paraId="61D81342" w14:textId="77777777" w:rsidR="004672DB" w:rsidRPr="00B85D62" w:rsidRDefault="004672DB" w:rsidP="004672DB">
            <w:r w:rsidRPr="00B85D62">
              <w:rPr>
                <w:rFonts w:eastAsia="Arial" w:cs="Arial"/>
                <w:sz w:val="18"/>
                <w:szCs w:val="18"/>
              </w:rPr>
              <w:t xml:space="preserve">Cerebral infarction </w:t>
            </w:r>
            <w:r w:rsidRPr="00B85D62">
              <w:rPr>
                <w:rFonts w:eastAsia="Arial" w:cs="Arial"/>
                <w:sz w:val="18"/>
                <w:szCs w:val="18"/>
                <w:highlight w:val="magenta"/>
              </w:rPr>
              <w:t>due to</w:t>
            </w:r>
            <w:r w:rsidRPr="00B85D62">
              <w:rPr>
                <w:rFonts w:eastAsia="Arial" w:cs="Arial"/>
                <w:sz w:val="18"/>
                <w:szCs w:val="18"/>
              </w:rPr>
              <w:t xml:space="preserve"> embolism of precerebral arteries</w:t>
            </w:r>
          </w:p>
        </w:tc>
      </w:tr>
      <w:tr w:rsidR="004672DB" w:rsidRPr="00B85D62" w14:paraId="298F5273" w14:textId="77777777" w:rsidTr="00B85D62">
        <w:trPr>
          <w:cantSplit/>
        </w:trPr>
        <w:tc>
          <w:tcPr>
            <w:tcW w:w="0" w:type="auto"/>
            <w:shd w:val="clear" w:color="auto" w:fill="auto"/>
          </w:tcPr>
          <w:p w14:paraId="59A066C9" w14:textId="77777777" w:rsidR="004672DB" w:rsidRPr="00B85D62" w:rsidRDefault="004672DB" w:rsidP="004672DB">
            <w:r w:rsidRPr="00B85D62">
              <w:rPr>
                <w:rFonts w:eastAsia="Arial" w:cs="Arial"/>
                <w:sz w:val="18"/>
                <w:szCs w:val="18"/>
              </w:rPr>
              <w:t>27975</w:t>
            </w:r>
          </w:p>
        </w:tc>
        <w:tc>
          <w:tcPr>
            <w:tcW w:w="0" w:type="auto"/>
            <w:shd w:val="clear" w:color="auto" w:fill="auto"/>
          </w:tcPr>
          <w:p w14:paraId="799407C1" w14:textId="77777777" w:rsidR="004672DB" w:rsidRPr="00B85D62" w:rsidRDefault="004672DB" w:rsidP="004672DB">
            <w:r w:rsidRPr="00B85D62">
              <w:rPr>
                <w:rFonts w:eastAsia="Arial" w:cs="Arial"/>
                <w:sz w:val="18"/>
                <w:szCs w:val="18"/>
              </w:rPr>
              <w:t>G641000</w:t>
            </w:r>
          </w:p>
        </w:tc>
        <w:tc>
          <w:tcPr>
            <w:tcW w:w="0" w:type="auto"/>
            <w:shd w:val="clear" w:color="auto" w:fill="auto"/>
          </w:tcPr>
          <w:p w14:paraId="3EFA760B" w14:textId="77777777" w:rsidR="004672DB" w:rsidRPr="00B85D62" w:rsidRDefault="004672DB" w:rsidP="004672DB">
            <w:r w:rsidRPr="00B85D62">
              <w:rPr>
                <w:rFonts w:eastAsia="Arial" w:cs="Arial"/>
                <w:sz w:val="18"/>
                <w:szCs w:val="18"/>
              </w:rPr>
              <w:t xml:space="preserve">Cerebral infarction </w:t>
            </w:r>
            <w:r w:rsidRPr="00B85D62">
              <w:rPr>
                <w:rFonts w:eastAsia="Arial" w:cs="Arial"/>
                <w:sz w:val="18"/>
                <w:szCs w:val="18"/>
                <w:highlight w:val="magenta"/>
              </w:rPr>
              <w:t>due to</w:t>
            </w:r>
            <w:r w:rsidRPr="00B85D62">
              <w:rPr>
                <w:rFonts w:eastAsia="Arial" w:cs="Arial"/>
                <w:sz w:val="18"/>
                <w:szCs w:val="18"/>
              </w:rPr>
              <w:t xml:space="preserve"> embolism of cerebral arteries</w:t>
            </w:r>
          </w:p>
        </w:tc>
      </w:tr>
      <w:tr w:rsidR="004672DB" w:rsidRPr="00B85D62" w14:paraId="03640432" w14:textId="77777777" w:rsidTr="00B85D62">
        <w:trPr>
          <w:cantSplit/>
        </w:trPr>
        <w:tc>
          <w:tcPr>
            <w:tcW w:w="0" w:type="auto"/>
            <w:shd w:val="clear" w:color="auto" w:fill="auto"/>
          </w:tcPr>
          <w:p w14:paraId="7A5AC011" w14:textId="77777777" w:rsidR="004672DB" w:rsidRPr="00B85D62" w:rsidRDefault="004672DB" w:rsidP="004672DB">
            <w:r w:rsidRPr="00B85D62">
              <w:rPr>
                <w:rFonts w:eastAsia="Arial" w:cs="Arial"/>
                <w:sz w:val="18"/>
                <w:szCs w:val="18"/>
              </w:rPr>
              <w:t>33543</w:t>
            </w:r>
          </w:p>
        </w:tc>
        <w:tc>
          <w:tcPr>
            <w:tcW w:w="0" w:type="auto"/>
            <w:shd w:val="clear" w:color="auto" w:fill="auto"/>
          </w:tcPr>
          <w:p w14:paraId="06875885" w14:textId="77777777" w:rsidR="004672DB" w:rsidRPr="00B85D62" w:rsidRDefault="004672DB" w:rsidP="004672DB">
            <w:r w:rsidRPr="00B85D62">
              <w:rPr>
                <w:rFonts w:eastAsia="Arial" w:cs="Arial"/>
                <w:sz w:val="18"/>
                <w:szCs w:val="18"/>
              </w:rPr>
              <w:t>G6X..00</w:t>
            </w:r>
          </w:p>
        </w:tc>
        <w:tc>
          <w:tcPr>
            <w:tcW w:w="0" w:type="auto"/>
            <w:shd w:val="clear" w:color="auto" w:fill="auto"/>
          </w:tcPr>
          <w:p w14:paraId="115BA20A" w14:textId="77777777" w:rsidR="004672DB" w:rsidRPr="00B85D62" w:rsidRDefault="004672DB" w:rsidP="004672DB">
            <w:r w:rsidRPr="00B85D62">
              <w:rPr>
                <w:rFonts w:eastAsia="Arial" w:cs="Arial"/>
                <w:sz w:val="18"/>
                <w:szCs w:val="18"/>
              </w:rPr>
              <w:t>Cerebrl infarctn due/unspcf occlusn or sten/cerebrl artrs</w:t>
            </w:r>
          </w:p>
        </w:tc>
      </w:tr>
      <w:tr w:rsidR="004672DB" w:rsidRPr="00B85D62" w14:paraId="630529B8" w14:textId="77777777" w:rsidTr="00B85D62">
        <w:trPr>
          <w:cantSplit/>
        </w:trPr>
        <w:tc>
          <w:tcPr>
            <w:tcW w:w="0" w:type="auto"/>
            <w:shd w:val="clear" w:color="auto" w:fill="auto"/>
          </w:tcPr>
          <w:p w14:paraId="2F01AC3C" w14:textId="77777777" w:rsidR="004672DB" w:rsidRPr="00B85D62" w:rsidRDefault="004672DB" w:rsidP="004672DB">
            <w:r w:rsidRPr="00B85D62">
              <w:rPr>
                <w:rFonts w:eastAsia="Arial" w:cs="Arial"/>
                <w:sz w:val="18"/>
                <w:szCs w:val="18"/>
              </w:rPr>
              <w:t>34117</w:t>
            </w:r>
          </w:p>
        </w:tc>
        <w:tc>
          <w:tcPr>
            <w:tcW w:w="0" w:type="auto"/>
            <w:shd w:val="clear" w:color="auto" w:fill="auto"/>
          </w:tcPr>
          <w:p w14:paraId="6E394ADE" w14:textId="77777777" w:rsidR="004672DB" w:rsidRPr="00B85D62" w:rsidRDefault="004672DB" w:rsidP="004672DB">
            <w:r w:rsidRPr="00B85D62">
              <w:rPr>
                <w:rFonts w:eastAsia="Arial" w:cs="Arial"/>
                <w:sz w:val="18"/>
                <w:szCs w:val="18"/>
              </w:rPr>
              <w:t>G67y.00</w:t>
            </w:r>
          </w:p>
        </w:tc>
        <w:tc>
          <w:tcPr>
            <w:tcW w:w="0" w:type="auto"/>
            <w:shd w:val="clear" w:color="auto" w:fill="auto"/>
          </w:tcPr>
          <w:p w14:paraId="26FA1505" w14:textId="77777777" w:rsidR="004672DB" w:rsidRPr="00B85D62" w:rsidRDefault="004672DB" w:rsidP="004672DB">
            <w:r w:rsidRPr="00B85D62">
              <w:rPr>
                <w:rFonts w:eastAsia="Arial" w:cs="Arial"/>
                <w:sz w:val="18"/>
                <w:szCs w:val="18"/>
              </w:rPr>
              <w:t>Other cerebrovascular disease OS</w:t>
            </w:r>
          </w:p>
        </w:tc>
      </w:tr>
      <w:tr w:rsidR="004672DB" w:rsidRPr="00B85D62" w14:paraId="2134A877" w14:textId="77777777" w:rsidTr="00B85D62">
        <w:trPr>
          <w:cantSplit/>
        </w:trPr>
        <w:tc>
          <w:tcPr>
            <w:tcW w:w="0" w:type="auto"/>
            <w:shd w:val="clear" w:color="auto" w:fill="auto"/>
          </w:tcPr>
          <w:p w14:paraId="581E6DEE" w14:textId="77777777" w:rsidR="004672DB" w:rsidRPr="00B85D62" w:rsidRDefault="004672DB" w:rsidP="004672DB">
            <w:r w:rsidRPr="00B85D62">
              <w:rPr>
                <w:rFonts w:eastAsia="Arial" w:cs="Arial"/>
                <w:sz w:val="18"/>
                <w:szCs w:val="18"/>
              </w:rPr>
              <w:t>36717</w:t>
            </w:r>
          </w:p>
        </w:tc>
        <w:tc>
          <w:tcPr>
            <w:tcW w:w="0" w:type="auto"/>
            <w:shd w:val="clear" w:color="auto" w:fill="auto"/>
          </w:tcPr>
          <w:p w14:paraId="226C277E" w14:textId="77777777" w:rsidR="004672DB" w:rsidRPr="00B85D62" w:rsidRDefault="004672DB" w:rsidP="004672DB">
            <w:r w:rsidRPr="00B85D62">
              <w:rPr>
                <w:rFonts w:eastAsia="Arial" w:cs="Arial"/>
                <w:sz w:val="18"/>
                <w:szCs w:val="18"/>
              </w:rPr>
              <w:t>G640000</w:t>
            </w:r>
          </w:p>
        </w:tc>
        <w:tc>
          <w:tcPr>
            <w:tcW w:w="0" w:type="auto"/>
            <w:shd w:val="clear" w:color="auto" w:fill="auto"/>
          </w:tcPr>
          <w:p w14:paraId="2A33D30F" w14:textId="77777777" w:rsidR="004672DB" w:rsidRPr="00B85D62" w:rsidRDefault="004672DB" w:rsidP="004672DB">
            <w:r w:rsidRPr="00B85D62">
              <w:rPr>
                <w:rFonts w:eastAsia="Arial" w:cs="Arial"/>
                <w:sz w:val="18"/>
                <w:szCs w:val="18"/>
              </w:rPr>
              <w:t xml:space="preserve">Cerebral infarction </w:t>
            </w:r>
            <w:r w:rsidRPr="00B85D62">
              <w:rPr>
                <w:rFonts w:eastAsia="Arial" w:cs="Arial"/>
                <w:sz w:val="18"/>
                <w:szCs w:val="18"/>
                <w:highlight w:val="magenta"/>
              </w:rPr>
              <w:t>due to</w:t>
            </w:r>
            <w:r w:rsidRPr="00B85D62">
              <w:rPr>
                <w:rFonts w:eastAsia="Arial" w:cs="Arial"/>
                <w:sz w:val="18"/>
                <w:szCs w:val="18"/>
              </w:rPr>
              <w:t xml:space="preserve"> thrombosis of cerebral arteries</w:t>
            </w:r>
          </w:p>
        </w:tc>
      </w:tr>
      <w:tr w:rsidR="004672DB" w:rsidRPr="00B85D62" w14:paraId="583A69A4" w14:textId="77777777" w:rsidTr="00B85D62">
        <w:trPr>
          <w:cantSplit/>
        </w:trPr>
        <w:tc>
          <w:tcPr>
            <w:tcW w:w="0" w:type="auto"/>
            <w:shd w:val="clear" w:color="auto" w:fill="auto"/>
          </w:tcPr>
          <w:p w14:paraId="7C2F91AD" w14:textId="77777777" w:rsidR="004672DB" w:rsidRPr="00B85D62" w:rsidRDefault="004672DB" w:rsidP="004672DB">
            <w:r w:rsidRPr="00B85D62">
              <w:rPr>
                <w:rFonts w:eastAsia="Arial" w:cs="Arial"/>
                <w:sz w:val="18"/>
                <w:szCs w:val="18"/>
              </w:rPr>
              <w:t>37493</w:t>
            </w:r>
          </w:p>
        </w:tc>
        <w:tc>
          <w:tcPr>
            <w:tcW w:w="0" w:type="auto"/>
            <w:shd w:val="clear" w:color="auto" w:fill="auto"/>
          </w:tcPr>
          <w:p w14:paraId="47F49FBF" w14:textId="77777777" w:rsidR="004672DB" w:rsidRPr="00B85D62" w:rsidRDefault="004672DB" w:rsidP="004672DB">
            <w:r w:rsidRPr="00B85D62">
              <w:rPr>
                <w:rFonts w:eastAsia="Arial" w:cs="Arial"/>
                <w:sz w:val="18"/>
                <w:szCs w:val="18"/>
              </w:rPr>
              <w:t>G67z.00</w:t>
            </w:r>
          </w:p>
        </w:tc>
        <w:tc>
          <w:tcPr>
            <w:tcW w:w="0" w:type="auto"/>
            <w:shd w:val="clear" w:color="auto" w:fill="auto"/>
          </w:tcPr>
          <w:p w14:paraId="0EA12CA5" w14:textId="77777777" w:rsidR="004672DB" w:rsidRPr="00B85D62" w:rsidRDefault="004672DB" w:rsidP="004672DB">
            <w:r w:rsidRPr="00B85D62">
              <w:rPr>
                <w:rFonts w:eastAsia="Arial" w:cs="Arial"/>
                <w:sz w:val="18"/>
                <w:szCs w:val="18"/>
              </w:rPr>
              <w:t>Other cerebrovascular disease NOS</w:t>
            </w:r>
          </w:p>
        </w:tc>
      </w:tr>
      <w:tr w:rsidR="004672DB" w:rsidRPr="00B85D62" w14:paraId="2730F22A" w14:textId="77777777" w:rsidTr="00B85D62">
        <w:trPr>
          <w:cantSplit/>
        </w:trPr>
        <w:tc>
          <w:tcPr>
            <w:tcW w:w="0" w:type="auto"/>
            <w:shd w:val="clear" w:color="auto" w:fill="auto"/>
          </w:tcPr>
          <w:p w14:paraId="53F39F27" w14:textId="77777777" w:rsidR="004672DB" w:rsidRPr="00B85D62" w:rsidRDefault="004672DB" w:rsidP="004672DB">
            <w:r w:rsidRPr="00B85D62">
              <w:rPr>
                <w:rFonts w:eastAsia="Arial" w:cs="Arial"/>
                <w:sz w:val="18"/>
                <w:szCs w:val="18"/>
              </w:rPr>
              <w:t>40053</w:t>
            </w:r>
          </w:p>
        </w:tc>
        <w:tc>
          <w:tcPr>
            <w:tcW w:w="0" w:type="auto"/>
            <w:shd w:val="clear" w:color="auto" w:fill="auto"/>
          </w:tcPr>
          <w:p w14:paraId="442D8E8F" w14:textId="77777777" w:rsidR="004672DB" w:rsidRPr="00B85D62" w:rsidRDefault="004672DB" w:rsidP="004672DB">
            <w:r w:rsidRPr="00B85D62">
              <w:rPr>
                <w:rFonts w:eastAsia="Arial" w:cs="Arial"/>
                <w:sz w:val="18"/>
                <w:szCs w:val="18"/>
              </w:rPr>
              <w:t>G671.00</w:t>
            </w:r>
          </w:p>
        </w:tc>
        <w:tc>
          <w:tcPr>
            <w:tcW w:w="0" w:type="auto"/>
            <w:shd w:val="clear" w:color="auto" w:fill="auto"/>
          </w:tcPr>
          <w:p w14:paraId="22C2D34D" w14:textId="77777777" w:rsidR="004672DB" w:rsidRPr="00B85D62" w:rsidRDefault="004672DB" w:rsidP="004672DB">
            <w:r w:rsidRPr="00B85D62">
              <w:rPr>
                <w:rFonts w:eastAsia="Arial" w:cs="Arial"/>
                <w:sz w:val="18"/>
                <w:szCs w:val="18"/>
              </w:rPr>
              <w:t>Generalised ischaemic cerebrovascular disease NOS</w:t>
            </w:r>
          </w:p>
        </w:tc>
      </w:tr>
      <w:tr w:rsidR="004672DB" w:rsidRPr="00B85D62" w14:paraId="18030A1D" w14:textId="77777777" w:rsidTr="00B85D62">
        <w:trPr>
          <w:cantSplit/>
        </w:trPr>
        <w:tc>
          <w:tcPr>
            <w:tcW w:w="0" w:type="auto"/>
            <w:shd w:val="clear" w:color="auto" w:fill="auto"/>
          </w:tcPr>
          <w:p w14:paraId="1BC6E9C9" w14:textId="77777777" w:rsidR="004672DB" w:rsidRPr="00B85D62" w:rsidRDefault="004672DB" w:rsidP="004672DB">
            <w:r w:rsidRPr="00B85D62">
              <w:rPr>
                <w:rFonts w:eastAsia="Arial" w:cs="Arial"/>
                <w:sz w:val="18"/>
                <w:szCs w:val="18"/>
              </w:rPr>
              <w:t>40758</w:t>
            </w:r>
          </w:p>
        </w:tc>
        <w:tc>
          <w:tcPr>
            <w:tcW w:w="0" w:type="auto"/>
            <w:shd w:val="clear" w:color="auto" w:fill="auto"/>
          </w:tcPr>
          <w:p w14:paraId="39038429" w14:textId="15DF3230" w:rsidR="004672DB" w:rsidRPr="00B85D62" w:rsidRDefault="004672DB" w:rsidP="004672DB">
            <w:r w:rsidRPr="00B85D62">
              <w:rPr>
                <w:rFonts w:eastAsia="Arial" w:cs="Arial"/>
                <w:sz w:val="18"/>
                <w:szCs w:val="18"/>
              </w:rPr>
              <w:t>G</w:t>
            </w:r>
            <w:r w:rsidR="00B85D62" w:rsidRPr="00B85D62">
              <w:rPr>
                <w:rFonts w:eastAsia="Arial" w:cs="Arial"/>
                <w:color w:val="00B0F0"/>
                <w:sz w:val="18"/>
                <w:szCs w:val="18"/>
              </w:rPr>
              <w:t>6</w:t>
            </w:r>
            <w:r w:rsidR="00B85D62" w:rsidRPr="00B85D62">
              <w:rPr>
                <w:rFonts w:eastAsia="Arial" w:cs="Arial"/>
                <w:color w:val="00B0F0"/>
                <w:sz w:val="18"/>
                <w:szCs w:val="18"/>
              </w:rPr>
              <w:t> </w:t>
            </w:r>
            <w:r w:rsidR="00B85D62" w:rsidRPr="00B85D62">
              <w:rPr>
                <w:rFonts w:eastAsia="Arial" w:cs="Arial"/>
                <w:color w:val="00B0F0"/>
                <w:sz w:val="18"/>
                <w:szCs w:val="18"/>
              </w:rPr>
              <w:t>W.</w:t>
            </w:r>
            <w:r w:rsidRPr="00B85D62">
              <w:rPr>
                <w:rFonts w:eastAsia="Arial" w:cs="Arial"/>
                <w:sz w:val="18"/>
                <w:szCs w:val="18"/>
              </w:rPr>
              <w:t>.00</w:t>
            </w:r>
          </w:p>
        </w:tc>
        <w:tc>
          <w:tcPr>
            <w:tcW w:w="0" w:type="auto"/>
            <w:shd w:val="clear" w:color="auto" w:fill="auto"/>
          </w:tcPr>
          <w:p w14:paraId="56F1DEF4" w14:textId="77777777" w:rsidR="004672DB" w:rsidRPr="00B85D62" w:rsidRDefault="004672DB" w:rsidP="004672DB">
            <w:r w:rsidRPr="00B85D62">
              <w:rPr>
                <w:rFonts w:eastAsia="Arial" w:cs="Arial"/>
                <w:sz w:val="18"/>
                <w:szCs w:val="18"/>
              </w:rPr>
              <w:t>Cereb infarct due unsp occlus/stenos precerebr arteries</w:t>
            </w:r>
          </w:p>
        </w:tc>
      </w:tr>
      <w:tr w:rsidR="004672DB" w:rsidRPr="00B85D62" w14:paraId="17EEBDC1" w14:textId="77777777" w:rsidTr="00B85D62">
        <w:trPr>
          <w:cantSplit/>
        </w:trPr>
        <w:tc>
          <w:tcPr>
            <w:tcW w:w="0" w:type="auto"/>
            <w:shd w:val="clear" w:color="auto" w:fill="auto"/>
          </w:tcPr>
          <w:p w14:paraId="47A7BB59" w14:textId="77777777" w:rsidR="004672DB" w:rsidRPr="00B85D62" w:rsidRDefault="004672DB" w:rsidP="004672DB">
            <w:r w:rsidRPr="00B85D62">
              <w:rPr>
                <w:rFonts w:eastAsia="Arial" w:cs="Arial"/>
                <w:sz w:val="18"/>
                <w:szCs w:val="18"/>
              </w:rPr>
              <w:t>45781</w:t>
            </w:r>
          </w:p>
        </w:tc>
        <w:tc>
          <w:tcPr>
            <w:tcW w:w="0" w:type="auto"/>
            <w:shd w:val="clear" w:color="auto" w:fill="auto"/>
          </w:tcPr>
          <w:p w14:paraId="08CB23BF" w14:textId="77777777" w:rsidR="004672DB" w:rsidRPr="00B85D62" w:rsidRDefault="004672DB" w:rsidP="004672DB">
            <w:r w:rsidRPr="00B85D62">
              <w:rPr>
                <w:rFonts w:eastAsia="Arial" w:cs="Arial"/>
                <w:sz w:val="18"/>
                <w:szCs w:val="18"/>
              </w:rPr>
              <w:t>G63..00</w:t>
            </w:r>
          </w:p>
        </w:tc>
        <w:tc>
          <w:tcPr>
            <w:tcW w:w="0" w:type="auto"/>
            <w:shd w:val="clear" w:color="auto" w:fill="auto"/>
          </w:tcPr>
          <w:p w14:paraId="742704C4" w14:textId="77777777" w:rsidR="004672DB" w:rsidRPr="00B85D62" w:rsidRDefault="004672DB" w:rsidP="004672DB">
            <w:r w:rsidRPr="00B85D62">
              <w:rPr>
                <w:rFonts w:eastAsia="Arial" w:cs="Arial"/>
                <w:sz w:val="18"/>
                <w:szCs w:val="18"/>
              </w:rPr>
              <w:t>Precerebral arterial occlusion</w:t>
            </w:r>
          </w:p>
        </w:tc>
      </w:tr>
      <w:tr w:rsidR="004672DB" w:rsidRPr="00B85D62" w14:paraId="2D633D5F" w14:textId="77777777" w:rsidTr="00B85D62">
        <w:trPr>
          <w:cantSplit/>
        </w:trPr>
        <w:tc>
          <w:tcPr>
            <w:tcW w:w="0" w:type="auto"/>
            <w:shd w:val="clear" w:color="auto" w:fill="auto"/>
          </w:tcPr>
          <w:p w14:paraId="3CF253FB" w14:textId="77777777" w:rsidR="004672DB" w:rsidRPr="00B85D62" w:rsidRDefault="004672DB" w:rsidP="004672DB">
            <w:r w:rsidRPr="00B85D62">
              <w:rPr>
                <w:rFonts w:eastAsia="Arial" w:cs="Arial"/>
                <w:sz w:val="18"/>
                <w:szCs w:val="18"/>
              </w:rPr>
              <w:t>51138</w:t>
            </w:r>
          </w:p>
        </w:tc>
        <w:tc>
          <w:tcPr>
            <w:tcW w:w="0" w:type="auto"/>
            <w:shd w:val="clear" w:color="auto" w:fill="auto"/>
          </w:tcPr>
          <w:p w14:paraId="378C86DF" w14:textId="43AEAA9D" w:rsidR="004672DB" w:rsidRPr="00B85D62" w:rsidRDefault="004672DB" w:rsidP="004672DB">
            <w:r w:rsidRPr="00B85D62">
              <w:rPr>
                <w:rFonts w:eastAsia="Arial" w:cs="Arial"/>
                <w:sz w:val="18"/>
                <w:szCs w:val="18"/>
              </w:rPr>
              <w:t>G6</w:t>
            </w:r>
            <w:r w:rsidR="00B85D62" w:rsidRPr="00B85D62">
              <w:rPr>
                <w:rFonts w:eastAsia="Arial" w:cs="Arial"/>
                <w:color w:val="00B0F0"/>
                <w:sz w:val="18"/>
                <w:szCs w:val="18"/>
              </w:rPr>
              <w:t>8</w:t>
            </w:r>
            <w:r w:rsidR="00B85D62" w:rsidRPr="00B85D62">
              <w:rPr>
                <w:rFonts w:eastAsia="Arial" w:cs="Arial"/>
                <w:color w:val="00B0F0"/>
                <w:sz w:val="18"/>
                <w:szCs w:val="18"/>
              </w:rPr>
              <w:t> </w:t>
            </w:r>
            <w:r w:rsidR="00B85D62" w:rsidRPr="00B85D62">
              <w:rPr>
                <w:rFonts w:eastAsia="Arial" w:cs="Arial"/>
                <w:color w:val="00B0F0"/>
                <w:sz w:val="18"/>
                <w:szCs w:val="18"/>
              </w:rPr>
              <w:t>W.</w:t>
            </w:r>
            <w:r w:rsidRPr="00B85D62">
              <w:rPr>
                <w:rFonts w:eastAsia="Arial" w:cs="Arial"/>
                <w:sz w:val="18"/>
                <w:szCs w:val="18"/>
              </w:rPr>
              <w:t>00</w:t>
            </w:r>
          </w:p>
        </w:tc>
        <w:tc>
          <w:tcPr>
            <w:tcW w:w="0" w:type="auto"/>
            <w:shd w:val="clear" w:color="auto" w:fill="auto"/>
          </w:tcPr>
          <w:p w14:paraId="251EE5D1" w14:textId="3C9AEB8C" w:rsidR="004672DB" w:rsidRPr="00B85D62" w:rsidRDefault="004672DB" w:rsidP="004672DB">
            <w:r w:rsidRPr="00B85D62">
              <w:rPr>
                <w:rFonts w:eastAsia="Arial" w:cs="Arial"/>
                <w:sz w:val="18"/>
                <w:szCs w:val="18"/>
              </w:rPr>
              <w:t>Sequelae/other</w:t>
            </w:r>
            <w:r w:rsidR="00B85D62" w:rsidRPr="00B85D62">
              <w:rPr>
                <w:rFonts w:eastAsia="Arial" w:cs="Arial"/>
                <w:color w:val="00B0F0"/>
                <w:sz w:val="18"/>
                <w:szCs w:val="18"/>
              </w:rPr>
              <w:t>+</w:t>
            </w:r>
            <w:r w:rsidRPr="00B85D62">
              <w:rPr>
                <w:rFonts w:eastAsia="Arial" w:cs="Arial"/>
                <w:sz w:val="18"/>
                <w:szCs w:val="18"/>
              </w:rPr>
              <w:t>unspecified cerebrovascular diseases</w:t>
            </w:r>
          </w:p>
        </w:tc>
      </w:tr>
      <w:tr w:rsidR="004672DB" w:rsidRPr="00B85D62" w14:paraId="2A05671B" w14:textId="77777777" w:rsidTr="00B85D62">
        <w:trPr>
          <w:cantSplit/>
        </w:trPr>
        <w:tc>
          <w:tcPr>
            <w:tcW w:w="0" w:type="auto"/>
            <w:shd w:val="clear" w:color="auto" w:fill="auto"/>
          </w:tcPr>
          <w:p w14:paraId="53363310" w14:textId="77777777" w:rsidR="004672DB" w:rsidRPr="00B85D62" w:rsidRDefault="004672DB" w:rsidP="004672DB">
            <w:r w:rsidRPr="00B85D62">
              <w:rPr>
                <w:rFonts w:eastAsia="Arial" w:cs="Arial"/>
                <w:sz w:val="18"/>
                <w:szCs w:val="18"/>
              </w:rPr>
              <w:t>51311</w:t>
            </w:r>
          </w:p>
        </w:tc>
        <w:tc>
          <w:tcPr>
            <w:tcW w:w="0" w:type="auto"/>
            <w:shd w:val="clear" w:color="auto" w:fill="auto"/>
          </w:tcPr>
          <w:p w14:paraId="6151C693" w14:textId="77777777" w:rsidR="004672DB" w:rsidRPr="00B85D62" w:rsidRDefault="004672DB" w:rsidP="004672DB">
            <w:r w:rsidRPr="00B85D62">
              <w:rPr>
                <w:rFonts w:eastAsia="Arial" w:cs="Arial"/>
                <w:sz w:val="18"/>
                <w:szCs w:val="18"/>
              </w:rPr>
              <w:t>G6y..00</w:t>
            </w:r>
          </w:p>
        </w:tc>
        <w:tc>
          <w:tcPr>
            <w:tcW w:w="0" w:type="auto"/>
            <w:shd w:val="clear" w:color="auto" w:fill="auto"/>
          </w:tcPr>
          <w:p w14:paraId="193BE679" w14:textId="77777777" w:rsidR="004672DB" w:rsidRPr="00B85D62" w:rsidRDefault="004672DB" w:rsidP="004672DB">
            <w:r w:rsidRPr="00B85D62">
              <w:rPr>
                <w:rFonts w:eastAsia="Arial" w:cs="Arial"/>
                <w:sz w:val="18"/>
                <w:szCs w:val="18"/>
              </w:rPr>
              <w:t>Other specified cerebrovascular disease</w:t>
            </w:r>
          </w:p>
        </w:tc>
      </w:tr>
      <w:tr w:rsidR="004672DB" w:rsidRPr="00B85D62" w14:paraId="6BE55E66" w14:textId="77777777" w:rsidTr="00B85D62">
        <w:trPr>
          <w:cantSplit/>
        </w:trPr>
        <w:tc>
          <w:tcPr>
            <w:tcW w:w="0" w:type="auto"/>
            <w:shd w:val="clear" w:color="auto" w:fill="auto"/>
          </w:tcPr>
          <w:p w14:paraId="2C5144A9" w14:textId="77777777" w:rsidR="004672DB" w:rsidRPr="00B85D62" w:rsidRDefault="004672DB" w:rsidP="004672DB">
            <w:r w:rsidRPr="00B85D62">
              <w:rPr>
                <w:rFonts w:eastAsia="Arial" w:cs="Arial"/>
                <w:sz w:val="18"/>
                <w:szCs w:val="18"/>
              </w:rPr>
              <w:t>51326</w:t>
            </w:r>
          </w:p>
        </w:tc>
        <w:tc>
          <w:tcPr>
            <w:tcW w:w="0" w:type="auto"/>
            <w:shd w:val="clear" w:color="auto" w:fill="auto"/>
          </w:tcPr>
          <w:p w14:paraId="44C3D6AB" w14:textId="77777777" w:rsidR="004672DB" w:rsidRPr="00B85D62" w:rsidRDefault="004672DB" w:rsidP="004672DB">
            <w:r w:rsidRPr="00B85D62">
              <w:rPr>
                <w:rFonts w:eastAsia="Arial" w:cs="Arial"/>
                <w:sz w:val="18"/>
                <w:szCs w:val="18"/>
              </w:rPr>
              <w:t>G63y.00</w:t>
            </w:r>
          </w:p>
        </w:tc>
        <w:tc>
          <w:tcPr>
            <w:tcW w:w="0" w:type="auto"/>
            <w:shd w:val="clear" w:color="auto" w:fill="auto"/>
          </w:tcPr>
          <w:p w14:paraId="280F3EB5" w14:textId="77777777" w:rsidR="004672DB" w:rsidRPr="00B85D62" w:rsidRDefault="004672DB" w:rsidP="004672DB">
            <w:r w:rsidRPr="00B85D62">
              <w:rPr>
                <w:rFonts w:eastAsia="Arial" w:cs="Arial"/>
                <w:sz w:val="18"/>
                <w:szCs w:val="18"/>
              </w:rPr>
              <w:t>Other precerebral artery occlusion</w:t>
            </w:r>
          </w:p>
        </w:tc>
      </w:tr>
      <w:tr w:rsidR="004672DB" w:rsidRPr="00B85D62" w14:paraId="01F95B39" w14:textId="77777777" w:rsidTr="00B85D62">
        <w:trPr>
          <w:cantSplit/>
        </w:trPr>
        <w:tc>
          <w:tcPr>
            <w:tcW w:w="0" w:type="auto"/>
            <w:shd w:val="clear" w:color="auto" w:fill="auto"/>
          </w:tcPr>
          <w:p w14:paraId="5963552E" w14:textId="77777777" w:rsidR="004672DB" w:rsidRPr="00B85D62" w:rsidRDefault="004672DB" w:rsidP="004672DB">
            <w:r w:rsidRPr="00B85D62">
              <w:rPr>
                <w:rFonts w:eastAsia="Arial" w:cs="Arial"/>
                <w:sz w:val="18"/>
                <w:szCs w:val="18"/>
              </w:rPr>
              <w:t>51759</w:t>
            </w:r>
          </w:p>
        </w:tc>
        <w:tc>
          <w:tcPr>
            <w:tcW w:w="0" w:type="auto"/>
            <w:shd w:val="clear" w:color="auto" w:fill="auto"/>
          </w:tcPr>
          <w:p w14:paraId="52C7B5BA" w14:textId="77777777" w:rsidR="004672DB" w:rsidRPr="00B85D62" w:rsidRDefault="004672DB" w:rsidP="004672DB">
            <w:r w:rsidRPr="00B85D62">
              <w:rPr>
                <w:rFonts w:eastAsia="Arial" w:cs="Arial"/>
                <w:sz w:val="18"/>
                <w:szCs w:val="18"/>
              </w:rPr>
              <w:t>G677000</w:t>
            </w:r>
          </w:p>
        </w:tc>
        <w:tc>
          <w:tcPr>
            <w:tcW w:w="0" w:type="auto"/>
            <w:shd w:val="clear" w:color="auto" w:fill="auto"/>
          </w:tcPr>
          <w:p w14:paraId="52938F9D" w14:textId="77777777" w:rsidR="004672DB" w:rsidRPr="00B85D62" w:rsidRDefault="004672DB" w:rsidP="004672DB">
            <w:r w:rsidRPr="00B85D62">
              <w:rPr>
                <w:rFonts w:eastAsia="Arial" w:cs="Arial"/>
                <w:sz w:val="18"/>
                <w:szCs w:val="18"/>
              </w:rPr>
              <w:t>Occlusion and stenosis of middle cerebral artery</w:t>
            </w:r>
          </w:p>
        </w:tc>
      </w:tr>
      <w:tr w:rsidR="004672DB" w:rsidRPr="00B85D62" w14:paraId="06A5D309" w14:textId="77777777" w:rsidTr="00B85D62">
        <w:trPr>
          <w:cantSplit/>
        </w:trPr>
        <w:tc>
          <w:tcPr>
            <w:tcW w:w="0" w:type="auto"/>
            <w:shd w:val="clear" w:color="auto" w:fill="auto"/>
          </w:tcPr>
          <w:p w14:paraId="562D3D5F" w14:textId="77777777" w:rsidR="004672DB" w:rsidRPr="00B85D62" w:rsidRDefault="004672DB" w:rsidP="004672DB">
            <w:r w:rsidRPr="00B85D62">
              <w:rPr>
                <w:rFonts w:eastAsia="Arial" w:cs="Arial"/>
                <w:sz w:val="18"/>
                <w:szCs w:val="18"/>
              </w:rPr>
              <w:t>53745</w:t>
            </w:r>
          </w:p>
        </w:tc>
        <w:tc>
          <w:tcPr>
            <w:tcW w:w="0" w:type="auto"/>
            <w:shd w:val="clear" w:color="auto" w:fill="auto"/>
          </w:tcPr>
          <w:p w14:paraId="2098510A" w14:textId="77777777" w:rsidR="004672DB" w:rsidRPr="00B85D62" w:rsidRDefault="004672DB" w:rsidP="004672DB">
            <w:r w:rsidRPr="00B85D62">
              <w:rPr>
                <w:rFonts w:eastAsia="Arial" w:cs="Arial"/>
                <w:sz w:val="18"/>
                <w:szCs w:val="18"/>
              </w:rPr>
              <w:t>Gyu6400</w:t>
            </w:r>
          </w:p>
        </w:tc>
        <w:tc>
          <w:tcPr>
            <w:tcW w:w="0" w:type="auto"/>
            <w:shd w:val="clear" w:color="auto" w:fill="auto"/>
          </w:tcPr>
          <w:p w14:paraId="0E69A9DA" w14:textId="77777777" w:rsidR="004672DB" w:rsidRPr="00B85D62" w:rsidRDefault="004672DB" w:rsidP="004672DB">
            <w:r w:rsidRPr="00B85D62">
              <w:rPr>
                <w:rFonts w:eastAsia="Arial" w:cs="Arial"/>
                <w:sz w:val="18"/>
                <w:szCs w:val="18"/>
              </w:rPr>
              <w:t>[X]Other cerebral infarction</w:t>
            </w:r>
          </w:p>
        </w:tc>
      </w:tr>
      <w:tr w:rsidR="004672DB" w:rsidRPr="00B85D62" w14:paraId="79AFB8C3" w14:textId="77777777" w:rsidTr="00B85D62">
        <w:trPr>
          <w:cantSplit/>
        </w:trPr>
        <w:tc>
          <w:tcPr>
            <w:tcW w:w="0" w:type="auto"/>
            <w:shd w:val="clear" w:color="auto" w:fill="auto"/>
          </w:tcPr>
          <w:p w14:paraId="229DB4A6" w14:textId="77777777" w:rsidR="004672DB" w:rsidRPr="00B85D62" w:rsidRDefault="004672DB" w:rsidP="004672DB">
            <w:r w:rsidRPr="00B85D62">
              <w:rPr>
                <w:rFonts w:eastAsia="Arial" w:cs="Arial"/>
                <w:sz w:val="18"/>
                <w:szCs w:val="18"/>
              </w:rPr>
              <w:t>57495</w:t>
            </w:r>
          </w:p>
        </w:tc>
        <w:tc>
          <w:tcPr>
            <w:tcW w:w="0" w:type="auto"/>
            <w:shd w:val="clear" w:color="auto" w:fill="auto"/>
          </w:tcPr>
          <w:p w14:paraId="1727F682" w14:textId="77777777" w:rsidR="004672DB" w:rsidRPr="00B85D62" w:rsidRDefault="004672DB" w:rsidP="004672DB">
            <w:r w:rsidRPr="00B85D62">
              <w:rPr>
                <w:rFonts w:eastAsia="Arial" w:cs="Arial"/>
                <w:sz w:val="18"/>
                <w:szCs w:val="18"/>
              </w:rPr>
              <w:t>G63..11</w:t>
            </w:r>
          </w:p>
        </w:tc>
        <w:tc>
          <w:tcPr>
            <w:tcW w:w="0" w:type="auto"/>
            <w:shd w:val="clear" w:color="auto" w:fill="auto"/>
          </w:tcPr>
          <w:p w14:paraId="7328A786" w14:textId="4E476309" w:rsidR="004672DB" w:rsidRPr="00B85D62" w:rsidRDefault="004672DB" w:rsidP="004672DB">
            <w:r w:rsidRPr="00B85D62">
              <w:rPr>
                <w:rFonts w:eastAsia="Arial" w:cs="Arial"/>
                <w:sz w:val="18"/>
                <w:szCs w:val="18"/>
              </w:rPr>
              <w:t>Infarction</w:t>
            </w:r>
            <w:r w:rsidR="00B85D62" w:rsidRPr="00B85D62">
              <w:rPr>
                <w:rFonts w:eastAsia="Arial" w:cs="Arial"/>
                <w:color w:val="00B0F0"/>
                <w:sz w:val="18"/>
                <w:szCs w:val="18"/>
              </w:rPr>
              <w:t xml:space="preserve"> – </w:t>
            </w:r>
            <w:r w:rsidRPr="00B85D62">
              <w:rPr>
                <w:rFonts w:eastAsia="Arial" w:cs="Arial"/>
                <w:sz w:val="18"/>
                <w:szCs w:val="18"/>
              </w:rPr>
              <w:t>precerebral</w:t>
            </w:r>
          </w:p>
        </w:tc>
      </w:tr>
      <w:tr w:rsidR="004672DB" w:rsidRPr="00B85D62" w14:paraId="44DA620B" w14:textId="77777777" w:rsidTr="00B85D62">
        <w:trPr>
          <w:cantSplit/>
        </w:trPr>
        <w:tc>
          <w:tcPr>
            <w:tcW w:w="0" w:type="auto"/>
            <w:shd w:val="clear" w:color="auto" w:fill="auto"/>
          </w:tcPr>
          <w:p w14:paraId="654FFF0F" w14:textId="77777777" w:rsidR="004672DB" w:rsidRPr="00B85D62" w:rsidRDefault="004672DB" w:rsidP="004672DB">
            <w:r w:rsidRPr="00B85D62">
              <w:rPr>
                <w:rFonts w:eastAsia="Arial" w:cs="Arial"/>
                <w:sz w:val="18"/>
                <w:szCs w:val="18"/>
              </w:rPr>
              <w:t>57527</w:t>
            </w:r>
          </w:p>
        </w:tc>
        <w:tc>
          <w:tcPr>
            <w:tcW w:w="0" w:type="auto"/>
            <w:shd w:val="clear" w:color="auto" w:fill="auto"/>
          </w:tcPr>
          <w:p w14:paraId="48F8C3C8" w14:textId="77777777" w:rsidR="004672DB" w:rsidRPr="00B85D62" w:rsidRDefault="004672DB" w:rsidP="004672DB">
            <w:r w:rsidRPr="00B85D62">
              <w:rPr>
                <w:rFonts w:eastAsia="Arial" w:cs="Arial"/>
                <w:sz w:val="18"/>
                <w:szCs w:val="18"/>
              </w:rPr>
              <w:t>G677100</w:t>
            </w:r>
          </w:p>
        </w:tc>
        <w:tc>
          <w:tcPr>
            <w:tcW w:w="0" w:type="auto"/>
            <w:shd w:val="clear" w:color="auto" w:fill="auto"/>
          </w:tcPr>
          <w:p w14:paraId="0A7BA7A0" w14:textId="77777777" w:rsidR="004672DB" w:rsidRPr="00B85D62" w:rsidRDefault="004672DB" w:rsidP="004672DB">
            <w:r w:rsidRPr="00B85D62">
              <w:rPr>
                <w:rFonts w:eastAsia="Arial" w:cs="Arial"/>
                <w:sz w:val="18"/>
                <w:szCs w:val="18"/>
              </w:rPr>
              <w:t>Occlusion and stenosis of anterior cerebral artery</w:t>
            </w:r>
          </w:p>
        </w:tc>
      </w:tr>
      <w:tr w:rsidR="004672DB" w:rsidRPr="00B85D62" w14:paraId="43A69B11" w14:textId="77777777" w:rsidTr="00B85D62">
        <w:trPr>
          <w:cantSplit/>
        </w:trPr>
        <w:tc>
          <w:tcPr>
            <w:tcW w:w="0" w:type="auto"/>
            <w:shd w:val="clear" w:color="auto" w:fill="auto"/>
          </w:tcPr>
          <w:p w14:paraId="08F00D53" w14:textId="77777777" w:rsidR="004672DB" w:rsidRPr="00B85D62" w:rsidRDefault="004672DB" w:rsidP="004672DB">
            <w:r w:rsidRPr="00B85D62">
              <w:rPr>
                <w:rFonts w:eastAsia="Arial" w:cs="Arial"/>
                <w:sz w:val="18"/>
                <w:szCs w:val="18"/>
              </w:rPr>
              <w:t>63746</w:t>
            </w:r>
          </w:p>
        </w:tc>
        <w:tc>
          <w:tcPr>
            <w:tcW w:w="0" w:type="auto"/>
            <w:shd w:val="clear" w:color="auto" w:fill="auto"/>
          </w:tcPr>
          <w:p w14:paraId="7C3BEE02" w14:textId="77777777" w:rsidR="004672DB" w:rsidRPr="00B85D62" w:rsidRDefault="004672DB" w:rsidP="004672DB">
            <w:r w:rsidRPr="00B85D62">
              <w:rPr>
                <w:rFonts w:eastAsia="Arial" w:cs="Arial"/>
                <w:sz w:val="18"/>
                <w:szCs w:val="18"/>
              </w:rPr>
              <w:t>Fyu5500</w:t>
            </w:r>
          </w:p>
        </w:tc>
        <w:tc>
          <w:tcPr>
            <w:tcW w:w="0" w:type="auto"/>
            <w:shd w:val="clear" w:color="auto" w:fill="auto"/>
          </w:tcPr>
          <w:p w14:paraId="2226C029" w14:textId="77777777" w:rsidR="004672DB" w:rsidRPr="00B85D62" w:rsidRDefault="004672DB" w:rsidP="004672DB">
            <w:r w:rsidRPr="00B85D62">
              <w:rPr>
                <w:rFonts w:eastAsia="Arial" w:cs="Arial"/>
                <w:sz w:val="18"/>
                <w:szCs w:val="18"/>
              </w:rPr>
              <w:t>[X]Other transnt cerebral ischaemic attacks+related syndroms</w:t>
            </w:r>
          </w:p>
        </w:tc>
      </w:tr>
      <w:tr w:rsidR="004672DB" w:rsidRPr="00B85D62" w14:paraId="74A3368A" w14:textId="77777777" w:rsidTr="00B85D62">
        <w:trPr>
          <w:cantSplit/>
        </w:trPr>
        <w:tc>
          <w:tcPr>
            <w:tcW w:w="0" w:type="auto"/>
            <w:shd w:val="clear" w:color="auto" w:fill="auto"/>
          </w:tcPr>
          <w:p w14:paraId="6997C187" w14:textId="77777777" w:rsidR="004672DB" w:rsidRPr="00B85D62" w:rsidRDefault="004672DB" w:rsidP="004672DB">
            <w:r w:rsidRPr="00B85D62">
              <w:rPr>
                <w:rFonts w:eastAsia="Arial" w:cs="Arial"/>
                <w:sz w:val="18"/>
                <w:szCs w:val="18"/>
              </w:rPr>
              <w:t>65770</w:t>
            </w:r>
          </w:p>
        </w:tc>
        <w:tc>
          <w:tcPr>
            <w:tcW w:w="0" w:type="auto"/>
            <w:shd w:val="clear" w:color="auto" w:fill="auto"/>
          </w:tcPr>
          <w:p w14:paraId="7DE83686" w14:textId="77777777" w:rsidR="004672DB" w:rsidRPr="00B85D62" w:rsidRDefault="004672DB" w:rsidP="004672DB">
            <w:r w:rsidRPr="00B85D62">
              <w:rPr>
                <w:rFonts w:eastAsia="Arial" w:cs="Arial"/>
                <w:sz w:val="18"/>
                <w:szCs w:val="18"/>
              </w:rPr>
              <w:t>G677200</w:t>
            </w:r>
          </w:p>
        </w:tc>
        <w:tc>
          <w:tcPr>
            <w:tcW w:w="0" w:type="auto"/>
            <w:shd w:val="clear" w:color="auto" w:fill="auto"/>
          </w:tcPr>
          <w:p w14:paraId="5080B4C1" w14:textId="77777777" w:rsidR="004672DB" w:rsidRPr="00B85D62" w:rsidRDefault="004672DB" w:rsidP="004672DB">
            <w:r w:rsidRPr="00B85D62">
              <w:rPr>
                <w:rFonts w:eastAsia="Arial" w:cs="Arial"/>
                <w:sz w:val="18"/>
                <w:szCs w:val="18"/>
              </w:rPr>
              <w:t>Occlusion and stenosis of posterior cerebral artery</w:t>
            </w:r>
          </w:p>
        </w:tc>
      </w:tr>
      <w:tr w:rsidR="004672DB" w:rsidRPr="00B85D62" w14:paraId="4E04E4AC" w14:textId="77777777" w:rsidTr="00B85D62">
        <w:trPr>
          <w:cantSplit/>
        </w:trPr>
        <w:tc>
          <w:tcPr>
            <w:tcW w:w="0" w:type="auto"/>
            <w:shd w:val="clear" w:color="auto" w:fill="auto"/>
          </w:tcPr>
          <w:p w14:paraId="34703196" w14:textId="77777777" w:rsidR="004672DB" w:rsidRPr="00B85D62" w:rsidRDefault="004672DB" w:rsidP="004672DB">
            <w:r w:rsidRPr="00B85D62">
              <w:rPr>
                <w:rFonts w:eastAsia="Arial" w:cs="Arial"/>
                <w:sz w:val="18"/>
                <w:szCs w:val="18"/>
              </w:rPr>
              <w:t>70536</w:t>
            </w:r>
          </w:p>
        </w:tc>
        <w:tc>
          <w:tcPr>
            <w:tcW w:w="0" w:type="auto"/>
            <w:shd w:val="clear" w:color="auto" w:fill="auto"/>
          </w:tcPr>
          <w:p w14:paraId="4F2B1F3C" w14:textId="77777777" w:rsidR="004672DB" w:rsidRPr="00B85D62" w:rsidRDefault="004672DB" w:rsidP="004672DB">
            <w:r w:rsidRPr="00B85D62">
              <w:rPr>
                <w:rFonts w:eastAsia="Arial" w:cs="Arial"/>
                <w:sz w:val="18"/>
                <w:szCs w:val="18"/>
              </w:rPr>
              <w:t>G671000</w:t>
            </w:r>
          </w:p>
        </w:tc>
        <w:tc>
          <w:tcPr>
            <w:tcW w:w="0" w:type="auto"/>
            <w:shd w:val="clear" w:color="auto" w:fill="auto"/>
          </w:tcPr>
          <w:p w14:paraId="445A0F2C" w14:textId="77777777" w:rsidR="004672DB" w:rsidRPr="00B85D62" w:rsidRDefault="004672DB" w:rsidP="004672DB">
            <w:r w:rsidRPr="00B85D62">
              <w:rPr>
                <w:rFonts w:eastAsia="Arial" w:cs="Arial"/>
                <w:sz w:val="18"/>
                <w:szCs w:val="18"/>
              </w:rPr>
              <w:t>Acute cerebrovascular insufficiency NOS</w:t>
            </w:r>
          </w:p>
        </w:tc>
      </w:tr>
      <w:tr w:rsidR="004672DB" w:rsidRPr="00B85D62" w14:paraId="0902553A" w14:textId="77777777" w:rsidTr="00B85D62">
        <w:trPr>
          <w:cantSplit/>
        </w:trPr>
        <w:tc>
          <w:tcPr>
            <w:tcW w:w="0" w:type="auto"/>
            <w:shd w:val="clear" w:color="auto" w:fill="auto"/>
          </w:tcPr>
          <w:p w14:paraId="2CC58496" w14:textId="77777777" w:rsidR="004672DB" w:rsidRPr="00B85D62" w:rsidRDefault="004672DB" w:rsidP="004672DB">
            <w:r w:rsidRPr="00B85D62">
              <w:rPr>
                <w:rFonts w:eastAsia="Arial" w:cs="Arial"/>
                <w:sz w:val="18"/>
                <w:szCs w:val="18"/>
              </w:rPr>
              <w:t>71274</w:t>
            </w:r>
          </w:p>
        </w:tc>
        <w:tc>
          <w:tcPr>
            <w:tcW w:w="0" w:type="auto"/>
            <w:shd w:val="clear" w:color="auto" w:fill="auto"/>
          </w:tcPr>
          <w:p w14:paraId="307C29C3" w14:textId="77777777" w:rsidR="004672DB" w:rsidRPr="00B85D62" w:rsidRDefault="004672DB" w:rsidP="004672DB">
            <w:r w:rsidRPr="00B85D62">
              <w:rPr>
                <w:rFonts w:eastAsia="Arial" w:cs="Arial"/>
                <w:sz w:val="18"/>
                <w:szCs w:val="18"/>
              </w:rPr>
              <w:t>G677400</w:t>
            </w:r>
          </w:p>
        </w:tc>
        <w:tc>
          <w:tcPr>
            <w:tcW w:w="0" w:type="auto"/>
            <w:shd w:val="clear" w:color="auto" w:fill="auto"/>
          </w:tcPr>
          <w:p w14:paraId="265AEB51" w14:textId="77777777" w:rsidR="004672DB" w:rsidRPr="00B85D62" w:rsidRDefault="004672DB" w:rsidP="004672DB">
            <w:r w:rsidRPr="00B85D62">
              <w:rPr>
                <w:rFonts w:eastAsia="Arial" w:cs="Arial"/>
                <w:sz w:val="18"/>
                <w:szCs w:val="18"/>
              </w:rPr>
              <w:t>Occlusion+stenosis of multiple and bilat cerebral arteries</w:t>
            </w:r>
          </w:p>
        </w:tc>
      </w:tr>
      <w:tr w:rsidR="004672DB" w:rsidRPr="00B85D62" w14:paraId="09D1E988" w14:textId="77777777" w:rsidTr="00B85D62">
        <w:trPr>
          <w:cantSplit/>
        </w:trPr>
        <w:tc>
          <w:tcPr>
            <w:tcW w:w="0" w:type="auto"/>
            <w:shd w:val="clear" w:color="auto" w:fill="auto"/>
          </w:tcPr>
          <w:p w14:paraId="398C3A88" w14:textId="77777777" w:rsidR="004672DB" w:rsidRPr="00B85D62" w:rsidRDefault="004672DB" w:rsidP="004672DB">
            <w:r w:rsidRPr="00B85D62">
              <w:rPr>
                <w:rFonts w:eastAsia="Arial" w:cs="Arial"/>
                <w:sz w:val="18"/>
                <w:szCs w:val="18"/>
              </w:rPr>
              <w:t>71585</w:t>
            </w:r>
          </w:p>
        </w:tc>
        <w:tc>
          <w:tcPr>
            <w:tcW w:w="0" w:type="auto"/>
            <w:shd w:val="clear" w:color="auto" w:fill="auto"/>
          </w:tcPr>
          <w:p w14:paraId="53AE508B" w14:textId="77777777" w:rsidR="004672DB" w:rsidRPr="00B85D62" w:rsidRDefault="004672DB" w:rsidP="004672DB">
            <w:r w:rsidRPr="00B85D62">
              <w:rPr>
                <w:rFonts w:eastAsia="Arial" w:cs="Arial"/>
                <w:sz w:val="18"/>
                <w:szCs w:val="18"/>
              </w:rPr>
              <w:t>G63z.00</w:t>
            </w:r>
          </w:p>
        </w:tc>
        <w:tc>
          <w:tcPr>
            <w:tcW w:w="0" w:type="auto"/>
            <w:shd w:val="clear" w:color="auto" w:fill="auto"/>
          </w:tcPr>
          <w:p w14:paraId="6154B5DE" w14:textId="77777777" w:rsidR="004672DB" w:rsidRPr="00B85D62" w:rsidRDefault="004672DB" w:rsidP="004672DB">
            <w:r w:rsidRPr="00B85D62">
              <w:rPr>
                <w:rFonts w:eastAsia="Arial" w:cs="Arial"/>
                <w:sz w:val="18"/>
                <w:szCs w:val="18"/>
              </w:rPr>
              <w:t>Precerebral artery occlusion NOS</w:t>
            </w:r>
          </w:p>
        </w:tc>
      </w:tr>
      <w:tr w:rsidR="004672DB" w:rsidRPr="00B85D62" w14:paraId="73E7CA31" w14:textId="77777777" w:rsidTr="00B85D62">
        <w:trPr>
          <w:cantSplit/>
        </w:trPr>
        <w:tc>
          <w:tcPr>
            <w:tcW w:w="0" w:type="auto"/>
            <w:shd w:val="clear" w:color="auto" w:fill="auto"/>
          </w:tcPr>
          <w:p w14:paraId="54F8BEC0" w14:textId="77777777" w:rsidR="004672DB" w:rsidRPr="00B85D62" w:rsidRDefault="004672DB" w:rsidP="004672DB">
            <w:r w:rsidRPr="00B85D62">
              <w:rPr>
                <w:rFonts w:eastAsia="Arial" w:cs="Arial"/>
                <w:sz w:val="18"/>
                <w:szCs w:val="18"/>
              </w:rPr>
              <w:t>73901</w:t>
            </w:r>
          </w:p>
        </w:tc>
        <w:tc>
          <w:tcPr>
            <w:tcW w:w="0" w:type="auto"/>
            <w:shd w:val="clear" w:color="auto" w:fill="auto"/>
          </w:tcPr>
          <w:p w14:paraId="65BABC5E" w14:textId="77777777" w:rsidR="004672DB" w:rsidRPr="00B85D62" w:rsidRDefault="004672DB" w:rsidP="004672DB">
            <w:r w:rsidRPr="00B85D62">
              <w:rPr>
                <w:rFonts w:eastAsia="Arial" w:cs="Arial"/>
                <w:sz w:val="18"/>
                <w:szCs w:val="18"/>
              </w:rPr>
              <w:t>Gyu6.00</w:t>
            </w:r>
          </w:p>
        </w:tc>
        <w:tc>
          <w:tcPr>
            <w:tcW w:w="0" w:type="auto"/>
            <w:shd w:val="clear" w:color="auto" w:fill="auto"/>
          </w:tcPr>
          <w:p w14:paraId="47D93C36" w14:textId="77777777" w:rsidR="004672DB" w:rsidRPr="00B85D62" w:rsidRDefault="004672DB" w:rsidP="004672DB">
            <w:r w:rsidRPr="00B85D62">
              <w:rPr>
                <w:rFonts w:eastAsia="Arial" w:cs="Arial"/>
                <w:sz w:val="18"/>
                <w:szCs w:val="18"/>
              </w:rPr>
              <w:t>[X]Cerebrovascular diseases</w:t>
            </w:r>
          </w:p>
        </w:tc>
      </w:tr>
      <w:tr w:rsidR="004672DB" w:rsidRPr="00B85D62" w14:paraId="45AF12F2" w14:textId="77777777" w:rsidTr="00B85D62">
        <w:trPr>
          <w:cantSplit/>
        </w:trPr>
        <w:tc>
          <w:tcPr>
            <w:tcW w:w="0" w:type="auto"/>
            <w:shd w:val="clear" w:color="auto" w:fill="auto"/>
          </w:tcPr>
          <w:p w14:paraId="1E44AD31" w14:textId="77777777" w:rsidR="004672DB" w:rsidRPr="00B85D62" w:rsidRDefault="004672DB" w:rsidP="004672DB">
            <w:r w:rsidRPr="00B85D62">
              <w:rPr>
                <w:rFonts w:eastAsia="Arial" w:cs="Arial"/>
                <w:sz w:val="18"/>
                <w:szCs w:val="18"/>
              </w:rPr>
              <w:t>91627</w:t>
            </w:r>
          </w:p>
        </w:tc>
        <w:tc>
          <w:tcPr>
            <w:tcW w:w="0" w:type="auto"/>
            <w:shd w:val="clear" w:color="auto" w:fill="auto"/>
          </w:tcPr>
          <w:p w14:paraId="4BB50026" w14:textId="77777777" w:rsidR="004672DB" w:rsidRPr="00B85D62" w:rsidRDefault="004672DB" w:rsidP="004672DB">
            <w:r w:rsidRPr="00B85D62">
              <w:rPr>
                <w:rFonts w:eastAsia="Arial" w:cs="Arial"/>
                <w:sz w:val="18"/>
                <w:szCs w:val="18"/>
              </w:rPr>
              <w:t>Gyu6300</w:t>
            </w:r>
          </w:p>
        </w:tc>
        <w:tc>
          <w:tcPr>
            <w:tcW w:w="0" w:type="auto"/>
            <w:shd w:val="clear" w:color="auto" w:fill="auto"/>
          </w:tcPr>
          <w:p w14:paraId="79D3995A" w14:textId="77777777" w:rsidR="004672DB" w:rsidRPr="00B85D62" w:rsidRDefault="004672DB" w:rsidP="004672DB">
            <w:r w:rsidRPr="00B85D62">
              <w:rPr>
                <w:rFonts w:eastAsia="Arial" w:cs="Arial"/>
                <w:sz w:val="18"/>
                <w:szCs w:val="18"/>
              </w:rPr>
              <w:t>[X]Cerebrl infarctn due/unspcf occlusn or sten/cerebrl artrs</w:t>
            </w:r>
          </w:p>
        </w:tc>
      </w:tr>
      <w:tr w:rsidR="004672DB" w:rsidRPr="00B85D62" w14:paraId="144D8CD8" w14:textId="77777777" w:rsidTr="00B85D62">
        <w:trPr>
          <w:cantSplit/>
        </w:trPr>
        <w:tc>
          <w:tcPr>
            <w:tcW w:w="0" w:type="auto"/>
            <w:shd w:val="clear" w:color="auto" w:fill="auto"/>
          </w:tcPr>
          <w:p w14:paraId="6876B47D" w14:textId="77777777" w:rsidR="004672DB" w:rsidRPr="00B85D62" w:rsidRDefault="004672DB" w:rsidP="004672DB">
            <w:r w:rsidRPr="00B85D62">
              <w:rPr>
                <w:rFonts w:eastAsia="Arial" w:cs="Arial"/>
                <w:sz w:val="18"/>
                <w:szCs w:val="18"/>
              </w:rPr>
              <w:t>92036</w:t>
            </w:r>
          </w:p>
        </w:tc>
        <w:tc>
          <w:tcPr>
            <w:tcW w:w="0" w:type="auto"/>
            <w:shd w:val="clear" w:color="auto" w:fill="auto"/>
          </w:tcPr>
          <w:p w14:paraId="2CF712CD" w14:textId="77777777" w:rsidR="004672DB" w:rsidRPr="00B85D62" w:rsidRDefault="004672DB" w:rsidP="004672DB">
            <w:r w:rsidRPr="00B85D62">
              <w:rPr>
                <w:rFonts w:eastAsia="Arial" w:cs="Arial"/>
                <w:sz w:val="18"/>
                <w:szCs w:val="18"/>
              </w:rPr>
              <w:t>Gyu6600</w:t>
            </w:r>
          </w:p>
        </w:tc>
        <w:tc>
          <w:tcPr>
            <w:tcW w:w="0" w:type="auto"/>
            <w:shd w:val="clear" w:color="auto" w:fill="auto"/>
          </w:tcPr>
          <w:p w14:paraId="1D9911D3" w14:textId="77777777" w:rsidR="004672DB" w:rsidRPr="00B85D62" w:rsidRDefault="004672DB" w:rsidP="004672DB">
            <w:r w:rsidRPr="00B85D62">
              <w:rPr>
                <w:rFonts w:eastAsia="Arial" w:cs="Arial"/>
                <w:sz w:val="18"/>
                <w:szCs w:val="18"/>
              </w:rPr>
              <w:t>[X]Occlusion and stenosis of other cerebral arteries</w:t>
            </w:r>
          </w:p>
        </w:tc>
      </w:tr>
      <w:tr w:rsidR="004672DB" w:rsidRPr="00B85D62" w14:paraId="2B59542B" w14:textId="77777777" w:rsidTr="00B85D62">
        <w:trPr>
          <w:cantSplit/>
        </w:trPr>
        <w:tc>
          <w:tcPr>
            <w:tcW w:w="0" w:type="auto"/>
            <w:shd w:val="clear" w:color="auto" w:fill="auto"/>
          </w:tcPr>
          <w:p w14:paraId="7E20EEFD" w14:textId="77777777" w:rsidR="004672DB" w:rsidRPr="00B85D62" w:rsidRDefault="004672DB" w:rsidP="004672DB">
            <w:r w:rsidRPr="00B85D62">
              <w:rPr>
                <w:rFonts w:eastAsia="Arial" w:cs="Arial"/>
                <w:sz w:val="18"/>
                <w:szCs w:val="18"/>
              </w:rPr>
              <w:t>94482</w:t>
            </w:r>
          </w:p>
        </w:tc>
        <w:tc>
          <w:tcPr>
            <w:tcW w:w="0" w:type="auto"/>
            <w:shd w:val="clear" w:color="auto" w:fill="auto"/>
          </w:tcPr>
          <w:p w14:paraId="507D6CC6" w14:textId="77777777" w:rsidR="004672DB" w:rsidRPr="00B85D62" w:rsidRDefault="004672DB" w:rsidP="004672DB">
            <w:r w:rsidRPr="00B85D62">
              <w:rPr>
                <w:rFonts w:eastAsia="Arial" w:cs="Arial"/>
                <w:sz w:val="18"/>
                <w:szCs w:val="18"/>
              </w:rPr>
              <w:t>Gyu6G00</w:t>
            </w:r>
          </w:p>
        </w:tc>
        <w:tc>
          <w:tcPr>
            <w:tcW w:w="0" w:type="auto"/>
            <w:shd w:val="clear" w:color="auto" w:fill="auto"/>
          </w:tcPr>
          <w:p w14:paraId="76C2D459" w14:textId="77777777" w:rsidR="004672DB" w:rsidRPr="00B85D62" w:rsidRDefault="004672DB" w:rsidP="004672DB">
            <w:r w:rsidRPr="00B85D62">
              <w:rPr>
                <w:rFonts w:eastAsia="Arial" w:cs="Arial"/>
                <w:sz w:val="18"/>
                <w:szCs w:val="18"/>
              </w:rPr>
              <w:t>[X]Cereb infarct due unsp occlus/stenos precerebr arteries</w:t>
            </w:r>
          </w:p>
        </w:tc>
      </w:tr>
      <w:tr w:rsidR="004672DB" w:rsidRPr="00B85D62" w14:paraId="388575A9" w14:textId="77777777" w:rsidTr="00B85D62">
        <w:trPr>
          <w:cantSplit/>
        </w:trPr>
        <w:tc>
          <w:tcPr>
            <w:tcW w:w="0" w:type="auto"/>
            <w:shd w:val="clear" w:color="auto" w:fill="auto"/>
          </w:tcPr>
          <w:p w14:paraId="1CFEB696" w14:textId="77777777" w:rsidR="004672DB" w:rsidRPr="00B85D62" w:rsidRDefault="004672DB" w:rsidP="004672DB">
            <w:r w:rsidRPr="00B85D62">
              <w:rPr>
                <w:rFonts w:eastAsia="Arial" w:cs="Arial"/>
                <w:sz w:val="18"/>
                <w:szCs w:val="18"/>
              </w:rPr>
              <w:t>98188</w:t>
            </w:r>
          </w:p>
        </w:tc>
        <w:tc>
          <w:tcPr>
            <w:tcW w:w="0" w:type="auto"/>
            <w:shd w:val="clear" w:color="auto" w:fill="auto"/>
          </w:tcPr>
          <w:p w14:paraId="72AF5E79" w14:textId="77777777" w:rsidR="004672DB" w:rsidRPr="00B85D62" w:rsidRDefault="004672DB" w:rsidP="004672DB">
            <w:r w:rsidRPr="00B85D62">
              <w:rPr>
                <w:rFonts w:eastAsia="Arial" w:cs="Arial"/>
                <w:sz w:val="18"/>
                <w:szCs w:val="18"/>
              </w:rPr>
              <w:t>G679.00</w:t>
            </w:r>
          </w:p>
        </w:tc>
        <w:tc>
          <w:tcPr>
            <w:tcW w:w="0" w:type="auto"/>
            <w:shd w:val="clear" w:color="auto" w:fill="auto"/>
          </w:tcPr>
          <w:p w14:paraId="4CC83AD2" w14:textId="77777777" w:rsidR="004672DB" w:rsidRPr="00B85D62" w:rsidRDefault="004672DB" w:rsidP="004672DB">
            <w:r w:rsidRPr="00B85D62">
              <w:rPr>
                <w:rFonts w:eastAsia="Arial" w:cs="Arial"/>
                <w:sz w:val="18"/>
                <w:szCs w:val="18"/>
              </w:rPr>
              <w:t>Small vessel cerebrovascular disease</w:t>
            </w:r>
          </w:p>
        </w:tc>
      </w:tr>
      <w:tr w:rsidR="004672DB" w:rsidRPr="00B85D62" w14:paraId="2C2C10DB" w14:textId="77777777" w:rsidTr="00B85D62">
        <w:trPr>
          <w:cantSplit/>
        </w:trPr>
        <w:tc>
          <w:tcPr>
            <w:tcW w:w="0" w:type="auto"/>
            <w:shd w:val="clear" w:color="auto" w:fill="auto"/>
          </w:tcPr>
          <w:p w14:paraId="72FFB965" w14:textId="77777777" w:rsidR="004672DB" w:rsidRPr="00B85D62" w:rsidRDefault="004672DB" w:rsidP="004672DB">
            <w:r w:rsidRPr="00B85D62">
              <w:rPr>
                <w:rFonts w:eastAsia="Arial" w:cs="Arial"/>
                <w:sz w:val="18"/>
                <w:szCs w:val="18"/>
              </w:rPr>
              <w:t>98642</w:t>
            </w:r>
          </w:p>
        </w:tc>
        <w:tc>
          <w:tcPr>
            <w:tcW w:w="0" w:type="auto"/>
            <w:shd w:val="clear" w:color="auto" w:fill="auto"/>
          </w:tcPr>
          <w:p w14:paraId="57785233" w14:textId="77777777" w:rsidR="004672DB" w:rsidRPr="00B85D62" w:rsidRDefault="004672DB" w:rsidP="004672DB">
            <w:r w:rsidRPr="00B85D62">
              <w:rPr>
                <w:rFonts w:eastAsia="Arial" w:cs="Arial"/>
                <w:sz w:val="18"/>
                <w:szCs w:val="18"/>
              </w:rPr>
              <w:t>G633.00</w:t>
            </w:r>
          </w:p>
        </w:tc>
        <w:tc>
          <w:tcPr>
            <w:tcW w:w="0" w:type="auto"/>
            <w:shd w:val="clear" w:color="auto" w:fill="auto"/>
          </w:tcPr>
          <w:p w14:paraId="3DF647C4" w14:textId="77777777" w:rsidR="004672DB" w:rsidRPr="00B85D62" w:rsidRDefault="004672DB" w:rsidP="004672DB">
            <w:r w:rsidRPr="00B85D62">
              <w:rPr>
                <w:rFonts w:eastAsia="Arial" w:cs="Arial"/>
                <w:sz w:val="18"/>
                <w:szCs w:val="18"/>
              </w:rPr>
              <w:t>Multiple and bilateral precerebral arterial occlusion</w:t>
            </w:r>
          </w:p>
        </w:tc>
      </w:tr>
      <w:tr w:rsidR="004672DB" w:rsidRPr="00B85D62" w14:paraId="6233E4C6" w14:textId="77777777" w:rsidTr="00B85D62">
        <w:trPr>
          <w:cantSplit/>
        </w:trPr>
        <w:tc>
          <w:tcPr>
            <w:tcW w:w="0" w:type="auto"/>
            <w:shd w:val="clear" w:color="auto" w:fill="auto"/>
          </w:tcPr>
          <w:p w14:paraId="318F758E" w14:textId="77777777" w:rsidR="004672DB" w:rsidRPr="00B85D62" w:rsidRDefault="004672DB" w:rsidP="004672DB">
            <w:r w:rsidRPr="00B85D62">
              <w:rPr>
                <w:rFonts w:eastAsia="Arial" w:cs="Arial"/>
                <w:sz w:val="18"/>
                <w:szCs w:val="18"/>
              </w:rPr>
              <w:t>110337</w:t>
            </w:r>
          </w:p>
        </w:tc>
        <w:tc>
          <w:tcPr>
            <w:tcW w:w="0" w:type="auto"/>
            <w:shd w:val="clear" w:color="auto" w:fill="auto"/>
          </w:tcPr>
          <w:p w14:paraId="679D93D0" w14:textId="77777777" w:rsidR="004672DB" w:rsidRPr="00B85D62" w:rsidRDefault="004672DB" w:rsidP="004672DB">
            <w:r w:rsidRPr="00B85D62">
              <w:rPr>
                <w:rFonts w:eastAsia="Arial" w:cs="Arial"/>
                <w:sz w:val="18"/>
                <w:szCs w:val="18"/>
              </w:rPr>
              <w:t>Gyu6C00</w:t>
            </w:r>
          </w:p>
        </w:tc>
        <w:tc>
          <w:tcPr>
            <w:tcW w:w="0" w:type="auto"/>
            <w:shd w:val="clear" w:color="auto" w:fill="auto"/>
          </w:tcPr>
          <w:p w14:paraId="233C7A7D" w14:textId="7EBF8A12" w:rsidR="004672DB" w:rsidRPr="00B85D62" w:rsidRDefault="004672DB" w:rsidP="004672DB">
            <w:r w:rsidRPr="00B85D62">
              <w:rPr>
                <w:rFonts w:eastAsia="Arial" w:cs="Arial"/>
                <w:sz w:val="18"/>
                <w:szCs w:val="18"/>
              </w:rPr>
              <w:t>[X]Sequelae of stroke,not specfd as h</w:t>
            </w:r>
            <w:r w:rsidR="00B85D62" w:rsidRPr="00B85D62">
              <w:rPr>
                <w:rFonts w:eastAsia="Arial" w:cs="Arial"/>
                <w:sz w:val="18"/>
                <w:szCs w:val="18"/>
              </w:rPr>
              <w:t>’</w:t>
            </w:r>
            <w:r w:rsidRPr="00B85D62">
              <w:rPr>
                <w:rFonts w:eastAsia="Arial" w:cs="Arial"/>
                <w:sz w:val="18"/>
                <w:szCs w:val="18"/>
              </w:rPr>
              <w:t>morrhage or infarction</w:t>
            </w:r>
          </w:p>
        </w:tc>
      </w:tr>
      <w:tr w:rsidR="004672DB" w:rsidRPr="00B85D62" w14:paraId="5C0316C5" w14:textId="77777777" w:rsidTr="00B85D62">
        <w:trPr>
          <w:cantSplit/>
        </w:trPr>
        <w:tc>
          <w:tcPr>
            <w:tcW w:w="0" w:type="auto"/>
            <w:shd w:val="clear" w:color="auto" w:fill="auto"/>
          </w:tcPr>
          <w:p w14:paraId="7BDC7830" w14:textId="77777777" w:rsidR="004672DB" w:rsidRPr="00B85D62" w:rsidRDefault="004672DB" w:rsidP="004672DB">
            <w:r w:rsidRPr="00B85D62">
              <w:rPr>
                <w:rFonts w:eastAsia="Arial" w:cs="Arial"/>
                <w:sz w:val="18"/>
                <w:szCs w:val="18"/>
              </w:rPr>
              <w:t>111096</w:t>
            </w:r>
          </w:p>
        </w:tc>
        <w:tc>
          <w:tcPr>
            <w:tcW w:w="0" w:type="auto"/>
            <w:shd w:val="clear" w:color="auto" w:fill="auto"/>
          </w:tcPr>
          <w:p w14:paraId="53FBB7BB" w14:textId="77777777" w:rsidR="004672DB" w:rsidRPr="00B85D62" w:rsidRDefault="004672DB" w:rsidP="004672DB">
            <w:r w:rsidRPr="00B85D62">
              <w:rPr>
                <w:rFonts w:eastAsia="Arial" w:cs="Arial"/>
                <w:sz w:val="18"/>
                <w:szCs w:val="18"/>
              </w:rPr>
              <w:t>Gyu6700</w:t>
            </w:r>
          </w:p>
        </w:tc>
        <w:tc>
          <w:tcPr>
            <w:tcW w:w="0" w:type="auto"/>
            <w:shd w:val="clear" w:color="auto" w:fill="auto"/>
          </w:tcPr>
          <w:p w14:paraId="7AC46928" w14:textId="77777777" w:rsidR="004672DB" w:rsidRPr="00B85D62" w:rsidRDefault="004672DB" w:rsidP="004672DB">
            <w:r w:rsidRPr="00B85D62">
              <w:rPr>
                <w:rFonts w:eastAsia="Arial" w:cs="Arial"/>
                <w:sz w:val="18"/>
                <w:szCs w:val="18"/>
              </w:rPr>
              <w:t>[X]Other specified cerebrovascular diseases</w:t>
            </w:r>
          </w:p>
        </w:tc>
      </w:tr>
    </w:tbl>
    <w:p w14:paraId="22C10E20" w14:textId="77777777" w:rsidR="00B85D62" w:rsidRPr="00B85D62" w:rsidRDefault="00B85D62" w:rsidP="004672DB">
      <w:pPr>
        <w:spacing w:line="257" w:lineRule="auto"/>
        <w:rPr>
          <w:rFonts w:eastAsia="Arial" w:cs="Arial"/>
        </w:rPr>
      </w:pPr>
    </w:p>
    <w:p w14:paraId="753C8CD9" w14:textId="0BF49492" w:rsidR="00265E6C" w:rsidRPr="00B85D62" w:rsidRDefault="00265E6C" w:rsidP="00E06F79">
      <w:pPr>
        <w:pStyle w:val="EndNoteBibliography"/>
        <w:spacing w:after="0"/>
        <w:rPr>
          <w:rFonts w:cs="Arial"/>
        </w:rPr>
      </w:pPr>
    </w:p>
    <w:sectPr w:rsidR="00265E6C" w:rsidRPr="00B85D62" w:rsidSect="003F50F5">
      <w:type w:val="continuous"/>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Rachel Davies-Coleman" w:date="2022-07-07T17:53:00Z" w:initials="RDC">
    <w:p w14:paraId="290FA828" w14:textId="77777777" w:rsidR="00040D85" w:rsidRDefault="00040D85">
      <w:pPr>
        <w:pStyle w:val="CommentText"/>
      </w:pPr>
      <w:r>
        <w:rPr>
          <w:rStyle w:val="CommentReference"/>
        </w:rPr>
        <w:annotationRef/>
      </w:r>
      <w:r>
        <w:t>Is permission needed to reproduce Figure 2 Proportion of relatives tested out of those contacted for FH cascade testing by cascade approach ES=Effect Size; Reference for Figure 2: Marteau 2004, Marks 2006 and Hadfield 2009 42, 45, 46</w:t>
      </w:r>
    </w:p>
    <w:p w14:paraId="26429DD8" w14:textId="5CB063B9" w:rsidR="00040D85" w:rsidRDefault="00040D85">
      <w:pPr>
        <w:pStyle w:val="CommentText"/>
      </w:pPr>
      <w:r>
        <w:t>? If so, then please seek permission from the copyright holder and provide us with a copy of the full permission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429D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19C25" w16cex:dateUtc="2022-07-07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29DD8" w16cid:durableId="26719C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8460C" w14:textId="77777777" w:rsidR="00BE1DEA" w:rsidRDefault="00BE1DEA" w:rsidP="00706AEE">
      <w:r>
        <w:separator/>
      </w:r>
    </w:p>
  </w:endnote>
  <w:endnote w:type="continuationSeparator" w:id="0">
    <w:p w14:paraId="1E8F654F" w14:textId="77777777" w:rsidR="00BE1DEA" w:rsidRDefault="00BE1DEA" w:rsidP="00706AEE">
      <w:r>
        <w:continuationSeparator/>
      </w:r>
    </w:p>
  </w:endnote>
  <w:endnote w:type="continuationNotice" w:id="1">
    <w:p w14:paraId="4EEE9B87" w14:textId="77777777" w:rsidR="00BE1DEA" w:rsidRDefault="00BE1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慭楴慣汬呹慲正䑳灥湥敤据敩佳坮湩潤呷瑩敬慢䱲祡畯"/>
    <w:panose1 w:val="00000500000000020000"/>
    <w:charset w:val="00"/>
    <w:family w:val="auto"/>
    <w:pitch w:val="variable"/>
    <w:sig w:usb0="E00002FF" w:usb1="5000205A" w:usb2="00000000" w:usb3="00000000" w:csb0="0000019F" w:csb1="00000000"/>
  </w:font>
  <w:font w:name="Consolas">
    <w:panose1 w:val="020B0609020204030204"/>
    <w:charset w:val="00"/>
    <w:family w:val="modern"/>
    <w:pitch w:val="fixed"/>
    <w:sig w:usb0="E10006FF" w:usb1="4000FCFF" w:usb2="00000009"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cprd">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1ABA" w14:textId="77777777" w:rsidR="00BE1DEA" w:rsidRDefault="00BE1DEA" w:rsidP="00706AEE">
      <w:r>
        <w:separator/>
      </w:r>
    </w:p>
  </w:footnote>
  <w:footnote w:type="continuationSeparator" w:id="0">
    <w:p w14:paraId="2DBF3959" w14:textId="77777777" w:rsidR="00BE1DEA" w:rsidRDefault="00BE1DEA" w:rsidP="00706AEE">
      <w:r>
        <w:continuationSeparator/>
      </w:r>
    </w:p>
  </w:footnote>
  <w:footnote w:type="continuationNotice" w:id="1">
    <w:p w14:paraId="7188CD59" w14:textId="77777777" w:rsidR="00BE1DEA" w:rsidRDefault="00BE1D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55A9"/>
    <w:multiLevelType w:val="hybridMultilevel"/>
    <w:tmpl w:val="FFFFFFFF"/>
    <w:lvl w:ilvl="0" w:tplc="DBBC7F3C">
      <w:start w:val="1"/>
      <w:numFmt w:val="bullet"/>
      <w:lvlText w:val=""/>
      <w:lvlJc w:val="left"/>
      <w:pPr>
        <w:ind w:left="720" w:hanging="360"/>
      </w:pPr>
      <w:rPr>
        <w:rFonts w:ascii="Symbol" w:hAnsi="Symbol" w:hint="default"/>
      </w:rPr>
    </w:lvl>
    <w:lvl w:ilvl="1" w:tplc="938858F2">
      <w:start w:val="1"/>
      <w:numFmt w:val="bullet"/>
      <w:lvlText w:val="o"/>
      <w:lvlJc w:val="left"/>
      <w:pPr>
        <w:ind w:left="1440" w:hanging="360"/>
      </w:pPr>
      <w:rPr>
        <w:rFonts w:ascii="Courier New" w:hAnsi="Courier New" w:hint="default"/>
      </w:rPr>
    </w:lvl>
    <w:lvl w:ilvl="2" w:tplc="A23ED014">
      <w:start w:val="1"/>
      <w:numFmt w:val="bullet"/>
      <w:lvlText w:val=""/>
      <w:lvlJc w:val="left"/>
      <w:pPr>
        <w:ind w:left="2160" w:hanging="360"/>
      </w:pPr>
      <w:rPr>
        <w:rFonts w:ascii="Wingdings" w:hAnsi="Wingdings" w:hint="default"/>
      </w:rPr>
    </w:lvl>
    <w:lvl w:ilvl="3" w:tplc="44109E7A">
      <w:start w:val="1"/>
      <w:numFmt w:val="bullet"/>
      <w:lvlText w:val=""/>
      <w:lvlJc w:val="left"/>
      <w:pPr>
        <w:ind w:left="2880" w:hanging="360"/>
      </w:pPr>
      <w:rPr>
        <w:rFonts w:ascii="Symbol" w:hAnsi="Symbol" w:hint="default"/>
      </w:rPr>
    </w:lvl>
    <w:lvl w:ilvl="4" w:tplc="4E3E3666">
      <w:start w:val="1"/>
      <w:numFmt w:val="bullet"/>
      <w:lvlText w:val="o"/>
      <w:lvlJc w:val="left"/>
      <w:pPr>
        <w:ind w:left="3600" w:hanging="360"/>
      </w:pPr>
      <w:rPr>
        <w:rFonts w:ascii="Courier New" w:hAnsi="Courier New" w:hint="default"/>
      </w:rPr>
    </w:lvl>
    <w:lvl w:ilvl="5" w:tplc="4B520984">
      <w:start w:val="1"/>
      <w:numFmt w:val="bullet"/>
      <w:lvlText w:val=""/>
      <w:lvlJc w:val="left"/>
      <w:pPr>
        <w:ind w:left="4320" w:hanging="360"/>
      </w:pPr>
      <w:rPr>
        <w:rFonts w:ascii="Wingdings" w:hAnsi="Wingdings" w:hint="default"/>
      </w:rPr>
    </w:lvl>
    <w:lvl w:ilvl="6" w:tplc="6B8A1924">
      <w:start w:val="1"/>
      <w:numFmt w:val="bullet"/>
      <w:lvlText w:val=""/>
      <w:lvlJc w:val="left"/>
      <w:pPr>
        <w:ind w:left="5040" w:hanging="360"/>
      </w:pPr>
      <w:rPr>
        <w:rFonts w:ascii="Symbol" w:hAnsi="Symbol" w:hint="default"/>
      </w:rPr>
    </w:lvl>
    <w:lvl w:ilvl="7" w:tplc="EF4821CC">
      <w:start w:val="1"/>
      <w:numFmt w:val="bullet"/>
      <w:lvlText w:val="o"/>
      <w:lvlJc w:val="left"/>
      <w:pPr>
        <w:ind w:left="5760" w:hanging="360"/>
      </w:pPr>
      <w:rPr>
        <w:rFonts w:ascii="Courier New" w:hAnsi="Courier New" w:hint="default"/>
      </w:rPr>
    </w:lvl>
    <w:lvl w:ilvl="8" w:tplc="108ABCE6">
      <w:start w:val="1"/>
      <w:numFmt w:val="bullet"/>
      <w:lvlText w:val=""/>
      <w:lvlJc w:val="left"/>
      <w:pPr>
        <w:ind w:left="6480" w:hanging="360"/>
      </w:pPr>
      <w:rPr>
        <w:rFonts w:ascii="Wingdings" w:hAnsi="Wingdings" w:hint="default"/>
      </w:rPr>
    </w:lvl>
  </w:abstractNum>
  <w:abstractNum w:abstractNumId="1" w15:restartNumberingAfterBreak="0">
    <w:nsid w:val="07656FCA"/>
    <w:multiLevelType w:val="hybridMultilevel"/>
    <w:tmpl w:val="D676FA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A96492"/>
    <w:multiLevelType w:val="hybridMultilevel"/>
    <w:tmpl w:val="196E0E4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0A04FE"/>
    <w:multiLevelType w:val="multilevel"/>
    <w:tmpl w:val="CD5E454E"/>
    <w:lvl w:ilvl="0">
      <w:start w:val="1"/>
      <w:numFmt w:val="decimal"/>
      <w:pStyle w:val="Heading1"/>
      <w:lvlText w:val="%1"/>
      <w:lvlJc w:val="left"/>
      <w:pPr>
        <w:ind w:left="1008"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40" w:hanging="864"/>
      </w:pPr>
    </w:lvl>
    <w:lvl w:ilvl="4">
      <w:start w:val="1"/>
      <w:numFmt w:val="decimal"/>
      <w:pStyle w:val="Heading5"/>
      <w:lvlText w:val="%1.%2.%3.%4.%5"/>
      <w:lvlJc w:val="left"/>
      <w:pPr>
        <w:ind w:left="1584" w:hanging="1008"/>
      </w:pPr>
    </w:lvl>
    <w:lvl w:ilvl="5">
      <w:start w:val="1"/>
      <w:numFmt w:val="decimal"/>
      <w:pStyle w:val="Heading6"/>
      <w:lvlText w:val="%1.%2.%3.%4.%5.%6"/>
      <w:lvlJc w:val="left"/>
      <w:pPr>
        <w:ind w:left="1728" w:hanging="1152"/>
      </w:pPr>
    </w:lvl>
    <w:lvl w:ilvl="6">
      <w:start w:val="1"/>
      <w:numFmt w:val="decimal"/>
      <w:pStyle w:val="Heading7"/>
      <w:lvlText w:val="%1.%2.%3.%4.%5.%6.%7"/>
      <w:lvlJc w:val="left"/>
      <w:pPr>
        <w:ind w:left="1872" w:hanging="1296"/>
      </w:pPr>
    </w:lvl>
    <w:lvl w:ilvl="7">
      <w:start w:val="1"/>
      <w:numFmt w:val="decimal"/>
      <w:pStyle w:val="Heading8"/>
      <w:lvlText w:val="%1.%2.%3.%4.%5.%6.%7.%8"/>
      <w:lvlJc w:val="left"/>
      <w:pPr>
        <w:ind w:left="2016" w:hanging="1440"/>
      </w:pPr>
    </w:lvl>
    <w:lvl w:ilvl="8">
      <w:start w:val="1"/>
      <w:numFmt w:val="decimal"/>
      <w:pStyle w:val="Heading9"/>
      <w:lvlText w:val="%1.%2.%3.%4.%5.%6.%7.%8.%9"/>
      <w:lvlJc w:val="left"/>
      <w:pPr>
        <w:ind w:left="2160" w:hanging="1584"/>
      </w:pPr>
    </w:lvl>
  </w:abstractNum>
  <w:abstractNum w:abstractNumId="4" w15:restartNumberingAfterBreak="0">
    <w:nsid w:val="152C5A7B"/>
    <w:multiLevelType w:val="hybridMultilevel"/>
    <w:tmpl w:val="8A508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670F20"/>
    <w:multiLevelType w:val="multilevel"/>
    <w:tmpl w:val="BDDE6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A166EDD"/>
    <w:multiLevelType w:val="hybridMultilevel"/>
    <w:tmpl w:val="FFFFFFFF"/>
    <w:lvl w:ilvl="0" w:tplc="A3B86B52">
      <w:start w:val="70"/>
      <w:numFmt w:val="decimal"/>
      <w:lvlText w:val="%1"/>
      <w:lvlJc w:val="left"/>
      <w:pPr>
        <w:ind w:left="720" w:hanging="360"/>
      </w:pPr>
    </w:lvl>
    <w:lvl w:ilvl="1" w:tplc="BCEC2640">
      <w:start w:val="1"/>
      <w:numFmt w:val="lowerLetter"/>
      <w:lvlText w:val="%2."/>
      <w:lvlJc w:val="left"/>
      <w:pPr>
        <w:ind w:left="1440" w:hanging="360"/>
      </w:pPr>
    </w:lvl>
    <w:lvl w:ilvl="2" w:tplc="EDC090A0">
      <w:start w:val="1"/>
      <w:numFmt w:val="lowerRoman"/>
      <w:lvlText w:val="%3."/>
      <w:lvlJc w:val="right"/>
      <w:pPr>
        <w:ind w:left="2160" w:hanging="180"/>
      </w:pPr>
    </w:lvl>
    <w:lvl w:ilvl="3" w:tplc="B09E4CC4">
      <w:start w:val="1"/>
      <w:numFmt w:val="decimal"/>
      <w:lvlText w:val="%4."/>
      <w:lvlJc w:val="left"/>
      <w:pPr>
        <w:ind w:left="2880" w:hanging="360"/>
      </w:pPr>
    </w:lvl>
    <w:lvl w:ilvl="4" w:tplc="5D0626E0">
      <w:start w:val="1"/>
      <w:numFmt w:val="lowerLetter"/>
      <w:lvlText w:val="%5."/>
      <w:lvlJc w:val="left"/>
      <w:pPr>
        <w:ind w:left="3600" w:hanging="360"/>
      </w:pPr>
    </w:lvl>
    <w:lvl w:ilvl="5" w:tplc="CC8256E4">
      <w:start w:val="1"/>
      <w:numFmt w:val="lowerRoman"/>
      <w:lvlText w:val="%6."/>
      <w:lvlJc w:val="right"/>
      <w:pPr>
        <w:ind w:left="4320" w:hanging="180"/>
      </w:pPr>
    </w:lvl>
    <w:lvl w:ilvl="6" w:tplc="CD84B95C">
      <w:start w:val="1"/>
      <w:numFmt w:val="decimal"/>
      <w:lvlText w:val="%7."/>
      <w:lvlJc w:val="left"/>
      <w:pPr>
        <w:ind w:left="5040" w:hanging="360"/>
      </w:pPr>
    </w:lvl>
    <w:lvl w:ilvl="7" w:tplc="6EEA957C">
      <w:start w:val="1"/>
      <w:numFmt w:val="lowerLetter"/>
      <w:lvlText w:val="%8."/>
      <w:lvlJc w:val="left"/>
      <w:pPr>
        <w:ind w:left="5760" w:hanging="360"/>
      </w:pPr>
    </w:lvl>
    <w:lvl w:ilvl="8" w:tplc="3B9C2B76">
      <w:start w:val="1"/>
      <w:numFmt w:val="lowerRoman"/>
      <w:lvlText w:val="%9."/>
      <w:lvlJc w:val="right"/>
      <w:pPr>
        <w:ind w:left="6480" w:hanging="180"/>
      </w:pPr>
    </w:lvl>
  </w:abstractNum>
  <w:abstractNum w:abstractNumId="7" w15:restartNumberingAfterBreak="0">
    <w:nsid w:val="1BC61ECD"/>
    <w:multiLevelType w:val="hybridMultilevel"/>
    <w:tmpl w:val="5120931A"/>
    <w:lvl w:ilvl="0" w:tplc="A67A42DC">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CB8010C"/>
    <w:multiLevelType w:val="hybridMultilevel"/>
    <w:tmpl w:val="ADAADD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E3D4FA0"/>
    <w:multiLevelType w:val="hybridMultilevel"/>
    <w:tmpl w:val="FFFFFFFF"/>
    <w:lvl w:ilvl="0" w:tplc="04B2A482">
      <w:start w:val="1"/>
      <w:numFmt w:val="lowerRoman"/>
      <w:lvlText w:val="%1."/>
      <w:lvlJc w:val="right"/>
      <w:pPr>
        <w:ind w:left="720" w:hanging="360"/>
      </w:pPr>
    </w:lvl>
    <w:lvl w:ilvl="1" w:tplc="AC40BFBA">
      <w:start w:val="1"/>
      <w:numFmt w:val="lowerLetter"/>
      <w:lvlText w:val="%2."/>
      <w:lvlJc w:val="left"/>
      <w:pPr>
        <w:ind w:left="1440" w:hanging="360"/>
      </w:pPr>
    </w:lvl>
    <w:lvl w:ilvl="2" w:tplc="EDD82FAC">
      <w:start w:val="1"/>
      <w:numFmt w:val="lowerRoman"/>
      <w:lvlText w:val="%3."/>
      <w:lvlJc w:val="right"/>
      <w:pPr>
        <w:ind w:left="2160" w:hanging="180"/>
      </w:pPr>
    </w:lvl>
    <w:lvl w:ilvl="3" w:tplc="4F84F802">
      <w:start w:val="1"/>
      <w:numFmt w:val="decimal"/>
      <w:lvlText w:val="%4."/>
      <w:lvlJc w:val="left"/>
      <w:pPr>
        <w:ind w:left="2880" w:hanging="360"/>
      </w:pPr>
    </w:lvl>
    <w:lvl w:ilvl="4" w:tplc="09D6B34A">
      <w:start w:val="1"/>
      <w:numFmt w:val="lowerLetter"/>
      <w:lvlText w:val="%5."/>
      <w:lvlJc w:val="left"/>
      <w:pPr>
        <w:ind w:left="3600" w:hanging="360"/>
      </w:pPr>
    </w:lvl>
    <w:lvl w:ilvl="5" w:tplc="A6E42B94">
      <w:start w:val="1"/>
      <w:numFmt w:val="lowerRoman"/>
      <w:lvlText w:val="%6."/>
      <w:lvlJc w:val="right"/>
      <w:pPr>
        <w:ind w:left="4320" w:hanging="180"/>
      </w:pPr>
    </w:lvl>
    <w:lvl w:ilvl="6" w:tplc="3662A61E">
      <w:start w:val="1"/>
      <w:numFmt w:val="decimal"/>
      <w:lvlText w:val="%7."/>
      <w:lvlJc w:val="left"/>
      <w:pPr>
        <w:ind w:left="5040" w:hanging="360"/>
      </w:pPr>
    </w:lvl>
    <w:lvl w:ilvl="7" w:tplc="761C9410">
      <w:start w:val="1"/>
      <w:numFmt w:val="lowerLetter"/>
      <w:lvlText w:val="%8."/>
      <w:lvlJc w:val="left"/>
      <w:pPr>
        <w:ind w:left="5760" w:hanging="360"/>
      </w:pPr>
    </w:lvl>
    <w:lvl w:ilvl="8" w:tplc="93886EFE">
      <w:start w:val="1"/>
      <w:numFmt w:val="lowerRoman"/>
      <w:lvlText w:val="%9."/>
      <w:lvlJc w:val="right"/>
      <w:pPr>
        <w:ind w:left="6480" w:hanging="180"/>
      </w:pPr>
    </w:lvl>
  </w:abstractNum>
  <w:abstractNum w:abstractNumId="10" w15:restartNumberingAfterBreak="0">
    <w:nsid w:val="1EA1327C"/>
    <w:multiLevelType w:val="hybridMultilevel"/>
    <w:tmpl w:val="C2FAA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F4C9D"/>
    <w:multiLevelType w:val="hybridMultilevel"/>
    <w:tmpl w:val="FFFFFFFF"/>
    <w:lvl w:ilvl="0" w:tplc="FFFFFFFF">
      <w:start w:val="1"/>
      <w:numFmt w:val="bullet"/>
      <w:lvlText w:val=""/>
      <w:lvlJc w:val="left"/>
      <w:pPr>
        <w:ind w:left="720" w:hanging="360"/>
      </w:pPr>
      <w:rPr>
        <w:rFonts w:ascii="Symbol" w:hAnsi="Symbol" w:hint="default"/>
      </w:rPr>
    </w:lvl>
    <w:lvl w:ilvl="1" w:tplc="AF2472D4">
      <w:start w:val="1"/>
      <w:numFmt w:val="bullet"/>
      <w:lvlText w:val="o"/>
      <w:lvlJc w:val="left"/>
      <w:pPr>
        <w:ind w:left="1440" w:hanging="360"/>
      </w:pPr>
      <w:rPr>
        <w:rFonts w:ascii="Courier New" w:hAnsi="Courier New" w:hint="default"/>
      </w:rPr>
    </w:lvl>
    <w:lvl w:ilvl="2" w:tplc="B64C2828">
      <w:start w:val="1"/>
      <w:numFmt w:val="bullet"/>
      <w:lvlText w:val=""/>
      <w:lvlJc w:val="left"/>
      <w:pPr>
        <w:ind w:left="2160" w:hanging="360"/>
      </w:pPr>
      <w:rPr>
        <w:rFonts w:ascii="Wingdings" w:hAnsi="Wingdings" w:hint="default"/>
      </w:rPr>
    </w:lvl>
    <w:lvl w:ilvl="3" w:tplc="00FC25BC">
      <w:start w:val="1"/>
      <w:numFmt w:val="bullet"/>
      <w:lvlText w:val=""/>
      <w:lvlJc w:val="left"/>
      <w:pPr>
        <w:ind w:left="2880" w:hanging="360"/>
      </w:pPr>
      <w:rPr>
        <w:rFonts w:ascii="Symbol" w:hAnsi="Symbol" w:hint="default"/>
      </w:rPr>
    </w:lvl>
    <w:lvl w:ilvl="4" w:tplc="E7929166">
      <w:start w:val="1"/>
      <w:numFmt w:val="bullet"/>
      <w:lvlText w:val="o"/>
      <w:lvlJc w:val="left"/>
      <w:pPr>
        <w:ind w:left="3600" w:hanging="360"/>
      </w:pPr>
      <w:rPr>
        <w:rFonts w:ascii="Courier New" w:hAnsi="Courier New" w:hint="default"/>
      </w:rPr>
    </w:lvl>
    <w:lvl w:ilvl="5" w:tplc="7BF4B376">
      <w:start w:val="1"/>
      <w:numFmt w:val="bullet"/>
      <w:lvlText w:val=""/>
      <w:lvlJc w:val="left"/>
      <w:pPr>
        <w:ind w:left="4320" w:hanging="360"/>
      </w:pPr>
      <w:rPr>
        <w:rFonts w:ascii="Wingdings" w:hAnsi="Wingdings" w:hint="default"/>
      </w:rPr>
    </w:lvl>
    <w:lvl w:ilvl="6" w:tplc="44D2B8C6">
      <w:start w:val="1"/>
      <w:numFmt w:val="bullet"/>
      <w:lvlText w:val=""/>
      <w:lvlJc w:val="left"/>
      <w:pPr>
        <w:ind w:left="5040" w:hanging="360"/>
      </w:pPr>
      <w:rPr>
        <w:rFonts w:ascii="Symbol" w:hAnsi="Symbol" w:hint="default"/>
      </w:rPr>
    </w:lvl>
    <w:lvl w:ilvl="7" w:tplc="00FC118C">
      <w:start w:val="1"/>
      <w:numFmt w:val="bullet"/>
      <w:lvlText w:val="o"/>
      <w:lvlJc w:val="left"/>
      <w:pPr>
        <w:ind w:left="5760" w:hanging="360"/>
      </w:pPr>
      <w:rPr>
        <w:rFonts w:ascii="Courier New" w:hAnsi="Courier New" w:hint="default"/>
      </w:rPr>
    </w:lvl>
    <w:lvl w:ilvl="8" w:tplc="77B8311C">
      <w:start w:val="1"/>
      <w:numFmt w:val="bullet"/>
      <w:lvlText w:val=""/>
      <w:lvlJc w:val="left"/>
      <w:pPr>
        <w:ind w:left="6480" w:hanging="360"/>
      </w:pPr>
      <w:rPr>
        <w:rFonts w:ascii="Wingdings" w:hAnsi="Wingdings" w:hint="default"/>
      </w:rPr>
    </w:lvl>
  </w:abstractNum>
  <w:abstractNum w:abstractNumId="12" w15:restartNumberingAfterBreak="0">
    <w:nsid w:val="2CBD146D"/>
    <w:multiLevelType w:val="hybridMultilevel"/>
    <w:tmpl w:val="64D47506"/>
    <w:lvl w:ilvl="0" w:tplc="CF58F994">
      <w:start w:val="1"/>
      <w:numFmt w:val="bullet"/>
      <w:lvlText w:val=""/>
      <w:lvlJc w:val="left"/>
      <w:pPr>
        <w:ind w:left="366" w:hanging="366"/>
      </w:pPr>
      <w:rPr>
        <w:rFonts w:ascii="Wingdings" w:hAnsi="Wingdings" w:hint="default"/>
      </w:rPr>
    </w:lvl>
    <w:lvl w:ilvl="1" w:tplc="08090003" w:tentative="1">
      <w:start w:val="1"/>
      <w:numFmt w:val="bullet"/>
      <w:lvlText w:val="o"/>
      <w:lvlJc w:val="left"/>
      <w:pPr>
        <w:ind w:left="1086" w:hanging="360"/>
      </w:pPr>
      <w:rPr>
        <w:rFonts w:ascii="Courier New" w:hAnsi="Courier New" w:hint="default"/>
      </w:rPr>
    </w:lvl>
    <w:lvl w:ilvl="2" w:tplc="08090005" w:tentative="1">
      <w:start w:val="1"/>
      <w:numFmt w:val="bullet"/>
      <w:lvlText w:val=""/>
      <w:lvlJc w:val="left"/>
      <w:pPr>
        <w:ind w:left="1806" w:hanging="360"/>
      </w:pPr>
      <w:rPr>
        <w:rFonts w:ascii="Wingdings" w:hAnsi="Wingdings" w:hint="default"/>
      </w:rPr>
    </w:lvl>
    <w:lvl w:ilvl="3" w:tplc="08090001" w:tentative="1">
      <w:start w:val="1"/>
      <w:numFmt w:val="bullet"/>
      <w:lvlText w:val=""/>
      <w:lvlJc w:val="left"/>
      <w:pPr>
        <w:ind w:left="2526" w:hanging="360"/>
      </w:pPr>
      <w:rPr>
        <w:rFonts w:ascii="Symbol" w:hAnsi="Symbol" w:hint="default"/>
      </w:rPr>
    </w:lvl>
    <w:lvl w:ilvl="4" w:tplc="08090003" w:tentative="1">
      <w:start w:val="1"/>
      <w:numFmt w:val="bullet"/>
      <w:lvlText w:val="o"/>
      <w:lvlJc w:val="left"/>
      <w:pPr>
        <w:ind w:left="3246" w:hanging="360"/>
      </w:pPr>
      <w:rPr>
        <w:rFonts w:ascii="Courier New" w:hAnsi="Courier New" w:hint="default"/>
      </w:rPr>
    </w:lvl>
    <w:lvl w:ilvl="5" w:tplc="08090005" w:tentative="1">
      <w:start w:val="1"/>
      <w:numFmt w:val="bullet"/>
      <w:lvlText w:val=""/>
      <w:lvlJc w:val="left"/>
      <w:pPr>
        <w:ind w:left="3966" w:hanging="360"/>
      </w:pPr>
      <w:rPr>
        <w:rFonts w:ascii="Wingdings" w:hAnsi="Wingdings" w:hint="default"/>
      </w:rPr>
    </w:lvl>
    <w:lvl w:ilvl="6" w:tplc="08090001" w:tentative="1">
      <w:start w:val="1"/>
      <w:numFmt w:val="bullet"/>
      <w:lvlText w:val=""/>
      <w:lvlJc w:val="left"/>
      <w:pPr>
        <w:ind w:left="4686" w:hanging="360"/>
      </w:pPr>
      <w:rPr>
        <w:rFonts w:ascii="Symbol" w:hAnsi="Symbol" w:hint="default"/>
      </w:rPr>
    </w:lvl>
    <w:lvl w:ilvl="7" w:tplc="08090003" w:tentative="1">
      <w:start w:val="1"/>
      <w:numFmt w:val="bullet"/>
      <w:lvlText w:val="o"/>
      <w:lvlJc w:val="left"/>
      <w:pPr>
        <w:ind w:left="5406" w:hanging="360"/>
      </w:pPr>
      <w:rPr>
        <w:rFonts w:ascii="Courier New" w:hAnsi="Courier New" w:hint="default"/>
      </w:rPr>
    </w:lvl>
    <w:lvl w:ilvl="8" w:tplc="08090005" w:tentative="1">
      <w:start w:val="1"/>
      <w:numFmt w:val="bullet"/>
      <w:lvlText w:val=""/>
      <w:lvlJc w:val="left"/>
      <w:pPr>
        <w:ind w:left="6126" w:hanging="360"/>
      </w:pPr>
      <w:rPr>
        <w:rFonts w:ascii="Wingdings" w:hAnsi="Wingdings" w:hint="default"/>
      </w:rPr>
    </w:lvl>
  </w:abstractNum>
  <w:abstractNum w:abstractNumId="13" w15:restartNumberingAfterBreak="0">
    <w:nsid w:val="2F2A2555"/>
    <w:multiLevelType w:val="hybridMultilevel"/>
    <w:tmpl w:val="FFFFFFFF"/>
    <w:lvl w:ilvl="0" w:tplc="B0AE825E">
      <w:start w:val="1"/>
      <w:numFmt w:val="decimal"/>
      <w:lvlText w:val="%1."/>
      <w:lvlJc w:val="left"/>
      <w:pPr>
        <w:ind w:left="720" w:hanging="360"/>
      </w:pPr>
    </w:lvl>
    <w:lvl w:ilvl="1" w:tplc="AFE4720A">
      <w:start w:val="1"/>
      <w:numFmt w:val="lowerLetter"/>
      <w:lvlText w:val="%2."/>
      <w:lvlJc w:val="left"/>
      <w:pPr>
        <w:ind w:left="1440" w:hanging="360"/>
      </w:pPr>
    </w:lvl>
    <w:lvl w:ilvl="2" w:tplc="4D729674">
      <w:start w:val="1"/>
      <w:numFmt w:val="lowerRoman"/>
      <w:lvlText w:val="%3."/>
      <w:lvlJc w:val="right"/>
      <w:pPr>
        <w:ind w:left="2160" w:hanging="180"/>
      </w:pPr>
    </w:lvl>
    <w:lvl w:ilvl="3" w:tplc="6A523A16">
      <w:start w:val="1"/>
      <w:numFmt w:val="decimal"/>
      <w:lvlText w:val="%4."/>
      <w:lvlJc w:val="left"/>
      <w:pPr>
        <w:ind w:left="2880" w:hanging="360"/>
      </w:pPr>
    </w:lvl>
    <w:lvl w:ilvl="4" w:tplc="E5907D82">
      <w:start w:val="1"/>
      <w:numFmt w:val="lowerLetter"/>
      <w:lvlText w:val="%5."/>
      <w:lvlJc w:val="left"/>
      <w:pPr>
        <w:ind w:left="3600" w:hanging="360"/>
      </w:pPr>
    </w:lvl>
    <w:lvl w:ilvl="5" w:tplc="4AD2DCF8">
      <w:start w:val="1"/>
      <w:numFmt w:val="lowerRoman"/>
      <w:lvlText w:val="%6."/>
      <w:lvlJc w:val="right"/>
      <w:pPr>
        <w:ind w:left="4320" w:hanging="180"/>
      </w:pPr>
    </w:lvl>
    <w:lvl w:ilvl="6" w:tplc="9042A3A8">
      <w:start w:val="1"/>
      <w:numFmt w:val="decimal"/>
      <w:lvlText w:val="%7."/>
      <w:lvlJc w:val="left"/>
      <w:pPr>
        <w:ind w:left="5040" w:hanging="360"/>
      </w:pPr>
    </w:lvl>
    <w:lvl w:ilvl="7" w:tplc="091CFC5A">
      <w:start w:val="1"/>
      <w:numFmt w:val="lowerLetter"/>
      <w:lvlText w:val="%8."/>
      <w:lvlJc w:val="left"/>
      <w:pPr>
        <w:ind w:left="5760" w:hanging="360"/>
      </w:pPr>
    </w:lvl>
    <w:lvl w:ilvl="8" w:tplc="9A80B86E">
      <w:start w:val="1"/>
      <w:numFmt w:val="lowerRoman"/>
      <w:lvlText w:val="%9."/>
      <w:lvlJc w:val="right"/>
      <w:pPr>
        <w:ind w:left="6480" w:hanging="180"/>
      </w:pPr>
    </w:lvl>
  </w:abstractNum>
  <w:abstractNum w:abstractNumId="14" w15:restartNumberingAfterBreak="0">
    <w:nsid w:val="31846306"/>
    <w:multiLevelType w:val="multilevel"/>
    <w:tmpl w:val="59A0B4E4"/>
    <w:styleLink w:val="Headings"/>
    <w:lvl w:ilvl="0">
      <w:start w:val="1"/>
      <w:numFmt w:val="decimal"/>
      <w:lvlText w:val="%1."/>
      <w:lvlJc w:val="left"/>
      <w:pPr>
        <w:ind w:left="720" w:hanging="360"/>
      </w:pPr>
      <w:rPr>
        <w:rFonts w:ascii="Arial" w:hAnsi="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5217DA"/>
    <w:multiLevelType w:val="hybridMultilevel"/>
    <w:tmpl w:val="94028C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78225E"/>
    <w:multiLevelType w:val="hybridMultilevel"/>
    <w:tmpl w:val="375C21BA"/>
    <w:lvl w:ilvl="0" w:tplc="593474FA">
      <w:start w:val="1"/>
      <w:numFmt w:val="decimal"/>
      <w:lvlText w:val="%1."/>
      <w:lvlJc w:val="left"/>
      <w:pPr>
        <w:ind w:left="428" w:hanging="360"/>
      </w:pPr>
      <w:rPr>
        <w:rFonts w:eastAsia="Calibri"/>
      </w:rPr>
    </w:lvl>
    <w:lvl w:ilvl="1" w:tplc="08090019">
      <w:start w:val="1"/>
      <w:numFmt w:val="lowerLetter"/>
      <w:lvlText w:val="%2."/>
      <w:lvlJc w:val="left"/>
      <w:pPr>
        <w:ind w:left="1148" w:hanging="360"/>
      </w:pPr>
    </w:lvl>
    <w:lvl w:ilvl="2" w:tplc="0809001B">
      <w:start w:val="1"/>
      <w:numFmt w:val="lowerRoman"/>
      <w:lvlText w:val="%3."/>
      <w:lvlJc w:val="right"/>
      <w:pPr>
        <w:ind w:left="1868" w:hanging="180"/>
      </w:pPr>
    </w:lvl>
    <w:lvl w:ilvl="3" w:tplc="0809000F">
      <w:start w:val="1"/>
      <w:numFmt w:val="decimal"/>
      <w:lvlText w:val="%4."/>
      <w:lvlJc w:val="left"/>
      <w:pPr>
        <w:ind w:left="2588" w:hanging="360"/>
      </w:pPr>
    </w:lvl>
    <w:lvl w:ilvl="4" w:tplc="08090019">
      <w:start w:val="1"/>
      <w:numFmt w:val="lowerLetter"/>
      <w:lvlText w:val="%5."/>
      <w:lvlJc w:val="left"/>
      <w:pPr>
        <w:ind w:left="3308" w:hanging="360"/>
      </w:pPr>
    </w:lvl>
    <w:lvl w:ilvl="5" w:tplc="0809001B">
      <w:start w:val="1"/>
      <w:numFmt w:val="lowerRoman"/>
      <w:lvlText w:val="%6."/>
      <w:lvlJc w:val="right"/>
      <w:pPr>
        <w:ind w:left="4028" w:hanging="180"/>
      </w:pPr>
    </w:lvl>
    <w:lvl w:ilvl="6" w:tplc="0809000F">
      <w:start w:val="1"/>
      <w:numFmt w:val="decimal"/>
      <w:lvlText w:val="%7."/>
      <w:lvlJc w:val="left"/>
      <w:pPr>
        <w:ind w:left="4748" w:hanging="360"/>
      </w:pPr>
    </w:lvl>
    <w:lvl w:ilvl="7" w:tplc="08090019">
      <w:start w:val="1"/>
      <w:numFmt w:val="lowerLetter"/>
      <w:lvlText w:val="%8."/>
      <w:lvlJc w:val="left"/>
      <w:pPr>
        <w:ind w:left="5468" w:hanging="360"/>
      </w:pPr>
    </w:lvl>
    <w:lvl w:ilvl="8" w:tplc="0809001B">
      <w:start w:val="1"/>
      <w:numFmt w:val="lowerRoman"/>
      <w:lvlText w:val="%9."/>
      <w:lvlJc w:val="right"/>
      <w:pPr>
        <w:ind w:left="6188" w:hanging="180"/>
      </w:pPr>
    </w:lvl>
  </w:abstractNum>
  <w:abstractNum w:abstractNumId="17" w15:restartNumberingAfterBreak="0">
    <w:nsid w:val="3D1B72F1"/>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D1E6332"/>
    <w:multiLevelType w:val="hybridMultilevel"/>
    <w:tmpl w:val="FFFFFFFF"/>
    <w:lvl w:ilvl="0" w:tplc="621A18D4">
      <w:start w:val="1"/>
      <w:numFmt w:val="decimal"/>
      <w:lvlText w:val="%1."/>
      <w:lvlJc w:val="left"/>
      <w:pPr>
        <w:ind w:left="720" w:hanging="360"/>
      </w:pPr>
    </w:lvl>
    <w:lvl w:ilvl="1" w:tplc="DC5EBD74">
      <w:start w:val="1"/>
      <w:numFmt w:val="lowerLetter"/>
      <w:lvlText w:val="%2."/>
      <w:lvlJc w:val="left"/>
      <w:pPr>
        <w:ind w:left="1440" w:hanging="360"/>
      </w:pPr>
    </w:lvl>
    <w:lvl w:ilvl="2" w:tplc="8CE25EC6">
      <w:start w:val="1"/>
      <w:numFmt w:val="lowerRoman"/>
      <w:lvlText w:val="%3."/>
      <w:lvlJc w:val="right"/>
      <w:pPr>
        <w:ind w:left="2160" w:hanging="180"/>
      </w:pPr>
    </w:lvl>
    <w:lvl w:ilvl="3" w:tplc="6AE68FB4">
      <w:start w:val="1"/>
      <w:numFmt w:val="decimal"/>
      <w:lvlText w:val="%4."/>
      <w:lvlJc w:val="left"/>
      <w:pPr>
        <w:ind w:left="2880" w:hanging="360"/>
      </w:pPr>
    </w:lvl>
    <w:lvl w:ilvl="4" w:tplc="6DC82092">
      <w:start w:val="1"/>
      <w:numFmt w:val="lowerLetter"/>
      <w:lvlText w:val="%5."/>
      <w:lvlJc w:val="left"/>
      <w:pPr>
        <w:ind w:left="3600" w:hanging="360"/>
      </w:pPr>
    </w:lvl>
    <w:lvl w:ilvl="5" w:tplc="FFDE7CA6">
      <w:start w:val="1"/>
      <w:numFmt w:val="lowerRoman"/>
      <w:lvlText w:val="%6."/>
      <w:lvlJc w:val="right"/>
      <w:pPr>
        <w:ind w:left="4320" w:hanging="180"/>
      </w:pPr>
    </w:lvl>
    <w:lvl w:ilvl="6" w:tplc="572813A8">
      <w:start w:val="1"/>
      <w:numFmt w:val="decimal"/>
      <w:lvlText w:val="%7."/>
      <w:lvlJc w:val="left"/>
      <w:pPr>
        <w:ind w:left="5040" w:hanging="360"/>
      </w:pPr>
    </w:lvl>
    <w:lvl w:ilvl="7" w:tplc="5694D8D6">
      <w:start w:val="1"/>
      <w:numFmt w:val="lowerLetter"/>
      <w:lvlText w:val="%8."/>
      <w:lvlJc w:val="left"/>
      <w:pPr>
        <w:ind w:left="5760" w:hanging="360"/>
      </w:pPr>
    </w:lvl>
    <w:lvl w:ilvl="8" w:tplc="3BCA3E9C">
      <w:start w:val="1"/>
      <w:numFmt w:val="lowerRoman"/>
      <w:lvlText w:val="%9."/>
      <w:lvlJc w:val="right"/>
      <w:pPr>
        <w:ind w:left="6480" w:hanging="180"/>
      </w:pPr>
    </w:lvl>
  </w:abstractNum>
  <w:abstractNum w:abstractNumId="19" w15:restartNumberingAfterBreak="0">
    <w:nsid w:val="3D7579A9"/>
    <w:multiLevelType w:val="hybridMultilevel"/>
    <w:tmpl w:val="C28609E8"/>
    <w:lvl w:ilvl="0" w:tplc="F8FA38BA">
      <w:start w:val="1"/>
      <w:numFmt w:val="decimal"/>
      <w:lvlText w:val="%1."/>
      <w:lvlJc w:val="left"/>
      <w:pPr>
        <w:ind w:left="720" w:hanging="360"/>
      </w:pPr>
      <w:rPr>
        <w:rFonts w:ascii="Calibri" w:hAnsi="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AA551F"/>
    <w:multiLevelType w:val="hybridMultilevel"/>
    <w:tmpl w:val="90CC5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92E9B"/>
    <w:multiLevelType w:val="multilevel"/>
    <w:tmpl w:val="10A4E862"/>
    <w:styleLink w:val="Heading"/>
    <w:lvl w:ilvl="0">
      <w:start w:val="1"/>
      <w:numFmt w:val="decimal"/>
      <w:lvlText w:val="%1."/>
      <w:lvlJc w:val="left"/>
      <w:pPr>
        <w:ind w:left="360" w:hanging="360"/>
      </w:pPr>
      <w:rPr>
        <w:rFonts w:ascii="Arial" w:hAnsi="Arial"/>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E63477"/>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57FD7"/>
    <w:multiLevelType w:val="hybridMultilevel"/>
    <w:tmpl w:val="616A7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7C5C47"/>
    <w:multiLevelType w:val="hybridMultilevel"/>
    <w:tmpl w:val="7F86B01A"/>
    <w:lvl w:ilvl="0" w:tplc="9AB80E1A">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E4905B1"/>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8FA288F"/>
    <w:multiLevelType w:val="hybridMultilevel"/>
    <w:tmpl w:val="4148F2C8"/>
    <w:lvl w:ilvl="0" w:tplc="CF58F994">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C046D636">
      <w:start w:val="2"/>
      <w:numFmt w:val="lowerRoman"/>
      <w:lvlText w:val="%3."/>
      <w:lvlJc w:val="left"/>
      <w:pPr>
        <w:ind w:left="2340" w:hanging="72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B047084"/>
    <w:multiLevelType w:val="hybridMultilevel"/>
    <w:tmpl w:val="B0D8FE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78557F"/>
    <w:multiLevelType w:val="multilevel"/>
    <w:tmpl w:val="5B8465B0"/>
    <w:styleLink w:val="HTAHeadings"/>
    <w:lvl w:ilvl="0">
      <w:start w:val="1"/>
      <w:numFmt w:val="decimal"/>
      <w:suff w:val="space"/>
      <w:lvlText w:val="Chapter %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15:restartNumberingAfterBreak="0">
    <w:nsid w:val="66B336B4"/>
    <w:multiLevelType w:val="hybridMultilevel"/>
    <w:tmpl w:val="D16222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B0869A4"/>
    <w:multiLevelType w:val="hybridMultilevel"/>
    <w:tmpl w:val="299A49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0D8E"/>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7C5EF8"/>
    <w:multiLevelType w:val="hybridMultilevel"/>
    <w:tmpl w:val="1D6C2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9176093">
    <w:abstractNumId w:val="28"/>
  </w:num>
  <w:num w:numId="2" w16cid:durableId="1392122130">
    <w:abstractNumId w:val="22"/>
  </w:num>
  <w:num w:numId="3" w16cid:durableId="325861554">
    <w:abstractNumId w:val="27"/>
  </w:num>
  <w:num w:numId="4" w16cid:durableId="871841061">
    <w:abstractNumId w:val="19"/>
  </w:num>
  <w:num w:numId="5" w16cid:durableId="1093666602">
    <w:abstractNumId w:val="15"/>
  </w:num>
  <w:num w:numId="6" w16cid:durableId="628631587">
    <w:abstractNumId w:val="11"/>
  </w:num>
  <w:num w:numId="7" w16cid:durableId="1983845967">
    <w:abstractNumId w:val="13"/>
  </w:num>
  <w:num w:numId="8" w16cid:durableId="280914968">
    <w:abstractNumId w:val="0"/>
  </w:num>
  <w:num w:numId="9" w16cid:durableId="789130979">
    <w:abstractNumId w:val="9"/>
  </w:num>
  <w:num w:numId="10" w16cid:durableId="1545098368">
    <w:abstractNumId w:val="18"/>
  </w:num>
  <w:num w:numId="11" w16cid:durableId="516503868">
    <w:abstractNumId w:val="6"/>
  </w:num>
  <w:num w:numId="12" w16cid:durableId="1978533839">
    <w:abstractNumId w:val="20"/>
  </w:num>
  <w:num w:numId="13" w16cid:durableId="562059353">
    <w:abstractNumId w:val="12"/>
  </w:num>
  <w:num w:numId="14" w16cid:durableId="2095203642">
    <w:abstractNumId w:val="29"/>
  </w:num>
  <w:num w:numId="15" w16cid:durableId="278683268">
    <w:abstractNumId w:val="14"/>
  </w:num>
  <w:num w:numId="16" w16cid:durableId="601181506">
    <w:abstractNumId w:val="21"/>
  </w:num>
  <w:num w:numId="17" w16cid:durableId="1151142350">
    <w:abstractNumId w:val="1"/>
  </w:num>
  <w:num w:numId="18" w16cid:durableId="500631199">
    <w:abstractNumId w:val="2"/>
  </w:num>
  <w:num w:numId="19" w16cid:durableId="1007443389">
    <w:abstractNumId w:val="26"/>
  </w:num>
  <w:num w:numId="20" w16cid:durableId="214242981">
    <w:abstractNumId w:val="25"/>
  </w:num>
  <w:num w:numId="21" w16cid:durableId="642124102">
    <w:abstractNumId w:val="17"/>
  </w:num>
  <w:num w:numId="22" w16cid:durableId="595746355">
    <w:abstractNumId w:val="3"/>
  </w:num>
  <w:num w:numId="23" w16cid:durableId="788428076">
    <w:abstractNumId w:val="31"/>
  </w:num>
  <w:num w:numId="24" w16cid:durableId="2026860352">
    <w:abstractNumId w:val="30"/>
  </w:num>
  <w:num w:numId="25" w16cid:durableId="583490717">
    <w:abstractNumId w:val="32"/>
  </w:num>
  <w:num w:numId="26" w16cid:durableId="890963478">
    <w:abstractNumId w:val="23"/>
  </w:num>
  <w:num w:numId="27" w16cid:durableId="111242671">
    <w:abstractNumId w:val="10"/>
  </w:num>
  <w:num w:numId="28" w16cid:durableId="19022796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37811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0676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07835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2047502">
    <w:abstractNumId w:val="5"/>
  </w:num>
  <w:num w:numId="33" w16cid:durableId="10443298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29944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69450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5368315">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HR Journals Library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2p9tdw5usfzs6e2tf1x0v9ifz5sp05essz2&quot;&gt;Nadeem HTA copy&lt;record-ids&gt;&lt;item&gt;2&lt;/item&gt;&lt;item&gt;8&lt;/item&gt;&lt;item&gt;10&lt;/item&gt;&lt;item&gt;11&lt;/item&gt;&lt;item&gt;12&lt;/item&gt;&lt;item&gt;14&lt;/item&gt;&lt;item&gt;17&lt;/item&gt;&lt;item&gt;20&lt;/item&gt;&lt;item&gt;29&lt;/item&gt;&lt;item&gt;33&lt;/item&gt;&lt;item&gt;38&lt;/item&gt;&lt;item&gt;41&lt;/item&gt;&lt;item&gt;47&lt;/item&gt;&lt;item&gt;55&lt;/item&gt;&lt;item&gt;66&lt;/item&gt;&lt;item&gt;68&lt;/item&gt;&lt;item&gt;70&lt;/item&gt;&lt;item&gt;72&lt;/item&gt;&lt;item&gt;73&lt;/item&gt;&lt;item&gt;76&lt;/item&gt;&lt;item&gt;79&lt;/item&gt;&lt;item&gt;83&lt;/item&gt;&lt;item&gt;86&lt;/item&gt;&lt;item&gt;93&lt;/item&gt;&lt;item&gt;95&lt;/item&gt;&lt;item&gt;96&lt;/item&gt;&lt;item&gt;103&lt;/item&gt;&lt;item&gt;105&lt;/item&gt;&lt;item&gt;107&lt;/item&gt;&lt;item&gt;109&lt;/item&gt;&lt;item&gt;113&lt;/item&gt;&lt;item&gt;114&lt;/item&gt;&lt;item&gt;121&lt;/item&gt;&lt;item&gt;125&lt;/item&gt;&lt;item&gt;127&lt;/item&gt;&lt;item&gt;130&lt;/item&gt;&lt;item&gt;134&lt;/item&gt;&lt;item&gt;137&lt;/item&gt;&lt;item&gt;138&lt;/item&gt;&lt;item&gt;143&lt;/item&gt;&lt;item&gt;152&lt;/item&gt;&lt;item&gt;157&lt;/item&gt;&lt;item&gt;158&lt;/item&gt;&lt;item&gt;161&lt;/item&gt;&lt;item&gt;163&lt;/item&gt;&lt;item&gt;165&lt;/item&gt;&lt;item&gt;166&lt;/item&gt;&lt;item&gt;167&lt;/item&gt;&lt;item&gt;168&lt;/item&gt;&lt;item&gt;172&lt;/item&gt;&lt;item&gt;179&lt;/item&gt;&lt;item&gt;183&lt;/item&gt;&lt;item&gt;187&lt;/item&gt;&lt;item&gt;191&lt;/item&gt;&lt;item&gt;192&lt;/item&gt;&lt;item&gt;195&lt;/item&gt;&lt;item&gt;196&lt;/item&gt;&lt;item&gt;201&lt;/item&gt;&lt;item&gt;204&lt;/item&gt;&lt;item&gt;214&lt;/item&gt;&lt;item&gt;218&lt;/item&gt;&lt;item&gt;222&lt;/item&gt;&lt;item&gt;224&lt;/item&gt;&lt;item&gt;227&lt;/item&gt;&lt;item&gt;230&lt;/item&gt;&lt;item&gt;235&lt;/item&gt;&lt;item&gt;238&lt;/item&gt;&lt;item&gt;241&lt;/item&gt;&lt;item&gt;242&lt;/item&gt;&lt;item&gt;252&lt;/item&gt;&lt;item&gt;253&lt;/item&gt;&lt;item&gt;255&lt;/item&gt;&lt;item&gt;256&lt;/item&gt;&lt;item&gt;264&lt;/item&gt;&lt;item&gt;265&lt;/item&gt;&lt;item&gt;266&lt;/item&gt;&lt;item&gt;268&lt;/item&gt;&lt;item&gt;270&lt;/item&gt;&lt;item&gt;272&lt;/item&gt;&lt;item&gt;277&lt;/item&gt;&lt;item&gt;284&lt;/item&gt;&lt;item&gt;285&lt;/item&gt;&lt;item&gt;287&lt;/item&gt;&lt;item&gt;290&lt;/item&gt;&lt;item&gt;293&lt;/item&gt;&lt;item&gt;294&lt;/item&gt;&lt;item&gt;296&lt;/item&gt;&lt;item&gt;323&lt;/item&gt;&lt;item&gt;327&lt;/item&gt;&lt;item&gt;334&lt;/item&gt;&lt;item&gt;336&lt;/item&gt;&lt;item&gt;346&lt;/item&gt;&lt;item&gt;349&lt;/item&gt;&lt;item&gt;354&lt;/item&gt;&lt;item&gt;357&lt;/item&gt;&lt;item&gt;363&lt;/item&gt;&lt;item&gt;365&lt;/item&gt;&lt;item&gt;379&lt;/item&gt;&lt;item&gt;383&lt;/item&gt;&lt;item&gt;397&lt;/item&gt;&lt;item&gt;400&lt;/item&gt;&lt;item&gt;404&lt;/item&gt;&lt;item&gt;409&lt;/item&gt;&lt;item&gt;411&lt;/item&gt;&lt;item&gt;415&lt;/item&gt;&lt;item&gt;416&lt;/item&gt;&lt;item&gt;418&lt;/item&gt;&lt;item&gt;423&lt;/item&gt;&lt;item&gt;424&lt;/item&gt;&lt;item&gt;425&lt;/item&gt;&lt;item&gt;436&lt;/item&gt;&lt;item&gt;439&lt;/item&gt;&lt;item&gt;440&lt;/item&gt;&lt;item&gt;441&lt;/item&gt;&lt;item&gt;442&lt;/item&gt;&lt;item&gt;445&lt;/item&gt;&lt;item&gt;446&lt;/item&gt;&lt;item&gt;447&lt;/item&gt;&lt;item&gt;448&lt;/item&gt;&lt;item&gt;449&lt;/item&gt;&lt;item&gt;450&lt;/item&gt;&lt;item&gt;451&lt;/item&gt;&lt;item&gt;452&lt;/item&gt;&lt;item&gt;453&lt;/item&gt;&lt;item&gt;454&lt;/item&gt;&lt;item&gt;455&lt;/item&gt;&lt;item&gt;456&lt;/item&gt;&lt;item&gt;457&lt;/item&gt;&lt;item&gt;458&lt;/item&gt;&lt;item&gt;459&lt;/item&gt;&lt;item&gt;460&lt;/item&gt;&lt;item&gt;461&lt;/item&gt;&lt;item&gt;462&lt;/item&gt;&lt;item&gt;468&lt;/item&gt;&lt;item&gt;469&lt;/item&gt;&lt;item&gt;470&lt;/item&gt;&lt;item&gt;471&lt;/item&gt;&lt;item&gt;472&lt;/item&gt;&lt;item&gt;473&lt;/item&gt;&lt;item&gt;474&lt;/item&gt;&lt;item&gt;475&lt;/item&gt;&lt;item&gt;476&lt;/item&gt;&lt;item&gt;477&lt;/item&gt;&lt;item&gt;478&lt;/item&gt;&lt;item&gt;479&lt;/item&gt;&lt;item&gt;480&lt;/item&gt;&lt;item&gt;481&lt;/item&gt;&lt;item&gt;482&lt;/item&gt;&lt;item&gt;483&lt;/item&gt;&lt;item&gt;484&lt;/item&gt;&lt;item&gt;485&lt;/item&gt;&lt;item&gt;486&lt;/item&gt;&lt;item&gt;487&lt;/item&gt;&lt;item&gt;488&lt;/item&gt;&lt;item&gt;489&lt;/item&gt;&lt;item&gt;490&lt;/item&gt;&lt;item&gt;491&lt;/item&gt;&lt;item&gt;492&lt;/item&gt;&lt;item&gt;493&lt;/item&gt;&lt;item&gt;494&lt;/item&gt;&lt;item&gt;495&lt;/item&gt;&lt;item&gt;496&lt;/item&gt;&lt;/record-ids&gt;&lt;/item&gt;&lt;/Libraries&gt;"/>
  </w:docVars>
  <w:rsids>
    <w:rsidRoot w:val="008A036E"/>
    <w:rsid w:val="000040E6"/>
    <w:rsid w:val="00004B9A"/>
    <w:rsid w:val="0000698D"/>
    <w:rsid w:val="00007FF1"/>
    <w:rsid w:val="0000DEF1"/>
    <w:rsid w:val="000104F7"/>
    <w:rsid w:val="00012D43"/>
    <w:rsid w:val="00015220"/>
    <w:rsid w:val="000155F6"/>
    <w:rsid w:val="00015A5F"/>
    <w:rsid w:val="00015D18"/>
    <w:rsid w:val="00016700"/>
    <w:rsid w:val="00016FEA"/>
    <w:rsid w:val="00020749"/>
    <w:rsid w:val="000224D9"/>
    <w:rsid w:val="000237C6"/>
    <w:rsid w:val="00023AD3"/>
    <w:rsid w:val="000258FA"/>
    <w:rsid w:val="00026A1B"/>
    <w:rsid w:val="00027323"/>
    <w:rsid w:val="0002757F"/>
    <w:rsid w:val="00027DC0"/>
    <w:rsid w:val="00031C25"/>
    <w:rsid w:val="00033157"/>
    <w:rsid w:val="00034506"/>
    <w:rsid w:val="000345CD"/>
    <w:rsid w:val="00034DC4"/>
    <w:rsid w:val="00035551"/>
    <w:rsid w:val="00040427"/>
    <w:rsid w:val="00040D85"/>
    <w:rsid w:val="00040DE8"/>
    <w:rsid w:val="000416CA"/>
    <w:rsid w:val="0004185B"/>
    <w:rsid w:val="0004189F"/>
    <w:rsid w:val="00046373"/>
    <w:rsid w:val="00055BDE"/>
    <w:rsid w:val="0005609B"/>
    <w:rsid w:val="000603B6"/>
    <w:rsid w:val="00061326"/>
    <w:rsid w:val="000618DE"/>
    <w:rsid w:val="00062CE0"/>
    <w:rsid w:val="00065A6B"/>
    <w:rsid w:val="00065D49"/>
    <w:rsid w:val="000664F8"/>
    <w:rsid w:val="00070D58"/>
    <w:rsid w:val="00072F84"/>
    <w:rsid w:val="000731D6"/>
    <w:rsid w:val="00077EC0"/>
    <w:rsid w:val="00077FC3"/>
    <w:rsid w:val="0008145B"/>
    <w:rsid w:val="0008189D"/>
    <w:rsid w:val="00082A91"/>
    <w:rsid w:val="000918B6"/>
    <w:rsid w:val="00092D41"/>
    <w:rsid w:val="00092D4D"/>
    <w:rsid w:val="00093EE8"/>
    <w:rsid w:val="000948C3"/>
    <w:rsid w:val="000979E5"/>
    <w:rsid w:val="00097D67"/>
    <w:rsid w:val="000A201F"/>
    <w:rsid w:val="000A3366"/>
    <w:rsid w:val="000A4171"/>
    <w:rsid w:val="000A6116"/>
    <w:rsid w:val="000A65BD"/>
    <w:rsid w:val="000A66A8"/>
    <w:rsid w:val="000B0319"/>
    <w:rsid w:val="000B0F25"/>
    <w:rsid w:val="000B53E6"/>
    <w:rsid w:val="000B5732"/>
    <w:rsid w:val="000B57E6"/>
    <w:rsid w:val="000B5FA9"/>
    <w:rsid w:val="000B69BB"/>
    <w:rsid w:val="000B71C3"/>
    <w:rsid w:val="000B7BA7"/>
    <w:rsid w:val="000B7FDE"/>
    <w:rsid w:val="000C0752"/>
    <w:rsid w:val="000C4659"/>
    <w:rsid w:val="000C4B69"/>
    <w:rsid w:val="000C52AF"/>
    <w:rsid w:val="000C5633"/>
    <w:rsid w:val="000C6AD3"/>
    <w:rsid w:val="000C73F0"/>
    <w:rsid w:val="000D2C5E"/>
    <w:rsid w:val="000D7D45"/>
    <w:rsid w:val="000E3817"/>
    <w:rsid w:val="000E54F3"/>
    <w:rsid w:val="000E6428"/>
    <w:rsid w:val="000F112D"/>
    <w:rsid w:val="000F43E6"/>
    <w:rsid w:val="000F604A"/>
    <w:rsid w:val="000F7121"/>
    <w:rsid w:val="000F7A10"/>
    <w:rsid w:val="001016B9"/>
    <w:rsid w:val="00103352"/>
    <w:rsid w:val="00103E1F"/>
    <w:rsid w:val="001047D4"/>
    <w:rsid w:val="001066FA"/>
    <w:rsid w:val="00107DB8"/>
    <w:rsid w:val="00110589"/>
    <w:rsid w:val="00110977"/>
    <w:rsid w:val="0011266D"/>
    <w:rsid w:val="00112BF7"/>
    <w:rsid w:val="00113BC0"/>
    <w:rsid w:val="00114274"/>
    <w:rsid w:val="00114CF0"/>
    <w:rsid w:val="001163E8"/>
    <w:rsid w:val="001212E1"/>
    <w:rsid w:val="00121BE2"/>
    <w:rsid w:val="00123031"/>
    <w:rsid w:val="00124179"/>
    <w:rsid w:val="00124D1C"/>
    <w:rsid w:val="00126ED4"/>
    <w:rsid w:val="00127D57"/>
    <w:rsid w:val="001314DF"/>
    <w:rsid w:val="00131E50"/>
    <w:rsid w:val="00131F77"/>
    <w:rsid w:val="001322CE"/>
    <w:rsid w:val="001327FF"/>
    <w:rsid w:val="001404C5"/>
    <w:rsid w:val="0014096C"/>
    <w:rsid w:val="0014158F"/>
    <w:rsid w:val="00141B71"/>
    <w:rsid w:val="00143804"/>
    <w:rsid w:val="001463A0"/>
    <w:rsid w:val="00153062"/>
    <w:rsid w:val="00154403"/>
    <w:rsid w:val="00161D79"/>
    <w:rsid w:val="00161ED5"/>
    <w:rsid w:val="001624EF"/>
    <w:rsid w:val="00162E53"/>
    <w:rsid w:val="00164EBF"/>
    <w:rsid w:val="001653D8"/>
    <w:rsid w:val="00165AC9"/>
    <w:rsid w:val="00166ABF"/>
    <w:rsid w:val="0016712F"/>
    <w:rsid w:val="00172752"/>
    <w:rsid w:val="00172ACB"/>
    <w:rsid w:val="00172D63"/>
    <w:rsid w:val="00173839"/>
    <w:rsid w:val="00173900"/>
    <w:rsid w:val="00173E0B"/>
    <w:rsid w:val="00175351"/>
    <w:rsid w:val="001770CE"/>
    <w:rsid w:val="001808D6"/>
    <w:rsid w:val="001816A8"/>
    <w:rsid w:val="00181AC5"/>
    <w:rsid w:val="00186D58"/>
    <w:rsid w:val="001925DC"/>
    <w:rsid w:val="00193613"/>
    <w:rsid w:val="001939DE"/>
    <w:rsid w:val="0019446E"/>
    <w:rsid w:val="00194D8B"/>
    <w:rsid w:val="00195C76"/>
    <w:rsid w:val="00196D11"/>
    <w:rsid w:val="00196EDF"/>
    <w:rsid w:val="001A12EC"/>
    <w:rsid w:val="001A3FFD"/>
    <w:rsid w:val="001B0F90"/>
    <w:rsid w:val="001B23E9"/>
    <w:rsid w:val="001B422A"/>
    <w:rsid w:val="001C4573"/>
    <w:rsid w:val="001C4A72"/>
    <w:rsid w:val="001C56A9"/>
    <w:rsid w:val="001C6427"/>
    <w:rsid w:val="001D1645"/>
    <w:rsid w:val="001D450E"/>
    <w:rsid w:val="001D5C3C"/>
    <w:rsid w:val="001D7E77"/>
    <w:rsid w:val="001D7F07"/>
    <w:rsid w:val="001E100D"/>
    <w:rsid w:val="001E109F"/>
    <w:rsid w:val="001E4B1E"/>
    <w:rsid w:val="001E5D7B"/>
    <w:rsid w:val="001F0DBB"/>
    <w:rsid w:val="001F0FFC"/>
    <w:rsid w:val="001F7E06"/>
    <w:rsid w:val="00200DF1"/>
    <w:rsid w:val="00200E58"/>
    <w:rsid w:val="00201D4F"/>
    <w:rsid w:val="00202D56"/>
    <w:rsid w:val="0020302B"/>
    <w:rsid w:val="002033C4"/>
    <w:rsid w:val="002069AC"/>
    <w:rsid w:val="002116B7"/>
    <w:rsid w:val="002122B9"/>
    <w:rsid w:val="00213557"/>
    <w:rsid w:val="002150C8"/>
    <w:rsid w:val="00215D92"/>
    <w:rsid w:val="0021707B"/>
    <w:rsid w:val="00217D5A"/>
    <w:rsid w:val="0022026E"/>
    <w:rsid w:val="00221D01"/>
    <w:rsid w:val="00223094"/>
    <w:rsid w:val="0023317D"/>
    <w:rsid w:val="0023364B"/>
    <w:rsid w:val="00233F55"/>
    <w:rsid w:val="002343CE"/>
    <w:rsid w:val="00242209"/>
    <w:rsid w:val="002442C8"/>
    <w:rsid w:val="00245253"/>
    <w:rsid w:val="002460D5"/>
    <w:rsid w:val="00246765"/>
    <w:rsid w:val="002520DA"/>
    <w:rsid w:val="00254226"/>
    <w:rsid w:val="00254773"/>
    <w:rsid w:val="00254CB5"/>
    <w:rsid w:val="002561E6"/>
    <w:rsid w:val="00256A38"/>
    <w:rsid w:val="0026052D"/>
    <w:rsid w:val="00265E6C"/>
    <w:rsid w:val="0026683E"/>
    <w:rsid w:val="0027183B"/>
    <w:rsid w:val="00271CA3"/>
    <w:rsid w:val="0027234D"/>
    <w:rsid w:val="00273E4C"/>
    <w:rsid w:val="002750AC"/>
    <w:rsid w:val="00280573"/>
    <w:rsid w:val="0028258C"/>
    <w:rsid w:val="00282E46"/>
    <w:rsid w:val="002844D3"/>
    <w:rsid w:val="00285498"/>
    <w:rsid w:val="00286863"/>
    <w:rsid w:val="002878D2"/>
    <w:rsid w:val="00290EEB"/>
    <w:rsid w:val="00291BEC"/>
    <w:rsid w:val="00292F81"/>
    <w:rsid w:val="002954F5"/>
    <w:rsid w:val="002A02B9"/>
    <w:rsid w:val="002A3ACE"/>
    <w:rsid w:val="002A5041"/>
    <w:rsid w:val="002A56D5"/>
    <w:rsid w:val="002A70B5"/>
    <w:rsid w:val="002B10E0"/>
    <w:rsid w:val="002B4376"/>
    <w:rsid w:val="002B452A"/>
    <w:rsid w:val="002B7370"/>
    <w:rsid w:val="002C4A80"/>
    <w:rsid w:val="002C4CC7"/>
    <w:rsid w:val="002C5728"/>
    <w:rsid w:val="002D0FEF"/>
    <w:rsid w:val="002D1072"/>
    <w:rsid w:val="002D4BC1"/>
    <w:rsid w:val="002D5374"/>
    <w:rsid w:val="002D5AAD"/>
    <w:rsid w:val="002D5E84"/>
    <w:rsid w:val="002D611E"/>
    <w:rsid w:val="002D7FB7"/>
    <w:rsid w:val="002E03A3"/>
    <w:rsid w:val="002E2AB0"/>
    <w:rsid w:val="002E2FFB"/>
    <w:rsid w:val="002E3106"/>
    <w:rsid w:val="002E34FE"/>
    <w:rsid w:val="002E37B7"/>
    <w:rsid w:val="002E3DB3"/>
    <w:rsid w:val="002E5199"/>
    <w:rsid w:val="002E6E74"/>
    <w:rsid w:val="002F0F0A"/>
    <w:rsid w:val="002F0FD3"/>
    <w:rsid w:val="002F11D5"/>
    <w:rsid w:val="002F153C"/>
    <w:rsid w:val="002F208D"/>
    <w:rsid w:val="002F2561"/>
    <w:rsid w:val="002F2A08"/>
    <w:rsid w:val="002F2E8A"/>
    <w:rsid w:val="002F7927"/>
    <w:rsid w:val="00303ABB"/>
    <w:rsid w:val="00304833"/>
    <w:rsid w:val="00304C7C"/>
    <w:rsid w:val="00304D8E"/>
    <w:rsid w:val="0030556E"/>
    <w:rsid w:val="00305E39"/>
    <w:rsid w:val="0030745A"/>
    <w:rsid w:val="00310860"/>
    <w:rsid w:val="00312883"/>
    <w:rsid w:val="00312AA2"/>
    <w:rsid w:val="00316A44"/>
    <w:rsid w:val="00316E8F"/>
    <w:rsid w:val="003211D2"/>
    <w:rsid w:val="003250C1"/>
    <w:rsid w:val="003251DB"/>
    <w:rsid w:val="00326148"/>
    <w:rsid w:val="003266D5"/>
    <w:rsid w:val="0032777F"/>
    <w:rsid w:val="0033084C"/>
    <w:rsid w:val="00330A1A"/>
    <w:rsid w:val="00331B2E"/>
    <w:rsid w:val="00335BC1"/>
    <w:rsid w:val="00336A98"/>
    <w:rsid w:val="0033F0B4"/>
    <w:rsid w:val="00341919"/>
    <w:rsid w:val="00341D72"/>
    <w:rsid w:val="003421DE"/>
    <w:rsid w:val="00342B38"/>
    <w:rsid w:val="00347839"/>
    <w:rsid w:val="003508A5"/>
    <w:rsid w:val="00350947"/>
    <w:rsid w:val="003602AA"/>
    <w:rsid w:val="00363E2D"/>
    <w:rsid w:val="003645C9"/>
    <w:rsid w:val="003674BB"/>
    <w:rsid w:val="00367549"/>
    <w:rsid w:val="00372DCD"/>
    <w:rsid w:val="00373017"/>
    <w:rsid w:val="00376738"/>
    <w:rsid w:val="00376A4C"/>
    <w:rsid w:val="00381A9F"/>
    <w:rsid w:val="003823CB"/>
    <w:rsid w:val="0038243F"/>
    <w:rsid w:val="0038425D"/>
    <w:rsid w:val="00386094"/>
    <w:rsid w:val="00386A16"/>
    <w:rsid w:val="003870A1"/>
    <w:rsid w:val="00387AAE"/>
    <w:rsid w:val="00390FB2"/>
    <w:rsid w:val="003963BA"/>
    <w:rsid w:val="003A0654"/>
    <w:rsid w:val="003A0CB4"/>
    <w:rsid w:val="003A4D5C"/>
    <w:rsid w:val="003A6D83"/>
    <w:rsid w:val="003A6F89"/>
    <w:rsid w:val="003A78CB"/>
    <w:rsid w:val="003B022A"/>
    <w:rsid w:val="003C0E0E"/>
    <w:rsid w:val="003C3722"/>
    <w:rsid w:val="003C6069"/>
    <w:rsid w:val="003D13A6"/>
    <w:rsid w:val="003D13EF"/>
    <w:rsid w:val="003D2555"/>
    <w:rsid w:val="003D4374"/>
    <w:rsid w:val="003E3413"/>
    <w:rsid w:val="003E512B"/>
    <w:rsid w:val="003E6363"/>
    <w:rsid w:val="003E6584"/>
    <w:rsid w:val="003F1F7A"/>
    <w:rsid w:val="003F2667"/>
    <w:rsid w:val="003F354F"/>
    <w:rsid w:val="003F4DA9"/>
    <w:rsid w:val="003F50F5"/>
    <w:rsid w:val="003F6B58"/>
    <w:rsid w:val="003F7AE2"/>
    <w:rsid w:val="003F7ED9"/>
    <w:rsid w:val="00400161"/>
    <w:rsid w:val="004022ED"/>
    <w:rsid w:val="0040240C"/>
    <w:rsid w:val="00402A6D"/>
    <w:rsid w:val="0040403E"/>
    <w:rsid w:val="00406D0D"/>
    <w:rsid w:val="00406E4E"/>
    <w:rsid w:val="0040713F"/>
    <w:rsid w:val="004071A4"/>
    <w:rsid w:val="004115E8"/>
    <w:rsid w:val="0041178C"/>
    <w:rsid w:val="00411D0F"/>
    <w:rsid w:val="004130DC"/>
    <w:rsid w:val="004134C4"/>
    <w:rsid w:val="00413DE1"/>
    <w:rsid w:val="00416EB2"/>
    <w:rsid w:val="004231AB"/>
    <w:rsid w:val="0042367C"/>
    <w:rsid w:val="00426FED"/>
    <w:rsid w:val="0043178D"/>
    <w:rsid w:val="0043483A"/>
    <w:rsid w:val="0043516F"/>
    <w:rsid w:val="00435A17"/>
    <w:rsid w:val="004372AB"/>
    <w:rsid w:val="004416FC"/>
    <w:rsid w:val="004434B6"/>
    <w:rsid w:val="00444654"/>
    <w:rsid w:val="004514CE"/>
    <w:rsid w:val="00451794"/>
    <w:rsid w:val="00451D41"/>
    <w:rsid w:val="0045342E"/>
    <w:rsid w:val="00454B68"/>
    <w:rsid w:val="004609B1"/>
    <w:rsid w:val="00466911"/>
    <w:rsid w:val="004672DB"/>
    <w:rsid w:val="00471BD7"/>
    <w:rsid w:val="0047402F"/>
    <w:rsid w:val="00474B54"/>
    <w:rsid w:val="0047508C"/>
    <w:rsid w:val="00475335"/>
    <w:rsid w:val="00475817"/>
    <w:rsid w:val="00482527"/>
    <w:rsid w:val="004825FF"/>
    <w:rsid w:val="00484270"/>
    <w:rsid w:val="00485C61"/>
    <w:rsid w:val="00490ECE"/>
    <w:rsid w:val="00491BA4"/>
    <w:rsid w:val="004945A6"/>
    <w:rsid w:val="00497862"/>
    <w:rsid w:val="004A11A4"/>
    <w:rsid w:val="004A2AF8"/>
    <w:rsid w:val="004A4309"/>
    <w:rsid w:val="004A5748"/>
    <w:rsid w:val="004A7C54"/>
    <w:rsid w:val="004B0082"/>
    <w:rsid w:val="004B18AA"/>
    <w:rsid w:val="004B3345"/>
    <w:rsid w:val="004B42BC"/>
    <w:rsid w:val="004B523B"/>
    <w:rsid w:val="004B6BE1"/>
    <w:rsid w:val="004C1907"/>
    <w:rsid w:val="004C39FA"/>
    <w:rsid w:val="004C4762"/>
    <w:rsid w:val="004C4CAA"/>
    <w:rsid w:val="004C4EC6"/>
    <w:rsid w:val="004C7354"/>
    <w:rsid w:val="004C74B0"/>
    <w:rsid w:val="004CB9BE"/>
    <w:rsid w:val="004D0785"/>
    <w:rsid w:val="004D0B98"/>
    <w:rsid w:val="004D517B"/>
    <w:rsid w:val="004D7370"/>
    <w:rsid w:val="004D7464"/>
    <w:rsid w:val="004E284C"/>
    <w:rsid w:val="004E444B"/>
    <w:rsid w:val="004E8028"/>
    <w:rsid w:val="004F131E"/>
    <w:rsid w:val="004F3182"/>
    <w:rsid w:val="004F3496"/>
    <w:rsid w:val="004F3C61"/>
    <w:rsid w:val="004F3E0C"/>
    <w:rsid w:val="004F6977"/>
    <w:rsid w:val="00502AA3"/>
    <w:rsid w:val="005036EC"/>
    <w:rsid w:val="00503CC2"/>
    <w:rsid w:val="005049C6"/>
    <w:rsid w:val="00505D2D"/>
    <w:rsid w:val="00506981"/>
    <w:rsid w:val="0050EBD5"/>
    <w:rsid w:val="00510200"/>
    <w:rsid w:val="00511E23"/>
    <w:rsid w:val="00512061"/>
    <w:rsid w:val="005161E3"/>
    <w:rsid w:val="00516F7C"/>
    <w:rsid w:val="00516FB0"/>
    <w:rsid w:val="005205DF"/>
    <w:rsid w:val="005209AA"/>
    <w:rsid w:val="00520C37"/>
    <w:rsid w:val="0052100C"/>
    <w:rsid w:val="0052366E"/>
    <w:rsid w:val="0052758D"/>
    <w:rsid w:val="005275E4"/>
    <w:rsid w:val="00533DEF"/>
    <w:rsid w:val="0053485D"/>
    <w:rsid w:val="00536511"/>
    <w:rsid w:val="00537ABE"/>
    <w:rsid w:val="00537CFA"/>
    <w:rsid w:val="0054026E"/>
    <w:rsid w:val="00540748"/>
    <w:rsid w:val="005422DD"/>
    <w:rsid w:val="00542828"/>
    <w:rsid w:val="005433DB"/>
    <w:rsid w:val="00545737"/>
    <w:rsid w:val="005472DC"/>
    <w:rsid w:val="005516D9"/>
    <w:rsid w:val="00551E47"/>
    <w:rsid w:val="0055236E"/>
    <w:rsid w:val="00552BB0"/>
    <w:rsid w:val="0055316E"/>
    <w:rsid w:val="00553661"/>
    <w:rsid w:val="00555567"/>
    <w:rsid w:val="00556210"/>
    <w:rsid w:val="005611BD"/>
    <w:rsid w:val="00564A96"/>
    <w:rsid w:val="00565C75"/>
    <w:rsid w:val="00565D3E"/>
    <w:rsid w:val="00566BAE"/>
    <w:rsid w:val="00567406"/>
    <w:rsid w:val="005703EA"/>
    <w:rsid w:val="00573301"/>
    <w:rsid w:val="00574971"/>
    <w:rsid w:val="005760AF"/>
    <w:rsid w:val="005772D0"/>
    <w:rsid w:val="00581161"/>
    <w:rsid w:val="005839D3"/>
    <w:rsid w:val="00583F4E"/>
    <w:rsid w:val="005867D3"/>
    <w:rsid w:val="0058762A"/>
    <w:rsid w:val="0058846B"/>
    <w:rsid w:val="00593EDB"/>
    <w:rsid w:val="005940BF"/>
    <w:rsid w:val="005A0255"/>
    <w:rsid w:val="005A1154"/>
    <w:rsid w:val="005A1731"/>
    <w:rsid w:val="005A17D2"/>
    <w:rsid w:val="005A2A0D"/>
    <w:rsid w:val="005A4AF6"/>
    <w:rsid w:val="005A54BC"/>
    <w:rsid w:val="005A5CC7"/>
    <w:rsid w:val="005A707E"/>
    <w:rsid w:val="005A7695"/>
    <w:rsid w:val="005B23A1"/>
    <w:rsid w:val="005C074D"/>
    <w:rsid w:val="005C1843"/>
    <w:rsid w:val="005C3678"/>
    <w:rsid w:val="005C4F3E"/>
    <w:rsid w:val="005C61B7"/>
    <w:rsid w:val="005C62ED"/>
    <w:rsid w:val="005C6D4E"/>
    <w:rsid w:val="005D09AA"/>
    <w:rsid w:val="005D119A"/>
    <w:rsid w:val="005D3401"/>
    <w:rsid w:val="005D442D"/>
    <w:rsid w:val="005D4B7E"/>
    <w:rsid w:val="005D4F92"/>
    <w:rsid w:val="005D4FE7"/>
    <w:rsid w:val="005E239A"/>
    <w:rsid w:val="005E4142"/>
    <w:rsid w:val="005E5409"/>
    <w:rsid w:val="005E759F"/>
    <w:rsid w:val="005F523C"/>
    <w:rsid w:val="005F5C37"/>
    <w:rsid w:val="005F6CAA"/>
    <w:rsid w:val="005F7625"/>
    <w:rsid w:val="005F77CD"/>
    <w:rsid w:val="005F7F0D"/>
    <w:rsid w:val="00600376"/>
    <w:rsid w:val="00603809"/>
    <w:rsid w:val="00603CC9"/>
    <w:rsid w:val="0060650F"/>
    <w:rsid w:val="006065FF"/>
    <w:rsid w:val="00611743"/>
    <w:rsid w:val="006129C5"/>
    <w:rsid w:val="00617B50"/>
    <w:rsid w:val="00627A0B"/>
    <w:rsid w:val="00627D0F"/>
    <w:rsid w:val="0063039E"/>
    <w:rsid w:val="00632499"/>
    <w:rsid w:val="00633D0D"/>
    <w:rsid w:val="006349EC"/>
    <w:rsid w:val="006358D0"/>
    <w:rsid w:val="00637410"/>
    <w:rsid w:val="00637C7A"/>
    <w:rsid w:val="00641683"/>
    <w:rsid w:val="00641E7B"/>
    <w:rsid w:val="00641F56"/>
    <w:rsid w:val="00642831"/>
    <w:rsid w:val="00642AA7"/>
    <w:rsid w:val="00642ED4"/>
    <w:rsid w:val="00643B84"/>
    <w:rsid w:val="00643DEF"/>
    <w:rsid w:val="00644DDD"/>
    <w:rsid w:val="0064534F"/>
    <w:rsid w:val="0064756E"/>
    <w:rsid w:val="006476D5"/>
    <w:rsid w:val="00647BF0"/>
    <w:rsid w:val="006504F9"/>
    <w:rsid w:val="006514D6"/>
    <w:rsid w:val="00656235"/>
    <w:rsid w:val="00656B12"/>
    <w:rsid w:val="00660ADF"/>
    <w:rsid w:val="00660B59"/>
    <w:rsid w:val="006622AF"/>
    <w:rsid w:val="0066232B"/>
    <w:rsid w:val="00662522"/>
    <w:rsid w:val="00665340"/>
    <w:rsid w:val="00665850"/>
    <w:rsid w:val="00673055"/>
    <w:rsid w:val="00676920"/>
    <w:rsid w:val="00677E7B"/>
    <w:rsid w:val="006817B4"/>
    <w:rsid w:val="00681D70"/>
    <w:rsid w:val="00684A8D"/>
    <w:rsid w:val="006869F6"/>
    <w:rsid w:val="00692AA7"/>
    <w:rsid w:val="006933D2"/>
    <w:rsid w:val="00695130"/>
    <w:rsid w:val="006956E5"/>
    <w:rsid w:val="00697511"/>
    <w:rsid w:val="006A0CC2"/>
    <w:rsid w:val="006A155D"/>
    <w:rsid w:val="006A1F1A"/>
    <w:rsid w:val="006A6CBF"/>
    <w:rsid w:val="006A6E69"/>
    <w:rsid w:val="006B07AF"/>
    <w:rsid w:val="006B1A0B"/>
    <w:rsid w:val="006B1BEF"/>
    <w:rsid w:val="006B1E34"/>
    <w:rsid w:val="006B35C8"/>
    <w:rsid w:val="006B38BF"/>
    <w:rsid w:val="006B6A9A"/>
    <w:rsid w:val="006C069F"/>
    <w:rsid w:val="006C2338"/>
    <w:rsid w:val="006C3F38"/>
    <w:rsid w:val="006C45BF"/>
    <w:rsid w:val="006C4BC8"/>
    <w:rsid w:val="006C6B3B"/>
    <w:rsid w:val="006C7E71"/>
    <w:rsid w:val="006D021E"/>
    <w:rsid w:val="006D0AA2"/>
    <w:rsid w:val="006D0BFE"/>
    <w:rsid w:val="006D3BF4"/>
    <w:rsid w:val="006D4A14"/>
    <w:rsid w:val="006D52EF"/>
    <w:rsid w:val="006D6AF6"/>
    <w:rsid w:val="006D6E14"/>
    <w:rsid w:val="006E0CEB"/>
    <w:rsid w:val="006E1295"/>
    <w:rsid w:val="006E1588"/>
    <w:rsid w:val="006E1EE8"/>
    <w:rsid w:val="006E5674"/>
    <w:rsid w:val="006E64E6"/>
    <w:rsid w:val="006F1449"/>
    <w:rsid w:val="006F3D1D"/>
    <w:rsid w:val="006F44B5"/>
    <w:rsid w:val="006F795B"/>
    <w:rsid w:val="006FEB1D"/>
    <w:rsid w:val="00702213"/>
    <w:rsid w:val="0070327C"/>
    <w:rsid w:val="00704129"/>
    <w:rsid w:val="0070464F"/>
    <w:rsid w:val="00705E37"/>
    <w:rsid w:val="00706AEE"/>
    <w:rsid w:val="00710530"/>
    <w:rsid w:val="00711447"/>
    <w:rsid w:val="00712666"/>
    <w:rsid w:val="007131A6"/>
    <w:rsid w:val="007136EF"/>
    <w:rsid w:val="00714A09"/>
    <w:rsid w:val="00715BE8"/>
    <w:rsid w:val="00716178"/>
    <w:rsid w:val="0071746E"/>
    <w:rsid w:val="007175C0"/>
    <w:rsid w:val="00720B2C"/>
    <w:rsid w:val="00723B4B"/>
    <w:rsid w:val="00724A1D"/>
    <w:rsid w:val="007329FE"/>
    <w:rsid w:val="007344B6"/>
    <w:rsid w:val="007349A1"/>
    <w:rsid w:val="00734B6E"/>
    <w:rsid w:val="00734E75"/>
    <w:rsid w:val="00735360"/>
    <w:rsid w:val="00735EC7"/>
    <w:rsid w:val="00736586"/>
    <w:rsid w:val="00736E0B"/>
    <w:rsid w:val="00737984"/>
    <w:rsid w:val="00740070"/>
    <w:rsid w:val="007400AF"/>
    <w:rsid w:val="00740624"/>
    <w:rsid w:val="00744B26"/>
    <w:rsid w:val="00745208"/>
    <w:rsid w:val="007454CD"/>
    <w:rsid w:val="007549B4"/>
    <w:rsid w:val="00756E81"/>
    <w:rsid w:val="00760299"/>
    <w:rsid w:val="00764BD5"/>
    <w:rsid w:val="00765807"/>
    <w:rsid w:val="00767446"/>
    <w:rsid w:val="00770A54"/>
    <w:rsid w:val="00770DFB"/>
    <w:rsid w:val="007713FD"/>
    <w:rsid w:val="007750E2"/>
    <w:rsid w:val="007751DB"/>
    <w:rsid w:val="0077689F"/>
    <w:rsid w:val="00777392"/>
    <w:rsid w:val="00777F0B"/>
    <w:rsid w:val="00781236"/>
    <w:rsid w:val="0078124C"/>
    <w:rsid w:val="0078400B"/>
    <w:rsid w:val="00787194"/>
    <w:rsid w:val="00791CDE"/>
    <w:rsid w:val="007955F5"/>
    <w:rsid w:val="00795E9F"/>
    <w:rsid w:val="0079788F"/>
    <w:rsid w:val="007A0607"/>
    <w:rsid w:val="007A1850"/>
    <w:rsid w:val="007A1A1C"/>
    <w:rsid w:val="007A27CE"/>
    <w:rsid w:val="007A559B"/>
    <w:rsid w:val="007A764A"/>
    <w:rsid w:val="007B0889"/>
    <w:rsid w:val="007B0B71"/>
    <w:rsid w:val="007B38AE"/>
    <w:rsid w:val="007B65E8"/>
    <w:rsid w:val="007B67D5"/>
    <w:rsid w:val="007C1722"/>
    <w:rsid w:val="007C54E8"/>
    <w:rsid w:val="007C5F6E"/>
    <w:rsid w:val="007C7B0E"/>
    <w:rsid w:val="007CF471"/>
    <w:rsid w:val="007D0656"/>
    <w:rsid w:val="007D0684"/>
    <w:rsid w:val="007D3159"/>
    <w:rsid w:val="007D34F8"/>
    <w:rsid w:val="007D39E7"/>
    <w:rsid w:val="007D477D"/>
    <w:rsid w:val="007D5CFE"/>
    <w:rsid w:val="007D606C"/>
    <w:rsid w:val="007E0FFC"/>
    <w:rsid w:val="007E2943"/>
    <w:rsid w:val="007E3EB0"/>
    <w:rsid w:val="007E4E1F"/>
    <w:rsid w:val="007E7228"/>
    <w:rsid w:val="007F1804"/>
    <w:rsid w:val="007F279E"/>
    <w:rsid w:val="007F6B52"/>
    <w:rsid w:val="007F7739"/>
    <w:rsid w:val="007FB792"/>
    <w:rsid w:val="008016D9"/>
    <w:rsid w:val="0080199C"/>
    <w:rsid w:val="00805004"/>
    <w:rsid w:val="00805E5D"/>
    <w:rsid w:val="0080706B"/>
    <w:rsid w:val="00807674"/>
    <w:rsid w:val="00807B12"/>
    <w:rsid w:val="00807EBE"/>
    <w:rsid w:val="00812FD1"/>
    <w:rsid w:val="0081407C"/>
    <w:rsid w:val="008148B6"/>
    <w:rsid w:val="0081535C"/>
    <w:rsid w:val="008210E3"/>
    <w:rsid w:val="00822322"/>
    <w:rsid w:val="00823C9F"/>
    <w:rsid w:val="0082419A"/>
    <w:rsid w:val="00825274"/>
    <w:rsid w:val="008256B8"/>
    <w:rsid w:val="00826041"/>
    <w:rsid w:val="008269C8"/>
    <w:rsid w:val="0082BF4F"/>
    <w:rsid w:val="00832961"/>
    <w:rsid w:val="00833637"/>
    <w:rsid w:val="00833CB4"/>
    <w:rsid w:val="00833CB7"/>
    <w:rsid w:val="008364FA"/>
    <w:rsid w:val="008365E0"/>
    <w:rsid w:val="008434CD"/>
    <w:rsid w:val="008460FD"/>
    <w:rsid w:val="0084778A"/>
    <w:rsid w:val="008510F1"/>
    <w:rsid w:val="00851F33"/>
    <w:rsid w:val="008547A2"/>
    <w:rsid w:val="008554CC"/>
    <w:rsid w:val="00855732"/>
    <w:rsid w:val="00856587"/>
    <w:rsid w:val="008577EE"/>
    <w:rsid w:val="0086072D"/>
    <w:rsid w:val="0086298A"/>
    <w:rsid w:val="008649DD"/>
    <w:rsid w:val="00865776"/>
    <w:rsid w:val="0086706A"/>
    <w:rsid w:val="0086706B"/>
    <w:rsid w:val="00867F70"/>
    <w:rsid w:val="00872D6D"/>
    <w:rsid w:val="00873822"/>
    <w:rsid w:val="008757CB"/>
    <w:rsid w:val="00876581"/>
    <w:rsid w:val="00877323"/>
    <w:rsid w:val="0088087F"/>
    <w:rsid w:val="008826C0"/>
    <w:rsid w:val="00890916"/>
    <w:rsid w:val="00892FE1"/>
    <w:rsid w:val="00895586"/>
    <w:rsid w:val="0089642B"/>
    <w:rsid w:val="008A036E"/>
    <w:rsid w:val="008A0B0B"/>
    <w:rsid w:val="008A0C1F"/>
    <w:rsid w:val="008A3A74"/>
    <w:rsid w:val="008A4D27"/>
    <w:rsid w:val="008A5762"/>
    <w:rsid w:val="008A771B"/>
    <w:rsid w:val="008B0670"/>
    <w:rsid w:val="008B3669"/>
    <w:rsid w:val="008C1ED1"/>
    <w:rsid w:val="008C25AF"/>
    <w:rsid w:val="008C3B1F"/>
    <w:rsid w:val="008C51BC"/>
    <w:rsid w:val="008C51FD"/>
    <w:rsid w:val="008C5413"/>
    <w:rsid w:val="008C7D21"/>
    <w:rsid w:val="008D14C6"/>
    <w:rsid w:val="008D20A9"/>
    <w:rsid w:val="008D471A"/>
    <w:rsid w:val="008E14C1"/>
    <w:rsid w:val="008E2C2C"/>
    <w:rsid w:val="008E3C71"/>
    <w:rsid w:val="008E75AF"/>
    <w:rsid w:val="008F0B5C"/>
    <w:rsid w:val="008F2106"/>
    <w:rsid w:val="008F283E"/>
    <w:rsid w:val="008F5280"/>
    <w:rsid w:val="008F53E8"/>
    <w:rsid w:val="008F65EF"/>
    <w:rsid w:val="00900DDD"/>
    <w:rsid w:val="00901037"/>
    <w:rsid w:val="00902D4F"/>
    <w:rsid w:val="00905E8E"/>
    <w:rsid w:val="00910D06"/>
    <w:rsid w:val="0091719A"/>
    <w:rsid w:val="009175D5"/>
    <w:rsid w:val="0092337B"/>
    <w:rsid w:val="00923BB0"/>
    <w:rsid w:val="00923BC2"/>
    <w:rsid w:val="00925511"/>
    <w:rsid w:val="00927C8D"/>
    <w:rsid w:val="00930EC0"/>
    <w:rsid w:val="009322A4"/>
    <w:rsid w:val="009323A5"/>
    <w:rsid w:val="009338AC"/>
    <w:rsid w:val="00933A0B"/>
    <w:rsid w:val="00935054"/>
    <w:rsid w:val="00940A1D"/>
    <w:rsid w:val="00941325"/>
    <w:rsid w:val="009420FB"/>
    <w:rsid w:val="009425AA"/>
    <w:rsid w:val="009425CC"/>
    <w:rsid w:val="00944879"/>
    <w:rsid w:val="0094496A"/>
    <w:rsid w:val="00945016"/>
    <w:rsid w:val="00946AC8"/>
    <w:rsid w:val="00946C26"/>
    <w:rsid w:val="009476CB"/>
    <w:rsid w:val="0095096C"/>
    <w:rsid w:val="00954489"/>
    <w:rsid w:val="009561E4"/>
    <w:rsid w:val="00957130"/>
    <w:rsid w:val="00962A5C"/>
    <w:rsid w:val="009654FE"/>
    <w:rsid w:val="009712A9"/>
    <w:rsid w:val="00971560"/>
    <w:rsid w:val="00972104"/>
    <w:rsid w:val="00972F3F"/>
    <w:rsid w:val="00973D05"/>
    <w:rsid w:val="0097492F"/>
    <w:rsid w:val="00977158"/>
    <w:rsid w:val="0097774D"/>
    <w:rsid w:val="00980A37"/>
    <w:rsid w:val="00982DFE"/>
    <w:rsid w:val="00984ADF"/>
    <w:rsid w:val="00986917"/>
    <w:rsid w:val="00987457"/>
    <w:rsid w:val="00987B0E"/>
    <w:rsid w:val="009907F7"/>
    <w:rsid w:val="00991285"/>
    <w:rsid w:val="00995D49"/>
    <w:rsid w:val="00996F10"/>
    <w:rsid w:val="00997258"/>
    <w:rsid w:val="00997D41"/>
    <w:rsid w:val="009A2ECC"/>
    <w:rsid w:val="009A3943"/>
    <w:rsid w:val="009A4D7B"/>
    <w:rsid w:val="009A51FD"/>
    <w:rsid w:val="009B04EE"/>
    <w:rsid w:val="009B220B"/>
    <w:rsid w:val="009B328D"/>
    <w:rsid w:val="009B3BAD"/>
    <w:rsid w:val="009C15BE"/>
    <w:rsid w:val="009C469A"/>
    <w:rsid w:val="009C5D06"/>
    <w:rsid w:val="009C5FDB"/>
    <w:rsid w:val="009C790E"/>
    <w:rsid w:val="009C7E7E"/>
    <w:rsid w:val="009D2449"/>
    <w:rsid w:val="009D354B"/>
    <w:rsid w:val="009D3859"/>
    <w:rsid w:val="009D6CE5"/>
    <w:rsid w:val="009E0E4F"/>
    <w:rsid w:val="009E34A2"/>
    <w:rsid w:val="009E48EF"/>
    <w:rsid w:val="009F2408"/>
    <w:rsid w:val="009F44CB"/>
    <w:rsid w:val="00A02082"/>
    <w:rsid w:val="00A02E3A"/>
    <w:rsid w:val="00A032C1"/>
    <w:rsid w:val="00A033E5"/>
    <w:rsid w:val="00A118A7"/>
    <w:rsid w:val="00A12DC0"/>
    <w:rsid w:val="00A14E0B"/>
    <w:rsid w:val="00A15DEB"/>
    <w:rsid w:val="00A163BF"/>
    <w:rsid w:val="00A173C2"/>
    <w:rsid w:val="00A25570"/>
    <w:rsid w:val="00A2597A"/>
    <w:rsid w:val="00A26A62"/>
    <w:rsid w:val="00A2712C"/>
    <w:rsid w:val="00A305CE"/>
    <w:rsid w:val="00A3197F"/>
    <w:rsid w:val="00A32436"/>
    <w:rsid w:val="00A34E8B"/>
    <w:rsid w:val="00A34FDE"/>
    <w:rsid w:val="00A3523C"/>
    <w:rsid w:val="00A36806"/>
    <w:rsid w:val="00A40F71"/>
    <w:rsid w:val="00A41D58"/>
    <w:rsid w:val="00A45928"/>
    <w:rsid w:val="00A4593D"/>
    <w:rsid w:val="00A47934"/>
    <w:rsid w:val="00A4ACD5"/>
    <w:rsid w:val="00A54F5E"/>
    <w:rsid w:val="00A564BD"/>
    <w:rsid w:val="00A650C1"/>
    <w:rsid w:val="00A6531C"/>
    <w:rsid w:val="00A67588"/>
    <w:rsid w:val="00A705F4"/>
    <w:rsid w:val="00A70C86"/>
    <w:rsid w:val="00A777DD"/>
    <w:rsid w:val="00A80ACF"/>
    <w:rsid w:val="00A82653"/>
    <w:rsid w:val="00A83DD0"/>
    <w:rsid w:val="00A854C9"/>
    <w:rsid w:val="00A8559A"/>
    <w:rsid w:val="00A856CD"/>
    <w:rsid w:val="00A858EF"/>
    <w:rsid w:val="00A8772C"/>
    <w:rsid w:val="00A90556"/>
    <w:rsid w:val="00A91722"/>
    <w:rsid w:val="00A93291"/>
    <w:rsid w:val="00A938D6"/>
    <w:rsid w:val="00A93DA3"/>
    <w:rsid w:val="00A94055"/>
    <w:rsid w:val="00A9465A"/>
    <w:rsid w:val="00A96C58"/>
    <w:rsid w:val="00A97CF2"/>
    <w:rsid w:val="00A97FBC"/>
    <w:rsid w:val="00AA1A13"/>
    <w:rsid w:val="00AA2AF3"/>
    <w:rsid w:val="00AA2C31"/>
    <w:rsid w:val="00AAA29E"/>
    <w:rsid w:val="00AB35A2"/>
    <w:rsid w:val="00AB658C"/>
    <w:rsid w:val="00AB7ADC"/>
    <w:rsid w:val="00AC06DA"/>
    <w:rsid w:val="00AC0F80"/>
    <w:rsid w:val="00AC3A88"/>
    <w:rsid w:val="00AC3B01"/>
    <w:rsid w:val="00AC4146"/>
    <w:rsid w:val="00AC4B96"/>
    <w:rsid w:val="00AD106D"/>
    <w:rsid w:val="00AD3C0C"/>
    <w:rsid w:val="00AD5066"/>
    <w:rsid w:val="00AD556B"/>
    <w:rsid w:val="00AE2F96"/>
    <w:rsid w:val="00AE4E6C"/>
    <w:rsid w:val="00AE6E63"/>
    <w:rsid w:val="00AE76EC"/>
    <w:rsid w:val="00AE7F74"/>
    <w:rsid w:val="00AF0D6C"/>
    <w:rsid w:val="00AF1A9E"/>
    <w:rsid w:val="00AF4D66"/>
    <w:rsid w:val="00AF51BC"/>
    <w:rsid w:val="00B0078C"/>
    <w:rsid w:val="00B06DB8"/>
    <w:rsid w:val="00B0999B"/>
    <w:rsid w:val="00B110D5"/>
    <w:rsid w:val="00B135C9"/>
    <w:rsid w:val="00B23366"/>
    <w:rsid w:val="00B24471"/>
    <w:rsid w:val="00B24F85"/>
    <w:rsid w:val="00B33768"/>
    <w:rsid w:val="00B3456B"/>
    <w:rsid w:val="00B34C1F"/>
    <w:rsid w:val="00B37C6B"/>
    <w:rsid w:val="00B44208"/>
    <w:rsid w:val="00B448E7"/>
    <w:rsid w:val="00B466AF"/>
    <w:rsid w:val="00B46EF0"/>
    <w:rsid w:val="00B51C04"/>
    <w:rsid w:val="00B52437"/>
    <w:rsid w:val="00B555F8"/>
    <w:rsid w:val="00B55E94"/>
    <w:rsid w:val="00B63AF8"/>
    <w:rsid w:val="00B6413D"/>
    <w:rsid w:val="00B6509B"/>
    <w:rsid w:val="00B65FE6"/>
    <w:rsid w:val="00B660A6"/>
    <w:rsid w:val="00B712D8"/>
    <w:rsid w:val="00B723C8"/>
    <w:rsid w:val="00B77A62"/>
    <w:rsid w:val="00B85466"/>
    <w:rsid w:val="00B85A9C"/>
    <w:rsid w:val="00B85D62"/>
    <w:rsid w:val="00B86483"/>
    <w:rsid w:val="00B8655B"/>
    <w:rsid w:val="00B91C4F"/>
    <w:rsid w:val="00B950B9"/>
    <w:rsid w:val="00B959E7"/>
    <w:rsid w:val="00B97F79"/>
    <w:rsid w:val="00BA146D"/>
    <w:rsid w:val="00BA19F5"/>
    <w:rsid w:val="00BA1AF1"/>
    <w:rsid w:val="00BA43D5"/>
    <w:rsid w:val="00BA4F41"/>
    <w:rsid w:val="00BB1897"/>
    <w:rsid w:val="00BB1A9F"/>
    <w:rsid w:val="00BB4623"/>
    <w:rsid w:val="00BB4657"/>
    <w:rsid w:val="00BB505C"/>
    <w:rsid w:val="00BB6410"/>
    <w:rsid w:val="00BB7280"/>
    <w:rsid w:val="00BC26DE"/>
    <w:rsid w:val="00BC4B56"/>
    <w:rsid w:val="00BC7422"/>
    <w:rsid w:val="00BD2354"/>
    <w:rsid w:val="00BD5527"/>
    <w:rsid w:val="00BD5BB6"/>
    <w:rsid w:val="00BD6EC6"/>
    <w:rsid w:val="00BD78F7"/>
    <w:rsid w:val="00BE022F"/>
    <w:rsid w:val="00BE0420"/>
    <w:rsid w:val="00BE1C38"/>
    <w:rsid w:val="00BE1DEA"/>
    <w:rsid w:val="00BE4768"/>
    <w:rsid w:val="00BE49E4"/>
    <w:rsid w:val="00BE52B7"/>
    <w:rsid w:val="00BE673A"/>
    <w:rsid w:val="00BE68BB"/>
    <w:rsid w:val="00BE7134"/>
    <w:rsid w:val="00BF1672"/>
    <w:rsid w:val="00BF221C"/>
    <w:rsid w:val="00BF39F3"/>
    <w:rsid w:val="00BF42B5"/>
    <w:rsid w:val="00BF46C1"/>
    <w:rsid w:val="00C024D0"/>
    <w:rsid w:val="00C02612"/>
    <w:rsid w:val="00C033E2"/>
    <w:rsid w:val="00C05A31"/>
    <w:rsid w:val="00C05E92"/>
    <w:rsid w:val="00C0733C"/>
    <w:rsid w:val="00C075A9"/>
    <w:rsid w:val="00C07E9B"/>
    <w:rsid w:val="00C10C4E"/>
    <w:rsid w:val="00C11B19"/>
    <w:rsid w:val="00C11F78"/>
    <w:rsid w:val="00C12002"/>
    <w:rsid w:val="00C12D53"/>
    <w:rsid w:val="00C12E3D"/>
    <w:rsid w:val="00C15E97"/>
    <w:rsid w:val="00C1742E"/>
    <w:rsid w:val="00C22155"/>
    <w:rsid w:val="00C23B2B"/>
    <w:rsid w:val="00C24509"/>
    <w:rsid w:val="00C27099"/>
    <w:rsid w:val="00C2743C"/>
    <w:rsid w:val="00C2756C"/>
    <w:rsid w:val="00C301C1"/>
    <w:rsid w:val="00C317D6"/>
    <w:rsid w:val="00C31D3B"/>
    <w:rsid w:val="00C31D6C"/>
    <w:rsid w:val="00C32747"/>
    <w:rsid w:val="00C33960"/>
    <w:rsid w:val="00C35B5E"/>
    <w:rsid w:val="00C369D3"/>
    <w:rsid w:val="00C41260"/>
    <w:rsid w:val="00C4260A"/>
    <w:rsid w:val="00C43D93"/>
    <w:rsid w:val="00C4415D"/>
    <w:rsid w:val="00C452A4"/>
    <w:rsid w:val="00C46176"/>
    <w:rsid w:val="00C46778"/>
    <w:rsid w:val="00C46AFD"/>
    <w:rsid w:val="00C523F9"/>
    <w:rsid w:val="00C526A1"/>
    <w:rsid w:val="00C53EB7"/>
    <w:rsid w:val="00C55B03"/>
    <w:rsid w:val="00C57D43"/>
    <w:rsid w:val="00C57E35"/>
    <w:rsid w:val="00C60346"/>
    <w:rsid w:val="00C60BCA"/>
    <w:rsid w:val="00C62953"/>
    <w:rsid w:val="00C63AD3"/>
    <w:rsid w:val="00C65550"/>
    <w:rsid w:val="00C65A10"/>
    <w:rsid w:val="00C7372D"/>
    <w:rsid w:val="00C74AAA"/>
    <w:rsid w:val="00C80EFC"/>
    <w:rsid w:val="00C81491"/>
    <w:rsid w:val="00C81B45"/>
    <w:rsid w:val="00C8324E"/>
    <w:rsid w:val="00C83960"/>
    <w:rsid w:val="00C84B49"/>
    <w:rsid w:val="00C85964"/>
    <w:rsid w:val="00C860B3"/>
    <w:rsid w:val="00C86BF4"/>
    <w:rsid w:val="00C87293"/>
    <w:rsid w:val="00C90545"/>
    <w:rsid w:val="00C90FE7"/>
    <w:rsid w:val="00C92304"/>
    <w:rsid w:val="00C92406"/>
    <w:rsid w:val="00C95089"/>
    <w:rsid w:val="00C970B3"/>
    <w:rsid w:val="00C97281"/>
    <w:rsid w:val="00C9779F"/>
    <w:rsid w:val="00CA3A07"/>
    <w:rsid w:val="00CA4A47"/>
    <w:rsid w:val="00CA4EB6"/>
    <w:rsid w:val="00CA7E70"/>
    <w:rsid w:val="00CA7E90"/>
    <w:rsid w:val="00CB0DE8"/>
    <w:rsid w:val="00CB2CDB"/>
    <w:rsid w:val="00CB35F4"/>
    <w:rsid w:val="00CB470E"/>
    <w:rsid w:val="00CB79F2"/>
    <w:rsid w:val="00CB7AFE"/>
    <w:rsid w:val="00CC1396"/>
    <w:rsid w:val="00CC140A"/>
    <w:rsid w:val="00CC1F1C"/>
    <w:rsid w:val="00CC698B"/>
    <w:rsid w:val="00CC7DBE"/>
    <w:rsid w:val="00CC7DCB"/>
    <w:rsid w:val="00CD0EAE"/>
    <w:rsid w:val="00CD14DD"/>
    <w:rsid w:val="00CD3BF7"/>
    <w:rsid w:val="00CD6E85"/>
    <w:rsid w:val="00CD78DF"/>
    <w:rsid w:val="00CD7F7D"/>
    <w:rsid w:val="00CE0729"/>
    <w:rsid w:val="00CE1D94"/>
    <w:rsid w:val="00CE2CE3"/>
    <w:rsid w:val="00CE35DC"/>
    <w:rsid w:val="00CE40B3"/>
    <w:rsid w:val="00CE483B"/>
    <w:rsid w:val="00CF150C"/>
    <w:rsid w:val="00CF5767"/>
    <w:rsid w:val="00D0305F"/>
    <w:rsid w:val="00D06013"/>
    <w:rsid w:val="00D063C0"/>
    <w:rsid w:val="00D0663E"/>
    <w:rsid w:val="00D07BF3"/>
    <w:rsid w:val="00D07F1B"/>
    <w:rsid w:val="00D106EF"/>
    <w:rsid w:val="00D10B9D"/>
    <w:rsid w:val="00D111E0"/>
    <w:rsid w:val="00D1183F"/>
    <w:rsid w:val="00D118C2"/>
    <w:rsid w:val="00D120C5"/>
    <w:rsid w:val="00D12C6F"/>
    <w:rsid w:val="00D13A5F"/>
    <w:rsid w:val="00D15704"/>
    <w:rsid w:val="00D1581F"/>
    <w:rsid w:val="00D1646A"/>
    <w:rsid w:val="00D166CB"/>
    <w:rsid w:val="00D187D6"/>
    <w:rsid w:val="00D215E7"/>
    <w:rsid w:val="00D224A1"/>
    <w:rsid w:val="00D25220"/>
    <w:rsid w:val="00D26805"/>
    <w:rsid w:val="00D30EFE"/>
    <w:rsid w:val="00D3156E"/>
    <w:rsid w:val="00D31DEA"/>
    <w:rsid w:val="00D32355"/>
    <w:rsid w:val="00D33027"/>
    <w:rsid w:val="00D35065"/>
    <w:rsid w:val="00D35999"/>
    <w:rsid w:val="00D3674C"/>
    <w:rsid w:val="00D40F0F"/>
    <w:rsid w:val="00D42A53"/>
    <w:rsid w:val="00D43557"/>
    <w:rsid w:val="00D46BCE"/>
    <w:rsid w:val="00D50267"/>
    <w:rsid w:val="00D50BF9"/>
    <w:rsid w:val="00D51722"/>
    <w:rsid w:val="00D51994"/>
    <w:rsid w:val="00D55B81"/>
    <w:rsid w:val="00D55D23"/>
    <w:rsid w:val="00D57752"/>
    <w:rsid w:val="00D60566"/>
    <w:rsid w:val="00D60F97"/>
    <w:rsid w:val="00D63B01"/>
    <w:rsid w:val="00D65AF6"/>
    <w:rsid w:val="00D662CD"/>
    <w:rsid w:val="00D67133"/>
    <w:rsid w:val="00D67FA4"/>
    <w:rsid w:val="00D715A2"/>
    <w:rsid w:val="00D72522"/>
    <w:rsid w:val="00D740B6"/>
    <w:rsid w:val="00D74F20"/>
    <w:rsid w:val="00D7680A"/>
    <w:rsid w:val="00D80D23"/>
    <w:rsid w:val="00D82808"/>
    <w:rsid w:val="00D82DFD"/>
    <w:rsid w:val="00D83FEB"/>
    <w:rsid w:val="00D854B1"/>
    <w:rsid w:val="00D85619"/>
    <w:rsid w:val="00D85830"/>
    <w:rsid w:val="00D85F04"/>
    <w:rsid w:val="00D8671E"/>
    <w:rsid w:val="00D87E78"/>
    <w:rsid w:val="00D87EA2"/>
    <w:rsid w:val="00D91CC5"/>
    <w:rsid w:val="00D924CB"/>
    <w:rsid w:val="00D93C36"/>
    <w:rsid w:val="00D94476"/>
    <w:rsid w:val="00D94DC9"/>
    <w:rsid w:val="00D9619F"/>
    <w:rsid w:val="00DA07E5"/>
    <w:rsid w:val="00DA1D84"/>
    <w:rsid w:val="00DA3588"/>
    <w:rsid w:val="00DA3D22"/>
    <w:rsid w:val="00DA3DDA"/>
    <w:rsid w:val="00DA4884"/>
    <w:rsid w:val="00DB07B8"/>
    <w:rsid w:val="00DB2661"/>
    <w:rsid w:val="00DB3439"/>
    <w:rsid w:val="00DB5BAE"/>
    <w:rsid w:val="00DB5E12"/>
    <w:rsid w:val="00DC1291"/>
    <w:rsid w:val="00DC2D60"/>
    <w:rsid w:val="00DC2DA1"/>
    <w:rsid w:val="00DC44A9"/>
    <w:rsid w:val="00DC4C2F"/>
    <w:rsid w:val="00DC576D"/>
    <w:rsid w:val="00DD0106"/>
    <w:rsid w:val="00DD0A63"/>
    <w:rsid w:val="00DD2782"/>
    <w:rsid w:val="00DD493B"/>
    <w:rsid w:val="00DD4DD9"/>
    <w:rsid w:val="00DD5EDE"/>
    <w:rsid w:val="00DD7130"/>
    <w:rsid w:val="00DD7202"/>
    <w:rsid w:val="00DE5C02"/>
    <w:rsid w:val="00DF1316"/>
    <w:rsid w:val="00DF16E2"/>
    <w:rsid w:val="00DF41AE"/>
    <w:rsid w:val="00DF5D83"/>
    <w:rsid w:val="00E0046F"/>
    <w:rsid w:val="00E0498B"/>
    <w:rsid w:val="00E06F79"/>
    <w:rsid w:val="00E07BBD"/>
    <w:rsid w:val="00E108C7"/>
    <w:rsid w:val="00E11FD3"/>
    <w:rsid w:val="00E13A19"/>
    <w:rsid w:val="00E14513"/>
    <w:rsid w:val="00E16467"/>
    <w:rsid w:val="00E17604"/>
    <w:rsid w:val="00E21270"/>
    <w:rsid w:val="00E21FC7"/>
    <w:rsid w:val="00E22F25"/>
    <w:rsid w:val="00E2444C"/>
    <w:rsid w:val="00E24E9B"/>
    <w:rsid w:val="00E25E80"/>
    <w:rsid w:val="00E26BF7"/>
    <w:rsid w:val="00E27E87"/>
    <w:rsid w:val="00E32CCF"/>
    <w:rsid w:val="00E34221"/>
    <w:rsid w:val="00E3461D"/>
    <w:rsid w:val="00E34B8F"/>
    <w:rsid w:val="00E36FFE"/>
    <w:rsid w:val="00E403EE"/>
    <w:rsid w:val="00E40B0B"/>
    <w:rsid w:val="00E41929"/>
    <w:rsid w:val="00E44174"/>
    <w:rsid w:val="00E50DCF"/>
    <w:rsid w:val="00E51A73"/>
    <w:rsid w:val="00E51CF7"/>
    <w:rsid w:val="00E523AE"/>
    <w:rsid w:val="00E53478"/>
    <w:rsid w:val="00E53BD9"/>
    <w:rsid w:val="00E53BFB"/>
    <w:rsid w:val="00E5553F"/>
    <w:rsid w:val="00E55A7C"/>
    <w:rsid w:val="00E56684"/>
    <w:rsid w:val="00E579DA"/>
    <w:rsid w:val="00E63C32"/>
    <w:rsid w:val="00E66AAB"/>
    <w:rsid w:val="00E7401D"/>
    <w:rsid w:val="00E74126"/>
    <w:rsid w:val="00E7573F"/>
    <w:rsid w:val="00E8005F"/>
    <w:rsid w:val="00E82D33"/>
    <w:rsid w:val="00E83375"/>
    <w:rsid w:val="00E84D8B"/>
    <w:rsid w:val="00E86255"/>
    <w:rsid w:val="00E868B3"/>
    <w:rsid w:val="00E8BDC9"/>
    <w:rsid w:val="00E8FA4D"/>
    <w:rsid w:val="00E913E3"/>
    <w:rsid w:val="00E9193E"/>
    <w:rsid w:val="00E92F84"/>
    <w:rsid w:val="00E935C8"/>
    <w:rsid w:val="00E953BC"/>
    <w:rsid w:val="00E97919"/>
    <w:rsid w:val="00EA1AC7"/>
    <w:rsid w:val="00EA1CC9"/>
    <w:rsid w:val="00EA2B94"/>
    <w:rsid w:val="00EA378B"/>
    <w:rsid w:val="00EA3C6A"/>
    <w:rsid w:val="00EA4AB0"/>
    <w:rsid w:val="00EA5F34"/>
    <w:rsid w:val="00EB0152"/>
    <w:rsid w:val="00EB4808"/>
    <w:rsid w:val="00EC28C4"/>
    <w:rsid w:val="00EC7ADD"/>
    <w:rsid w:val="00ECB45E"/>
    <w:rsid w:val="00ED06E9"/>
    <w:rsid w:val="00ED1E28"/>
    <w:rsid w:val="00ED31B0"/>
    <w:rsid w:val="00ED46DA"/>
    <w:rsid w:val="00ED4B18"/>
    <w:rsid w:val="00ED4B2E"/>
    <w:rsid w:val="00ED5DE9"/>
    <w:rsid w:val="00ED686B"/>
    <w:rsid w:val="00EE04D8"/>
    <w:rsid w:val="00EE1966"/>
    <w:rsid w:val="00EE1E1D"/>
    <w:rsid w:val="00EE3459"/>
    <w:rsid w:val="00EE5795"/>
    <w:rsid w:val="00EF1E58"/>
    <w:rsid w:val="00EF224D"/>
    <w:rsid w:val="00EF2729"/>
    <w:rsid w:val="00EF341F"/>
    <w:rsid w:val="00EF36E4"/>
    <w:rsid w:val="00EF62B7"/>
    <w:rsid w:val="00EF6929"/>
    <w:rsid w:val="00EF6CB8"/>
    <w:rsid w:val="00EF7047"/>
    <w:rsid w:val="00EF74D1"/>
    <w:rsid w:val="00EF79A5"/>
    <w:rsid w:val="00F01015"/>
    <w:rsid w:val="00F03909"/>
    <w:rsid w:val="00F03C01"/>
    <w:rsid w:val="00F05E8A"/>
    <w:rsid w:val="00F0662D"/>
    <w:rsid w:val="00F06979"/>
    <w:rsid w:val="00F07035"/>
    <w:rsid w:val="00F106C3"/>
    <w:rsid w:val="00F12D52"/>
    <w:rsid w:val="00F2211E"/>
    <w:rsid w:val="00F22581"/>
    <w:rsid w:val="00F24A45"/>
    <w:rsid w:val="00F25EDE"/>
    <w:rsid w:val="00F35762"/>
    <w:rsid w:val="00F36552"/>
    <w:rsid w:val="00F44085"/>
    <w:rsid w:val="00F472EE"/>
    <w:rsid w:val="00F47570"/>
    <w:rsid w:val="00F5392A"/>
    <w:rsid w:val="00F56708"/>
    <w:rsid w:val="00F579DC"/>
    <w:rsid w:val="00F57CA9"/>
    <w:rsid w:val="00F57DF7"/>
    <w:rsid w:val="00F61960"/>
    <w:rsid w:val="00F636D8"/>
    <w:rsid w:val="00F63E3B"/>
    <w:rsid w:val="00F65F6D"/>
    <w:rsid w:val="00F66846"/>
    <w:rsid w:val="00F67557"/>
    <w:rsid w:val="00F74130"/>
    <w:rsid w:val="00F754B9"/>
    <w:rsid w:val="00F7688E"/>
    <w:rsid w:val="00F76A88"/>
    <w:rsid w:val="00F76B3E"/>
    <w:rsid w:val="00F77815"/>
    <w:rsid w:val="00F77B50"/>
    <w:rsid w:val="00F77CB3"/>
    <w:rsid w:val="00F80015"/>
    <w:rsid w:val="00F80356"/>
    <w:rsid w:val="00F80E39"/>
    <w:rsid w:val="00F817BD"/>
    <w:rsid w:val="00F81B9B"/>
    <w:rsid w:val="00F81C5C"/>
    <w:rsid w:val="00F82A1E"/>
    <w:rsid w:val="00F8337B"/>
    <w:rsid w:val="00F91424"/>
    <w:rsid w:val="00F92DC8"/>
    <w:rsid w:val="00F933D1"/>
    <w:rsid w:val="00F94040"/>
    <w:rsid w:val="00F947F9"/>
    <w:rsid w:val="00F96D7D"/>
    <w:rsid w:val="00F97B96"/>
    <w:rsid w:val="00FA0F85"/>
    <w:rsid w:val="00FA519E"/>
    <w:rsid w:val="00FA5C8C"/>
    <w:rsid w:val="00FA6FEC"/>
    <w:rsid w:val="00FB12EE"/>
    <w:rsid w:val="00FB28B4"/>
    <w:rsid w:val="00FB3D87"/>
    <w:rsid w:val="00FB3E11"/>
    <w:rsid w:val="00FB4104"/>
    <w:rsid w:val="00FB5F6C"/>
    <w:rsid w:val="00FB6A58"/>
    <w:rsid w:val="00FC2632"/>
    <w:rsid w:val="00FC57C1"/>
    <w:rsid w:val="00FC6EAE"/>
    <w:rsid w:val="00FC7ADA"/>
    <w:rsid w:val="00FD08ED"/>
    <w:rsid w:val="00FD0DBB"/>
    <w:rsid w:val="00FD1321"/>
    <w:rsid w:val="00FD3561"/>
    <w:rsid w:val="00FD5E9F"/>
    <w:rsid w:val="00FD5F25"/>
    <w:rsid w:val="00FD675F"/>
    <w:rsid w:val="00FD685A"/>
    <w:rsid w:val="00FD787C"/>
    <w:rsid w:val="00FD801C"/>
    <w:rsid w:val="00FE0E9A"/>
    <w:rsid w:val="00FE1850"/>
    <w:rsid w:val="00FE1AFE"/>
    <w:rsid w:val="00FE226C"/>
    <w:rsid w:val="00FF01E7"/>
    <w:rsid w:val="00FF1928"/>
    <w:rsid w:val="00FF2861"/>
    <w:rsid w:val="00FF4ECD"/>
    <w:rsid w:val="0101DADF"/>
    <w:rsid w:val="010DEDB6"/>
    <w:rsid w:val="010E35B7"/>
    <w:rsid w:val="011991E6"/>
    <w:rsid w:val="011AAD6B"/>
    <w:rsid w:val="0120EC36"/>
    <w:rsid w:val="012D7B32"/>
    <w:rsid w:val="01380B70"/>
    <w:rsid w:val="01397DF0"/>
    <w:rsid w:val="01453EFF"/>
    <w:rsid w:val="014B4E4A"/>
    <w:rsid w:val="01548136"/>
    <w:rsid w:val="0156CD1A"/>
    <w:rsid w:val="016A1C35"/>
    <w:rsid w:val="0171781F"/>
    <w:rsid w:val="0175C2C3"/>
    <w:rsid w:val="01771F26"/>
    <w:rsid w:val="01838116"/>
    <w:rsid w:val="0183EC38"/>
    <w:rsid w:val="0184E329"/>
    <w:rsid w:val="0189F2AF"/>
    <w:rsid w:val="01997452"/>
    <w:rsid w:val="01A22ACC"/>
    <w:rsid w:val="01A6B8DE"/>
    <w:rsid w:val="01A72DD5"/>
    <w:rsid w:val="01AC1C85"/>
    <w:rsid w:val="01ADD65C"/>
    <w:rsid w:val="01BAB7FC"/>
    <w:rsid w:val="01BC8001"/>
    <w:rsid w:val="01D8B6BD"/>
    <w:rsid w:val="01DA3C43"/>
    <w:rsid w:val="01DE20E7"/>
    <w:rsid w:val="01E00689"/>
    <w:rsid w:val="01E5EC69"/>
    <w:rsid w:val="01E7958C"/>
    <w:rsid w:val="01EC0288"/>
    <w:rsid w:val="01EC1A88"/>
    <w:rsid w:val="01EF813A"/>
    <w:rsid w:val="01FA2A9E"/>
    <w:rsid w:val="02087D41"/>
    <w:rsid w:val="020D1AC4"/>
    <w:rsid w:val="020DF957"/>
    <w:rsid w:val="02161E52"/>
    <w:rsid w:val="02181BAB"/>
    <w:rsid w:val="021B0094"/>
    <w:rsid w:val="021BB5FA"/>
    <w:rsid w:val="021D3AF9"/>
    <w:rsid w:val="022026F7"/>
    <w:rsid w:val="022BD377"/>
    <w:rsid w:val="0237B80D"/>
    <w:rsid w:val="023A8C4A"/>
    <w:rsid w:val="0258B2C9"/>
    <w:rsid w:val="0261FC2A"/>
    <w:rsid w:val="026373C8"/>
    <w:rsid w:val="0264DEC7"/>
    <w:rsid w:val="026A1E91"/>
    <w:rsid w:val="026F034E"/>
    <w:rsid w:val="027D63E4"/>
    <w:rsid w:val="028D233A"/>
    <w:rsid w:val="0290D2CC"/>
    <w:rsid w:val="02978BD6"/>
    <w:rsid w:val="029807C9"/>
    <w:rsid w:val="02A6281B"/>
    <w:rsid w:val="02DD53A0"/>
    <w:rsid w:val="02EC81A6"/>
    <w:rsid w:val="02F1B602"/>
    <w:rsid w:val="02F916E5"/>
    <w:rsid w:val="02FCC834"/>
    <w:rsid w:val="0302E7A4"/>
    <w:rsid w:val="0309EC8B"/>
    <w:rsid w:val="03173077"/>
    <w:rsid w:val="031E383E"/>
    <w:rsid w:val="033D0618"/>
    <w:rsid w:val="033DFB2D"/>
    <w:rsid w:val="0349A6BD"/>
    <w:rsid w:val="0357CEA9"/>
    <w:rsid w:val="035A808A"/>
    <w:rsid w:val="035F8726"/>
    <w:rsid w:val="037FB873"/>
    <w:rsid w:val="0380D87C"/>
    <w:rsid w:val="03925BF3"/>
    <w:rsid w:val="03959C06"/>
    <w:rsid w:val="039A5FD1"/>
    <w:rsid w:val="03A98908"/>
    <w:rsid w:val="03ADE2A8"/>
    <w:rsid w:val="03B4E888"/>
    <w:rsid w:val="03B91EA6"/>
    <w:rsid w:val="03CA2ABB"/>
    <w:rsid w:val="03CDAD22"/>
    <w:rsid w:val="03DAD8B2"/>
    <w:rsid w:val="03DCC1A4"/>
    <w:rsid w:val="03DCEB21"/>
    <w:rsid w:val="03DE2905"/>
    <w:rsid w:val="03DF3682"/>
    <w:rsid w:val="03E3BA69"/>
    <w:rsid w:val="03E3D28D"/>
    <w:rsid w:val="03EF644B"/>
    <w:rsid w:val="040B754E"/>
    <w:rsid w:val="04245520"/>
    <w:rsid w:val="04267835"/>
    <w:rsid w:val="0428B811"/>
    <w:rsid w:val="043672DA"/>
    <w:rsid w:val="04448A9B"/>
    <w:rsid w:val="044908B4"/>
    <w:rsid w:val="044C519A"/>
    <w:rsid w:val="044EB561"/>
    <w:rsid w:val="04536E80"/>
    <w:rsid w:val="04578807"/>
    <w:rsid w:val="045B3946"/>
    <w:rsid w:val="046404FF"/>
    <w:rsid w:val="04691CAC"/>
    <w:rsid w:val="046EC3E7"/>
    <w:rsid w:val="04791F46"/>
    <w:rsid w:val="048A2EC2"/>
    <w:rsid w:val="0490230F"/>
    <w:rsid w:val="0496B8E0"/>
    <w:rsid w:val="04981661"/>
    <w:rsid w:val="049C7B2A"/>
    <w:rsid w:val="049E40E2"/>
    <w:rsid w:val="04A0BD98"/>
    <w:rsid w:val="04A1CB0B"/>
    <w:rsid w:val="04A6357E"/>
    <w:rsid w:val="04B3A1E3"/>
    <w:rsid w:val="04B9D673"/>
    <w:rsid w:val="04BCB02B"/>
    <w:rsid w:val="04C609F6"/>
    <w:rsid w:val="04CF4F4D"/>
    <w:rsid w:val="04D9CB8E"/>
    <w:rsid w:val="04E18AC0"/>
    <w:rsid w:val="04E9B7FB"/>
    <w:rsid w:val="04F5D1EA"/>
    <w:rsid w:val="050058BB"/>
    <w:rsid w:val="050751A5"/>
    <w:rsid w:val="052BC2B0"/>
    <w:rsid w:val="053F0284"/>
    <w:rsid w:val="05484E92"/>
    <w:rsid w:val="05489AAC"/>
    <w:rsid w:val="054F24F7"/>
    <w:rsid w:val="054F9F54"/>
    <w:rsid w:val="0557C7B9"/>
    <w:rsid w:val="055AD066"/>
    <w:rsid w:val="055EBADC"/>
    <w:rsid w:val="05602D3B"/>
    <w:rsid w:val="05651C13"/>
    <w:rsid w:val="05689D7C"/>
    <w:rsid w:val="0578D99E"/>
    <w:rsid w:val="05795598"/>
    <w:rsid w:val="057D0639"/>
    <w:rsid w:val="0587D67E"/>
    <w:rsid w:val="0594C5D7"/>
    <w:rsid w:val="05AF5773"/>
    <w:rsid w:val="05AFD3FA"/>
    <w:rsid w:val="05BDD397"/>
    <w:rsid w:val="05BEFD54"/>
    <w:rsid w:val="05C3BCD3"/>
    <w:rsid w:val="05DC4304"/>
    <w:rsid w:val="05E50C30"/>
    <w:rsid w:val="05E5116E"/>
    <w:rsid w:val="05E8C3F8"/>
    <w:rsid w:val="05EA6C0F"/>
    <w:rsid w:val="05FD3CD9"/>
    <w:rsid w:val="0605FAF0"/>
    <w:rsid w:val="060F514C"/>
    <w:rsid w:val="06253739"/>
    <w:rsid w:val="062633BA"/>
    <w:rsid w:val="06293821"/>
    <w:rsid w:val="062A4660"/>
    <w:rsid w:val="063087D5"/>
    <w:rsid w:val="0630B033"/>
    <w:rsid w:val="063AFF47"/>
    <w:rsid w:val="064540D8"/>
    <w:rsid w:val="0649B315"/>
    <w:rsid w:val="0649F365"/>
    <w:rsid w:val="064D5589"/>
    <w:rsid w:val="0651D099"/>
    <w:rsid w:val="06597588"/>
    <w:rsid w:val="06665602"/>
    <w:rsid w:val="0679DB1B"/>
    <w:rsid w:val="06875C31"/>
    <w:rsid w:val="0690EAB3"/>
    <w:rsid w:val="06979A13"/>
    <w:rsid w:val="06A72D3B"/>
    <w:rsid w:val="06BF3F19"/>
    <w:rsid w:val="06C0BDB1"/>
    <w:rsid w:val="06C559A4"/>
    <w:rsid w:val="06CD3CC8"/>
    <w:rsid w:val="06D26471"/>
    <w:rsid w:val="06D6846C"/>
    <w:rsid w:val="06DB91BF"/>
    <w:rsid w:val="06DC2FA9"/>
    <w:rsid w:val="06E05F66"/>
    <w:rsid w:val="06E066AB"/>
    <w:rsid w:val="06E32D46"/>
    <w:rsid w:val="06E56A17"/>
    <w:rsid w:val="06F21834"/>
    <w:rsid w:val="06F25A69"/>
    <w:rsid w:val="06F5247B"/>
    <w:rsid w:val="06F67BA4"/>
    <w:rsid w:val="07003A39"/>
    <w:rsid w:val="07005C96"/>
    <w:rsid w:val="0716BA19"/>
    <w:rsid w:val="071ADF67"/>
    <w:rsid w:val="071CA2A6"/>
    <w:rsid w:val="072E3146"/>
    <w:rsid w:val="0732252A"/>
    <w:rsid w:val="073454AC"/>
    <w:rsid w:val="07376019"/>
    <w:rsid w:val="07409DC3"/>
    <w:rsid w:val="0747EABA"/>
    <w:rsid w:val="0752B0C7"/>
    <w:rsid w:val="0756F199"/>
    <w:rsid w:val="076079DF"/>
    <w:rsid w:val="076443EF"/>
    <w:rsid w:val="07673D4E"/>
    <w:rsid w:val="07783293"/>
    <w:rsid w:val="0779BD56"/>
    <w:rsid w:val="07804445"/>
    <w:rsid w:val="0780D20D"/>
    <w:rsid w:val="07945AAA"/>
    <w:rsid w:val="07A433F8"/>
    <w:rsid w:val="07A568D8"/>
    <w:rsid w:val="07ABE37C"/>
    <w:rsid w:val="07B14A8D"/>
    <w:rsid w:val="07B43F86"/>
    <w:rsid w:val="07BB5AE1"/>
    <w:rsid w:val="07C79390"/>
    <w:rsid w:val="07CA7681"/>
    <w:rsid w:val="07D35268"/>
    <w:rsid w:val="07D4EB13"/>
    <w:rsid w:val="07DD7DB2"/>
    <w:rsid w:val="07DDD3FD"/>
    <w:rsid w:val="07E06AA0"/>
    <w:rsid w:val="07E6041B"/>
    <w:rsid w:val="07F9E727"/>
    <w:rsid w:val="07FA5CA0"/>
    <w:rsid w:val="07FED460"/>
    <w:rsid w:val="08233DF1"/>
    <w:rsid w:val="08254E03"/>
    <w:rsid w:val="082D406A"/>
    <w:rsid w:val="082DCD4A"/>
    <w:rsid w:val="08311CBE"/>
    <w:rsid w:val="0832AE51"/>
    <w:rsid w:val="083A3E0F"/>
    <w:rsid w:val="085EFE5F"/>
    <w:rsid w:val="085F8738"/>
    <w:rsid w:val="0863E8D2"/>
    <w:rsid w:val="08770838"/>
    <w:rsid w:val="089968E9"/>
    <w:rsid w:val="089FCF50"/>
    <w:rsid w:val="089FE0EC"/>
    <w:rsid w:val="08A5595B"/>
    <w:rsid w:val="08A84698"/>
    <w:rsid w:val="08AFA122"/>
    <w:rsid w:val="08B0A2E7"/>
    <w:rsid w:val="08B85303"/>
    <w:rsid w:val="08C93586"/>
    <w:rsid w:val="08D109DA"/>
    <w:rsid w:val="08D6BAD0"/>
    <w:rsid w:val="08E6EBF3"/>
    <w:rsid w:val="08E711E2"/>
    <w:rsid w:val="08EA4410"/>
    <w:rsid w:val="09001450"/>
    <w:rsid w:val="09014086"/>
    <w:rsid w:val="0905D18D"/>
    <w:rsid w:val="090A9226"/>
    <w:rsid w:val="090C8C0E"/>
    <w:rsid w:val="0928A546"/>
    <w:rsid w:val="0929A327"/>
    <w:rsid w:val="092E26EB"/>
    <w:rsid w:val="0937D0D7"/>
    <w:rsid w:val="093A54D1"/>
    <w:rsid w:val="0954A2A9"/>
    <w:rsid w:val="095787AF"/>
    <w:rsid w:val="0966C59F"/>
    <w:rsid w:val="09794E13"/>
    <w:rsid w:val="099DC3BC"/>
    <w:rsid w:val="099E2995"/>
    <w:rsid w:val="09AE2427"/>
    <w:rsid w:val="09B34C6E"/>
    <w:rsid w:val="09C3425C"/>
    <w:rsid w:val="09C5CBA9"/>
    <w:rsid w:val="09CF8F1F"/>
    <w:rsid w:val="09D81FBD"/>
    <w:rsid w:val="09DE8181"/>
    <w:rsid w:val="09E96437"/>
    <w:rsid w:val="09E97D5D"/>
    <w:rsid w:val="09F52824"/>
    <w:rsid w:val="0A12D7EA"/>
    <w:rsid w:val="0A1BBCA0"/>
    <w:rsid w:val="0A1BD9F9"/>
    <w:rsid w:val="0A1E33C7"/>
    <w:rsid w:val="0A24B7CF"/>
    <w:rsid w:val="0A263F2F"/>
    <w:rsid w:val="0A26D9F2"/>
    <w:rsid w:val="0A2CE797"/>
    <w:rsid w:val="0A418ED7"/>
    <w:rsid w:val="0A464DCA"/>
    <w:rsid w:val="0A4FD8E3"/>
    <w:rsid w:val="0A514176"/>
    <w:rsid w:val="0A596CAE"/>
    <w:rsid w:val="0A59C76A"/>
    <w:rsid w:val="0A62507C"/>
    <w:rsid w:val="0A6AC086"/>
    <w:rsid w:val="0A704CF7"/>
    <w:rsid w:val="0A790BD4"/>
    <w:rsid w:val="0A79FEF3"/>
    <w:rsid w:val="0A7D1DFC"/>
    <w:rsid w:val="0A8188DE"/>
    <w:rsid w:val="0A89EFF4"/>
    <w:rsid w:val="0A908EBA"/>
    <w:rsid w:val="0A9BE4B1"/>
    <w:rsid w:val="0A9D10E7"/>
    <w:rsid w:val="0AA7345D"/>
    <w:rsid w:val="0AC6AB23"/>
    <w:rsid w:val="0AC6C402"/>
    <w:rsid w:val="0ADD099A"/>
    <w:rsid w:val="0ADFD0C4"/>
    <w:rsid w:val="0AE7188D"/>
    <w:rsid w:val="0AED39D1"/>
    <w:rsid w:val="0AF70A8E"/>
    <w:rsid w:val="0B01AB31"/>
    <w:rsid w:val="0B18910D"/>
    <w:rsid w:val="0B1E1E7C"/>
    <w:rsid w:val="0B21DF59"/>
    <w:rsid w:val="0B23FEE9"/>
    <w:rsid w:val="0B33AB4F"/>
    <w:rsid w:val="0B36666A"/>
    <w:rsid w:val="0B4BB477"/>
    <w:rsid w:val="0B54FDB0"/>
    <w:rsid w:val="0B57EEBB"/>
    <w:rsid w:val="0B6179C6"/>
    <w:rsid w:val="0B655770"/>
    <w:rsid w:val="0B74DD2E"/>
    <w:rsid w:val="0B759715"/>
    <w:rsid w:val="0B76EE1D"/>
    <w:rsid w:val="0B78C578"/>
    <w:rsid w:val="0B79D471"/>
    <w:rsid w:val="0B800A5E"/>
    <w:rsid w:val="0B849180"/>
    <w:rsid w:val="0B8B1499"/>
    <w:rsid w:val="0B991D2E"/>
    <w:rsid w:val="0B9BE0E7"/>
    <w:rsid w:val="0B9E7732"/>
    <w:rsid w:val="0BA0993C"/>
    <w:rsid w:val="0BA4FF09"/>
    <w:rsid w:val="0BB57C46"/>
    <w:rsid w:val="0BCA6575"/>
    <w:rsid w:val="0BCC77D7"/>
    <w:rsid w:val="0BCD76DD"/>
    <w:rsid w:val="0BE8A038"/>
    <w:rsid w:val="0BF8BBD4"/>
    <w:rsid w:val="0C0C1D58"/>
    <w:rsid w:val="0C114409"/>
    <w:rsid w:val="0C183C3E"/>
    <w:rsid w:val="0C18EE5D"/>
    <w:rsid w:val="0C20EE42"/>
    <w:rsid w:val="0C24AA68"/>
    <w:rsid w:val="0C2844D2"/>
    <w:rsid w:val="0C2CE69E"/>
    <w:rsid w:val="0C31F3FC"/>
    <w:rsid w:val="0C421A3D"/>
    <w:rsid w:val="0C540876"/>
    <w:rsid w:val="0C58999D"/>
    <w:rsid w:val="0C5C2A35"/>
    <w:rsid w:val="0C645C29"/>
    <w:rsid w:val="0C73399C"/>
    <w:rsid w:val="0CA344A0"/>
    <w:rsid w:val="0CA3665E"/>
    <w:rsid w:val="0CA8D754"/>
    <w:rsid w:val="0CB47241"/>
    <w:rsid w:val="0CB61C2A"/>
    <w:rsid w:val="0CB98DFE"/>
    <w:rsid w:val="0CC800A0"/>
    <w:rsid w:val="0CCB1CC3"/>
    <w:rsid w:val="0CD83A98"/>
    <w:rsid w:val="0CDB89F4"/>
    <w:rsid w:val="0CF5DF2F"/>
    <w:rsid w:val="0D06210A"/>
    <w:rsid w:val="0D0AB56D"/>
    <w:rsid w:val="0D10D91B"/>
    <w:rsid w:val="0D11B748"/>
    <w:rsid w:val="0D1202B9"/>
    <w:rsid w:val="0D1BAD94"/>
    <w:rsid w:val="0D36C04E"/>
    <w:rsid w:val="0D38C039"/>
    <w:rsid w:val="0D3F38BB"/>
    <w:rsid w:val="0D445723"/>
    <w:rsid w:val="0D46D339"/>
    <w:rsid w:val="0D4EB95F"/>
    <w:rsid w:val="0D54539D"/>
    <w:rsid w:val="0D57C5CE"/>
    <w:rsid w:val="0D662D51"/>
    <w:rsid w:val="0D7760C3"/>
    <w:rsid w:val="0D78BAE4"/>
    <w:rsid w:val="0D7B4E1D"/>
    <w:rsid w:val="0D8294A8"/>
    <w:rsid w:val="0D9365AC"/>
    <w:rsid w:val="0DADAEAF"/>
    <w:rsid w:val="0DAFE227"/>
    <w:rsid w:val="0DC76857"/>
    <w:rsid w:val="0DCD8269"/>
    <w:rsid w:val="0DD114BF"/>
    <w:rsid w:val="0DD40179"/>
    <w:rsid w:val="0DD9CD3E"/>
    <w:rsid w:val="0DE8EC70"/>
    <w:rsid w:val="0DEE3963"/>
    <w:rsid w:val="0DEF04D9"/>
    <w:rsid w:val="0DFE8E38"/>
    <w:rsid w:val="0E06190D"/>
    <w:rsid w:val="0E114F5D"/>
    <w:rsid w:val="0E174FD0"/>
    <w:rsid w:val="0E23440B"/>
    <w:rsid w:val="0E280FD5"/>
    <w:rsid w:val="0E2B20D8"/>
    <w:rsid w:val="0E4E13EE"/>
    <w:rsid w:val="0E591A79"/>
    <w:rsid w:val="0E70CBB8"/>
    <w:rsid w:val="0E72E63E"/>
    <w:rsid w:val="0E8FAD13"/>
    <w:rsid w:val="0E951EEE"/>
    <w:rsid w:val="0E98D597"/>
    <w:rsid w:val="0EA073D2"/>
    <w:rsid w:val="0EA4F6CC"/>
    <w:rsid w:val="0EA8C6B5"/>
    <w:rsid w:val="0EA97A26"/>
    <w:rsid w:val="0EAC854E"/>
    <w:rsid w:val="0EAE441D"/>
    <w:rsid w:val="0EB17533"/>
    <w:rsid w:val="0EB416A0"/>
    <w:rsid w:val="0EBB9430"/>
    <w:rsid w:val="0EBC616E"/>
    <w:rsid w:val="0EC2D803"/>
    <w:rsid w:val="0EC7FF2E"/>
    <w:rsid w:val="0ED4EF60"/>
    <w:rsid w:val="0ED6F48F"/>
    <w:rsid w:val="0EDB17DC"/>
    <w:rsid w:val="0EE02784"/>
    <w:rsid w:val="0EE156FC"/>
    <w:rsid w:val="0EE40AC7"/>
    <w:rsid w:val="0EE92E96"/>
    <w:rsid w:val="0EF5C9D2"/>
    <w:rsid w:val="0EF6071F"/>
    <w:rsid w:val="0EF7DE08"/>
    <w:rsid w:val="0EF9B052"/>
    <w:rsid w:val="0EFC98EF"/>
    <w:rsid w:val="0F1670E7"/>
    <w:rsid w:val="0F236F6F"/>
    <w:rsid w:val="0F262C87"/>
    <w:rsid w:val="0F318BC2"/>
    <w:rsid w:val="0F32463F"/>
    <w:rsid w:val="0F32A50C"/>
    <w:rsid w:val="0F3D49B6"/>
    <w:rsid w:val="0F3F9F97"/>
    <w:rsid w:val="0F4A3A49"/>
    <w:rsid w:val="0F4D8CD1"/>
    <w:rsid w:val="0F8E7035"/>
    <w:rsid w:val="0FA9DACC"/>
    <w:rsid w:val="0FAB8106"/>
    <w:rsid w:val="0FADB489"/>
    <w:rsid w:val="0FB5950F"/>
    <w:rsid w:val="0FC14090"/>
    <w:rsid w:val="0FC4A14A"/>
    <w:rsid w:val="0FC4A527"/>
    <w:rsid w:val="0FC67277"/>
    <w:rsid w:val="0FDAC696"/>
    <w:rsid w:val="0FED2790"/>
    <w:rsid w:val="0FEEEF9C"/>
    <w:rsid w:val="0FFA41E1"/>
    <w:rsid w:val="10076D20"/>
    <w:rsid w:val="101B506D"/>
    <w:rsid w:val="10228827"/>
    <w:rsid w:val="103C58B2"/>
    <w:rsid w:val="103E48FA"/>
    <w:rsid w:val="1047A75E"/>
    <w:rsid w:val="10486FDB"/>
    <w:rsid w:val="104B8896"/>
    <w:rsid w:val="104BEEE4"/>
    <w:rsid w:val="104D4594"/>
    <w:rsid w:val="104E83F1"/>
    <w:rsid w:val="1059D48D"/>
    <w:rsid w:val="106092A4"/>
    <w:rsid w:val="10691C98"/>
    <w:rsid w:val="1069FEA2"/>
    <w:rsid w:val="106C7E5A"/>
    <w:rsid w:val="106CB8D7"/>
    <w:rsid w:val="10787FC4"/>
    <w:rsid w:val="107DD22E"/>
    <w:rsid w:val="1085AC6A"/>
    <w:rsid w:val="1086D361"/>
    <w:rsid w:val="10A4E47F"/>
    <w:rsid w:val="10B9853C"/>
    <w:rsid w:val="10BFB19A"/>
    <w:rsid w:val="10C1FCE8"/>
    <w:rsid w:val="10C77A90"/>
    <w:rsid w:val="10DF8D5E"/>
    <w:rsid w:val="10E918AF"/>
    <w:rsid w:val="10E92065"/>
    <w:rsid w:val="10E95D32"/>
    <w:rsid w:val="11116E00"/>
    <w:rsid w:val="111E4B88"/>
    <w:rsid w:val="11295BA2"/>
    <w:rsid w:val="1129EAD2"/>
    <w:rsid w:val="11364873"/>
    <w:rsid w:val="1137D3AD"/>
    <w:rsid w:val="114B344A"/>
    <w:rsid w:val="114EF092"/>
    <w:rsid w:val="115416D8"/>
    <w:rsid w:val="1172F9EA"/>
    <w:rsid w:val="117A3758"/>
    <w:rsid w:val="1184A951"/>
    <w:rsid w:val="1187C786"/>
    <w:rsid w:val="119061A6"/>
    <w:rsid w:val="11975072"/>
    <w:rsid w:val="119841CC"/>
    <w:rsid w:val="119AEDE1"/>
    <w:rsid w:val="11AED5D6"/>
    <w:rsid w:val="11B9E7C0"/>
    <w:rsid w:val="11CC4039"/>
    <w:rsid w:val="11CFD12E"/>
    <w:rsid w:val="11E7C2D5"/>
    <w:rsid w:val="11EBFD20"/>
    <w:rsid w:val="11ECF967"/>
    <w:rsid w:val="12059B63"/>
    <w:rsid w:val="120DE702"/>
    <w:rsid w:val="12191F6C"/>
    <w:rsid w:val="1221D659"/>
    <w:rsid w:val="1232493E"/>
    <w:rsid w:val="123B101E"/>
    <w:rsid w:val="1242AF52"/>
    <w:rsid w:val="125D80D8"/>
    <w:rsid w:val="125EF6F1"/>
    <w:rsid w:val="1264D11D"/>
    <w:rsid w:val="126AE017"/>
    <w:rsid w:val="12767D23"/>
    <w:rsid w:val="1277DC3B"/>
    <w:rsid w:val="127D4AD1"/>
    <w:rsid w:val="128024A9"/>
    <w:rsid w:val="129501D9"/>
    <w:rsid w:val="12AACE8C"/>
    <w:rsid w:val="12ABD749"/>
    <w:rsid w:val="12BC3087"/>
    <w:rsid w:val="12CD8DA7"/>
    <w:rsid w:val="12D1A44F"/>
    <w:rsid w:val="12F83862"/>
    <w:rsid w:val="1305D532"/>
    <w:rsid w:val="13189558"/>
    <w:rsid w:val="13189DAF"/>
    <w:rsid w:val="1320F8F4"/>
    <w:rsid w:val="132281A3"/>
    <w:rsid w:val="1325E2B1"/>
    <w:rsid w:val="1331B327"/>
    <w:rsid w:val="1340F350"/>
    <w:rsid w:val="1341F862"/>
    <w:rsid w:val="1348A71D"/>
    <w:rsid w:val="134A757F"/>
    <w:rsid w:val="135AC9DC"/>
    <w:rsid w:val="137F4E3D"/>
    <w:rsid w:val="1394E5D0"/>
    <w:rsid w:val="139C0E08"/>
    <w:rsid w:val="139DE13A"/>
    <w:rsid w:val="139F1344"/>
    <w:rsid w:val="13AD83EA"/>
    <w:rsid w:val="13ADAAD4"/>
    <w:rsid w:val="13B8D4FF"/>
    <w:rsid w:val="13CF3BAF"/>
    <w:rsid w:val="13E4067F"/>
    <w:rsid w:val="13E4EE26"/>
    <w:rsid w:val="13EE0B0E"/>
    <w:rsid w:val="13EFFFFD"/>
    <w:rsid w:val="13F421EA"/>
    <w:rsid w:val="13FE06E0"/>
    <w:rsid w:val="1411A475"/>
    <w:rsid w:val="1416DB63"/>
    <w:rsid w:val="141B6DBB"/>
    <w:rsid w:val="142CA5D4"/>
    <w:rsid w:val="144AD891"/>
    <w:rsid w:val="1450668C"/>
    <w:rsid w:val="14538D7A"/>
    <w:rsid w:val="146BD3E3"/>
    <w:rsid w:val="1472A2B8"/>
    <w:rsid w:val="1480D045"/>
    <w:rsid w:val="14969EA6"/>
    <w:rsid w:val="149EEDB1"/>
    <w:rsid w:val="14AF9942"/>
    <w:rsid w:val="14B23716"/>
    <w:rsid w:val="14C13E8B"/>
    <w:rsid w:val="14C8E6C2"/>
    <w:rsid w:val="14D0210A"/>
    <w:rsid w:val="14D0CE08"/>
    <w:rsid w:val="14D31285"/>
    <w:rsid w:val="14DDEC7A"/>
    <w:rsid w:val="14FBE544"/>
    <w:rsid w:val="15067151"/>
    <w:rsid w:val="1506C80C"/>
    <w:rsid w:val="150B3532"/>
    <w:rsid w:val="150CE15D"/>
    <w:rsid w:val="150DEC18"/>
    <w:rsid w:val="150E1EF4"/>
    <w:rsid w:val="1519A958"/>
    <w:rsid w:val="151CF655"/>
    <w:rsid w:val="153E1CDE"/>
    <w:rsid w:val="1545C943"/>
    <w:rsid w:val="154D3BD9"/>
    <w:rsid w:val="154F6908"/>
    <w:rsid w:val="155D2BBE"/>
    <w:rsid w:val="155D7DAC"/>
    <w:rsid w:val="155EDC6E"/>
    <w:rsid w:val="1563F48E"/>
    <w:rsid w:val="1566ABFC"/>
    <w:rsid w:val="156BD064"/>
    <w:rsid w:val="156E10E2"/>
    <w:rsid w:val="15707BDC"/>
    <w:rsid w:val="1574C1D5"/>
    <w:rsid w:val="158BC182"/>
    <w:rsid w:val="1593BD8B"/>
    <w:rsid w:val="1593ED46"/>
    <w:rsid w:val="159FC1A5"/>
    <w:rsid w:val="15A431EC"/>
    <w:rsid w:val="15B70B84"/>
    <w:rsid w:val="15BC9FC6"/>
    <w:rsid w:val="15BFE6F5"/>
    <w:rsid w:val="15C4571E"/>
    <w:rsid w:val="15CBB6C6"/>
    <w:rsid w:val="15CED34C"/>
    <w:rsid w:val="15DA3870"/>
    <w:rsid w:val="15E20306"/>
    <w:rsid w:val="15E4DF23"/>
    <w:rsid w:val="15E7ED82"/>
    <w:rsid w:val="15EDC835"/>
    <w:rsid w:val="15F215A5"/>
    <w:rsid w:val="15F5910D"/>
    <w:rsid w:val="16007DAA"/>
    <w:rsid w:val="16114894"/>
    <w:rsid w:val="1614A095"/>
    <w:rsid w:val="161609FA"/>
    <w:rsid w:val="161B6C31"/>
    <w:rsid w:val="161DC056"/>
    <w:rsid w:val="161EA56D"/>
    <w:rsid w:val="1638D98F"/>
    <w:rsid w:val="163E7054"/>
    <w:rsid w:val="164193FB"/>
    <w:rsid w:val="16461922"/>
    <w:rsid w:val="16465856"/>
    <w:rsid w:val="16495922"/>
    <w:rsid w:val="164A0CAB"/>
    <w:rsid w:val="1656B16E"/>
    <w:rsid w:val="1658BFC7"/>
    <w:rsid w:val="16600E1E"/>
    <w:rsid w:val="16625A4B"/>
    <w:rsid w:val="166B4EFA"/>
    <w:rsid w:val="1678FAF6"/>
    <w:rsid w:val="167F12A1"/>
    <w:rsid w:val="16816980"/>
    <w:rsid w:val="168A4CFE"/>
    <w:rsid w:val="168AB902"/>
    <w:rsid w:val="16926A9E"/>
    <w:rsid w:val="1698B68C"/>
    <w:rsid w:val="169B0DE5"/>
    <w:rsid w:val="16B0CE98"/>
    <w:rsid w:val="16D57EDE"/>
    <w:rsid w:val="16DB4715"/>
    <w:rsid w:val="16F13418"/>
    <w:rsid w:val="16F4017A"/>
    <w:rsid w:val="16FC7844"/>
    <w:rsid w:val="171965D7"/>
    <w:rsid w:val="171B06D7"/>
    <w:rsid w:val="171CAA26"/>
    <w:rsid w:val="171CB1D0"/>
    <w:rsid w:val="1731ADD9"/>
    <w:rsid w:val="1732F370"/>
    <w:rsid w:val="1733EFA2"/>
    <w:rsid w:val="173D3B76"/>
    <w:rsid w:val="173F913D"/>
    <w:rsid w:val="173FF032"/>
    <w:rsid w:val="174AEF20"/>
    <w:rsid w:val="1760B761"/>
    <w:rsid w:val="17824C4C"/>
    <w:rsid w:val="179170E8"/>
    <w:rsid w:val="17979FEE"/>
    <w:rsid w:val="179EDC4C"/>
    <w:rsid w:val="179F0E95"/>
    <w:rsid w:val="179F48AA"/>
    <w:rsid w:val="17ACB022"/>
    <w:rsid w:val="17B13AF3"/>
    <w:rsid w:val="17BDE679"/>
    <w:rsid w:val="17C2C83A"/>
    <w:rsid w:val="17C8B0FB"/>
    <w:rsid w:val="17D9E6A3"/>
    <w:rsid w:val="17E39856"/>
    <w:rsid w:val="17EA0729"/>
    <w:rsid w:val="17EAACB9"/>
    <w:rsid w:val="17F600BE"/>
    <w:rsid w:val="17FFAF01"/>
    <w:rsid w:val="1804ACD9"/>
    <w:rsid w:val="180C51F2"/>
    <w:rsid w:val="181212F2"/>
    <w:rsid w:val="1823EBA8"/>
    <w:rsid w:val="1835B81A"/>
    <w:rsid w:val="183A43B2"/>
    <w:rsid w:val="183B6EFC"/>
    <w:rsid w:val="18400D4E"/>
    <w:rsid w:val="186512C8"/>
    <w:rsid w:val="1867B722"/>
    <w:rsid w:val="1868EE3E"/>
    <w:rsid w:val="1873E17F"/>
    <w:rsid w:val="1883BC26"/>
    <w:rsid w:val="188DC130"/>
    <w:rsid w:val="188FBEBA"/>
    <w:rsid w:val="18938E56"/>
    <w:rsid w:val="1899CC41"/>
    <w:rsid w:val="18A549AF"/>
    <w:rsid w:val="18A90EA1"/>
    <w:rsid w:val="18ABF9E5"/>
    <w:rsid w:val="18AD04F4"/>
    <w:rsid w:val="18B18773"/>
    <w:rsid w:val="18B23812"/>
    <w:rsid w:val="18B25F84"/>
    <w:rsid w:val="18CA2A19"/>
    <w:rsid w:val="18CB36B2"/>
    <w:rsid w:val="18D90C16"/>
    <w:rsid w:val="18DDB02A"/>
    <w:rsid w:val="18E0413D"/>
    <w:rsid w:val="18ED229A"/>
    <w:rsid w:val="18F56A67"/>
    <w:rsid w:val="18FFDB1D"/>
    <w:rsid w:val="190AC4C9"/>
    <w:rsid w:val="190DD640"/>
    <w:rsid w:val="19174970"/>
    <w:rsid w:val="191BECB7"/>
    <w:rsid w:val="1923B548"/>
    <w:rsid w:val="19258ECE"/>
    <w:rsid w:val="1939C742"/>
    <w:rsid w:val="19495385"/>
    <w:rsid w:val="194B0172"/>
    <w:rsid w:val="194B735E"/>
    <w:rsid w:val="194F811E"/>
    <w:rsid w:val="195142BD"/>
    <w:rsid w:val="1964F3EF"/>
    <w:rsid w:val="1984034F"/>
    <w:rsid w:val="198BCD23"/>
    <w:rsid w:val="1990A2B6"/>
    <w:rsid w:val="199155C8"/>
    <w:rsid w:val="19925C01"/>
    <w:rsid w:val="1998ADD2"/>
    <w:rsid w:val="199FBBDD"/>
    <w:rsid w:val="19A89CF0"/>
    <w:rsid w:val="19B05D3D"/>
    <w:rsid w:val="19B89340"/>
    <w:rsid w:val="19C1C9DF"/>
    <w:rsid w:val="19CA50A4"/>
    <w:rsid w:val="19CC1018"/>
    <w:rsid w:val="19F06778"/>
    <w:rsid w:val="19F80650"/>
    <w:rsid w:val="19FD3054"/>
    <w:rsid w:val="1A02A71F"/>
    <w:rsid w:val="1A0572D8"/>
    <w:rsid w:val="1A0914BD"/>
    <w:rsid w:val="1A11A218"/>
    <w:rsid w:val="1A12A346"/>
    <w:rsid w:val="1A13B241"/>
    <w:rsid w:val="1A1FAEC7"/>
    <w:rsid w:val="1A2B7172"/>
    <w:rsid w:val="1A3DF418"/>
    <w:rsid w:val="1A3FC55F"/>
    <w:rsid w:val="1A40CE47"/>
    <w:rsid w:val="1A44F35C"/>
    <w:rsid w:val="1A5C4576"/>
    <w:rsid w:val="1A604208"/>
    <w:rsid w:val="1A64C4B2"/>
    <w:rsid w:val="1A6CE038"/>
    <w:rsid w:val="1A813CA6"/>
    <w:rsid w:val="1A8E7C0A"/>
    <w:rsid w:val="1A93F041"/>
    <w:rsid w:val="1A96365F"/>
    <w:rsid w:val="1A97BBD0"/>
    <w:rsid w:val="1A98E01E"/>
    <w:rsid w:val="1AA422CE"/>
    <w:rsid w:val="1AAC292D"/>
    <w:rsid w:val="1AB1E84A"/>
    <w:rsid w:val="1ABFE579"/>
    <w:rsid w:val="1AC375F5"/>
    <w:rsid w:val="1AC76258"/>
    <w:rsid w:val="1AC9C357"/>
    <w:rsid w:val="1AD6F5B5"/>
    <w:rsid w:val="1AD74F30"/>
    <w:rsid w:val="1AD9C07A"/>
    <w:rsid w:val="1ADBDC31"/>
    <w:rsid w:val="1AE653A3"/>
    <w:rsid w:val="1AE8FB0A"/>
    <w:rsid w:val="1AF2D708"/>
    <w:rsid w:val="1B029ED5"/>
    <w:rsid w:val="1B0BA2B6"/>
    <w:rsid w:val="1B1CCAFF"/>
    <w:rsid w:val="1B337CD9"/>
    <w:rsid w:val="1B37C44F"/>
    <w:rsid w:val="1B3B8C3E"/>
    <w:rsid w:val="1B3ED766"/>
    <w:rsid w:val="1B410B2D"/>
    <w:rsid w:val="1B417ACC"/>
    <w:rsid w:val="1B4FF08B"/>
    <w:rsid w:val="1B520161"/>
    <w:rsid w:val="1B5A1DF5"/>
    <w:rsid w:val="1B6E7F08"/>
    <w:rsid w:val="1B6EA051"/>
    <w:rsid w:val="1B72BC7B"/>
    <w:rsid w:val="1B8AB4B9"/>
    <w:rsid w:val="1B8F9F4A"/>
    <w:rsid w:val="1B96C085"/>
    <w:rsid w:val="1BA47301"/>
    <w:rsid w:val="1BA982C3"/>
    <w:rsid w:val="1BBB7F28"/>
    <w:rsid w:val="1BC40A24"/>
    <w:rsid w:val="1BC7532C"/>
    <w:rsid w:val="1BCB3DCC"/>
    <w:rsid w:val="1BDC9EA8"/>
    <w:rsid w:val="1BF4B83C"/>
    <w:rsid w:val="1BF4BE1D"/>
    <w:rsid w:val="1C07B05F"/>
    <w:rsid w:val="1C134194"/>
    <w:rsid w:val="1C1E97C8"/>
    <w:rsid w:val="1C23055B"/>
    <w:rsid w:val="1C26C096"/>
    <w:rsid w:val="1C2BC7D5"/>
    <w:rsid w:val="1C31D232"/>
    <w:rsid w:val="1C35573B"/>
    <w:rsid w:val="1C39FC2B"/>
    <w:rsid w:val="1C6B8FE4"/>
    <w:rsid w:val="1C6C07C0"/>
    <w:rsid w:val="1C6C9E58"/>
    <w:rsid w:val="1C6F2EC4"/>
    <w:rsid w:val="1C70386B"/>
    <w:rsid w:val="1C7A58C5"/>
    <w:rsid w:val="1C889F74"/>
    <w:rsid w:val="1C961F6E"/>
    <w:rsid w:val="1C9D103E"/>
    <w:rsid w:val="1CA4F57F"/>
    <w:rsid w:val="1CA6EBBD"/>
    <w:rsid w:val="1CAE20D8"/>
    <w:rsid w:val="1CB60503"/>
    <w:rsid w:val="1CC698E0"/>
    <w:rsid w:val="1CCED27E"/>
    <w:rsid w:val="1CEFBD9A"/>
    <w:rsid w:val="1D08E567"/>
    <w:rsid w:val="1D0A4F69"/>
    <w:rsid w:val="1D101B7F"/>
    <w:rsid w:val="1D1B60D1"/>
    <w:rsid w:val="1D1F9418"/>
    <w:rsid w:val="1D20137C"/>
    <w:rsid w:val="1D251976"/>
    <w:rsid w:val="1D26DFDB"/>
    <w:rsid w:val="1D2BDAF2"/>
    <w:rsid w:val="1D33B622"/>
    <w:rsid w:val="1D374EAA"/>
    <w:rsid w:val="1D48A1CA"/>
    <w:rsid w:val="1D4C21F5"/>
    <w:rsid w:val="1D4DF346"/>
    <w:rsid w:val="1D5E293F"/>
    <w:rsid w:val="1D71D434"/>
    <w:rsid w:val="1D7F6B08"/>
    <w:rsid w:val="1D8736D0"/>
    <w:rsid w:val="1D9499B2"/>
    <w:rsid w:val="1D993734"/>
    <w:rsid w:val="1DAD19AE"/>
    <w:rsid w:val="1DB1BA2B"/>
    <w:rsid w:val="1DBAF286"/>
    <w:rsid w:val="1DC0869E"/>
    <w:rsid w:val="1DD5CC8C"/>
    <w:rsid w:val="1DF27743"/>
    <w:rsid w:val="1E04CBD9"/>
    <w:rsid w:val="1E0E8A2E"/>
    <w:rsid w:val="1E0F6295"/>
    <w:rsid w:val="1E13E279"/>
    <w:rsid w:val="1E15DD1A"/>
    <w:rsid w:val="1E16DD11"/>
    <w:rsid w:val="1E2D3CAC"/>
    <w:rsid w:val="1E321699"/>
    <w:rsid w:val="1E39519C"/>
    <w:rsid w:val="1E3E70A4"/>
    <w:rsid w:val="1E48A5C9"/>
    <w:rsid w:val="1E4A1B64"/>
    <w:rsid w:val="1E560232"/>
    <w:rsid w:val="1E605C7A"/>
    <w:rsid w:val="1E7AF3CE"/>
    <w:rsid w:val="1E8A0FFE"/>
    <w:rsid w:val="1E8E4B3D"/>
    <w:rsid w:val="1E9346E6"/>
    <w:rsid w:val="1E992288"/>
    <w:rsid w:val="1E9960B5"/>
    <w:rsid w:val="1E9C1EE4"/>
    <w:rsid w:val="1E9C6C9A"/>
    <w:rsid w:val="1EA4931D"/>
    <w:rsid w:val="1EA61FCA"/>
    <w:rsid w:val="1EB37DA3"/>
    <w:rsid w:val="1EB52807"/>
    <w:rsid w:val="1EBF2A15"/>
    <w:rsid w:val="1EC28DCF"/>
    <w:rsid w:val="1ECEF7D5"/>
    <w:rsid w:val="1EDBDEB8"/>
    <w:rsid w:val="1EDC8678"/>
    <w:rsid w:val="1EF1C9BC"/>
    <w:rsid w:val="1EFD71BC"/>
    <w:rsid w:val="1F01B823"/>
    <w:rsid w:val="1F024D21"/>
    <w:rsid w:val="1F114A71"/>
    <w:rsid w:val="1F16CF9E"/>
    <w:rsid w:val="1F18B2ED"/>
    <w:rsid w:val="1F27A37E"/>
    <w:rsid w:val="1F2BCF9D"/>
    <w:rsid w:val="1F2FF51F"/>
    <w:rsid w:val="1F3427B2"/>
    <w:rsid w:val="1F36AA72"/>
    <w:rsid w:val="1F45ACAE"/>
    <w:rsid w:val="1F6B26E3"/>
    <w:rsid w:val="1F72990C"/>
    <w:rsid w:val="1F7BC36B"/>
    <w:rsid w:val="1F7EF4DE"/>
    <w:rsid w:val="1FA36766"/>
    <w:rsid w:val="1FA4DAB0"/>
    <w:rsid w:val="1FC1A094"/>
    <w:rsid w:val="1FCD375B"/>
    <w:rsid w:val="1FDECA6A"/>
    <w:rsid w:val="1FDF9413"/>
    <w:rsid w:val="1FE9D21C"/>
    <w:rsid w:val="1FEE565B"/>
    <w:rsid w:val="1FF5BE9E"/>
    <w:rsid w:val="1FFFB08F"/>
    <w:rsid w:val="2000CA74"/>
    <w:rsid w:val="2010CCFE"/>
    <w:rsid w:val="201627CE"/>
    <w:rsid w:val="201A7429"/>
    <w:rsid w:val="201AA931"/>
    <w:rsid w:val="201FAD6A"/>
    <w:rsid w:val="2021144C"/>
    <w:rsid w:val="202BB2BB"/>
    <w:rsid w:val="202E9180"/>
    <w:rsid w:val="2030774F"/>
    <w:rsid w:val="2046EBD7"/>
    <w:rsid w:val="204AAEFB"/>
    <w:rsid w:val="205BED4C"/>
    <w:rsid w:val="20821AC3"/>
    <w:rsid w:val="20A08EDC"/>
    <w:rsid w:val="20AA0097"/>
    <w:rsid w:val="20ABA314"/>
    <w:rsid w:val="20B9BD4F"/>
    <w:rsid w:val="20BD2862"/>
    <w:rsid w:val="20C846CE"/>
    <w:rsid w:val="20CE5C22"/>
    <w:rsid w:val="20F06D25"/>
    <w:rsid w:val="20F90E00"/>
    <w:rsid w:val="20FD3B3B"/>
    <w:rsid w:val="20FDE0D9"/>
    <w:rsid w:val="20FF2F41"/>
    <w:rsid w:val="2100ECF6"/>
    <w:rsid w:val="21036529"/>
    <w:rsid w:val="210CC16A"/>
    <w:rsid w:val="2115C137"/>
    <w:rsid w:val="211E818F"/>
    <w:rsid w:val="211F5854"/>
    <w:rsid w:val="2124C072"/>
    <w:rsid w:val="2124F237"/>
    <w:rsid w:val="212BD56A"/>
    <w:rsid w:val="212BF331"/>
    <w:rsid w:val="213299E7"/>
    <w:rsid w:val="213CEFC4"/>
    <w:rsid w:val="213DCA1B"/>
    <w:rsid w:val="215347BF"/>
    <w:rsid w:val="21585860"/>
    <w:rsid w:val="2158B228"/>
    <w:rsid w:val="216A8A52"/>
    <w:rsid w:val="216E2D69"/>
    <w:rsid w:val="2176C7B9"/>
    <w:rsid w:val="217791C1"/>
    <w:rsid w:val="21822400"/>
    <w:rsid w:val="21832D74"/>
    <w:rsid w:val="2199A7CA"/>
    <w:rsid w:val="21A80F59"/>
    <w:rsid w:val="21C8D2EE"/>
    <w:rsid w:val="21D4977F"/>
    <w:rsid w:val="21D835EB"/>
    <w:rsid w:val="21DEC4BA"/>
    <w:rsid w:val="21E1ADA5"/>
    <w:rsid w:val="21F22E97"/>
    <w:rsid w:val="2208AD1A"/>
    <w:rsid w:val="2211D32D"/>
    <w:rsid w:val="2212DA3E"/>
    <w:rsid w:val="221E8872"/>
    <w:rsid w:val="22226E7F"/>
    <w:rsid w:val="222ECA7D"/>
    <w:rsid w:val="22455219"/>
    <w:rsid w:val="225F9D50"/>
    <w:rsid w:val="226CA857"/>
    <w:rsid w:val="22704566"/>
    <w:rsid w:val="22769805"/>
    <w:rsid w:val="227747C8"/>
    <w:rsid w:val="227890F1"/>
    <w:rsid w:val="227BA6FF"/>
    <w:rsid w:val="22868A95"/>
    <w:rsid w:val="2287E4DD"/>
    <w:rsid w:val="228C7AF4"/>
    <w:rsid w:val="2291F0C0"/>
    <w:rsid w:val="22968956"/>
    <w:rsid w:val="229CBD57"/>
    <w:rsid w:val="22B203ED"/>
    <w:rsid w:val="22B36A61"/>
    <w:rsid w:val="22CB30B7"/>
    <w:rsid w:val="22D3026D"/>
    <w:rsid w:val="22D817AB"/>
    <w:rsid w:val="22DE405E"/>
    <w:rsid w:val="22E42E65"/>
    <w:rsid w:val="22FDE8B2"/>
    <w:rsid w:val="2303E5D0"/>
    <w:rsid w:val="230E5656"/>
    <w:rsid w:val="23195DE9"/>
    <w:rsid w:val="231E78A3"/>
    <w:rsid w:val="231EFDD5"/>
    <w:rsid w:val="2321CD4F"/>
    <w:rsid w:val="2325D6C3"/>
    <w:rsid w:val="23332C2E"/>
    <w:rsid w:val="233431EB"/>
    <w:rsid w:val="23384067"/>
    <w:rsid w:val="2346C42B"/>
    <w:rsid w:val="2348B1AF"/>
    <w:rsid w:val="23509F16"/>
    <w:rsid w:val="235354E6"/>
    <w:rsid w:val="2353ECF7"/>
    <w:rsid w:val="235A5600"/>
    <w:rsid w:val="236031D5"/>
    <w:rsid w:val="2361EBAF"/>
    <w:rsid w:val="2363B870"/>
    <w:rsid w:val="236C26B0"/>
    <w:rsid w:val="236C2B4C"/>
    <w:rsid w:val="236D2F10"/>
    <w:rsid w:val="23776723"/>
    <w:rsid w:val="237E8C99"/>
    <w:rsid w:val="2385BB79"/>
    <w:rsid w:val="23868899"/>
    <w:rsid w:val="238CEB40"/>
    <w:rsid w:val="2395CD84"/>
    <w:rsid w:val="23A8D7DB"/>
    <w:rsid w:val="23C424D0"/>
    <w:rsid w:val="23D21299"/>
    <w:rsid w:val="23D6F275"/>
    <w:rsid w:val="23DF6FCF"/>
    <w:rsid w:val="23F7B68A"/>
    <w:rsid w:val="23FAAC08"/>
    <w:rsid w:val="2402DCAA"/>
    <w:rsid w:val="24082BCC"/>
    <w:rsid w:val="24101EBE"/>
    <w:rsid w:val="241934CD"/>
    <w:rsid w:val="24225AB3"/>
    <w:rsid w:val="242D2F8C"/>
    <w:rsid w:val="2436D759"/>
    <w:rsid w:val="24446B94"/>
    <w:rsid w:val="245CD723"/>
    <w:rsid w:val="2467AB15"/>
    <w:rsid w:val="24689201"/>
    <w:rsid w:val="24738EF1"/>
    <w:rsid w:val="24756E05"/>
    <w:rsid w:val="247AEFF0"/>
    <w:rsid w:val="2489E452"/>
    <w:rsid w:val="248D4ABE"/>
    <w:rsid w:val="24A278AE"/>
    <w:rsid w:val="24A50650"/>
    <w:rsid w:val="24B5E7E4"/>
    <w:rsid w:val="24BDDFD5"/>
    <w:rsid w:val="24CBB89C"/>
    <w:rsid w:val="24D187CB"/>
    <w:rsid w:val="24D1CD77"/>
    <w:rsid w:val="24D385FA"/>
    <w:rsid w:val="24DAC805"/>
    <w:rsid w:val="24E0ABBB"/>
    <w:rsid w:val="24E11486"/>
    <w:rsid w:val="24EA036A"/>
    <w:rsid w:val="24ECA5D0"/>
    <w:rsid w:val="24ED59F1"/>
    <w:rsid w:val="24F3EBBA"/>
    <w:rsid w:val="24FC38F1"/>
    <w:rsid w:val="250AD5A9"/>
    <w:rsid w:val="250FE20B"/>
    <w:rsid w:val="25149E49"/>
    <w:rsid w:val="251566E7"/>
    <w:rsid w:val="2516E9B1"/>
    <w:rsid w:val="25226E94"/>
    <w:rsid w:val="252B374A"/>
    <w:rsid w:val="254ED945"/>
    <w:rsid w:val="256B41DE"/>
    <w:rsid w:val="256E8154"/>
    <w:rsid w:val="25743907"/>
    <w:rsid w:val="2578102C"/>
    <w:rsid w:val="257ABF82"/>
    <w:rsid w:val="257E7433"/>
    <w:rsid w:val="258350EB"/>
    <w:rsid w:val="258B20BC"/>
    <w:rsid w:val="259543AD"/>
    <w:rsid w:val="25B07869"/>
    <w:rsid w:val="25B6EB31"/>
    <w:rsid w:val="25BA436F"/>
    <w:rsid w:val="25BDE4BE"/>
    <w:rsid w:val="25C36FFF"/>
    <w:rsid w:val="25CCAF3D"/>
    <w:rsid w:val="25CCEC20"/>
    <w:rsid w:val="25D82A54"/>
    <w:rsid w:val="25E5BCB0"/>
    <w:rsid w:val="25F25AA4"/>
    <w:rsid w:val="25F41261"/>
    <w:rsid w:val="2608DE28"/>
    <w:rsid w:val="261F2634"/>
    <w:rsid w:val="263A9CEE"/>
    <w:rsid w:val="263EFA23"/>
    <w:rsid w:val="264A7050"/>
    <w:rsid w:val="264B9576"/>
    <w:rsid w:val="264C5596"/>
    <w:rsid w:val="26694D78"/>
    <w:rsid w:val="266C02A5"/>
    <w:rsid w:val="2677D782"/>
    <w:rsid w:val="26822082"/>
    <w:rsid w:val="2685F7A3"/>
    <w:rsid w:val="269D3CBE"/>
    <w:rsid w:val="269F5357"/>
    <w:rsid w:val="26B46021"/>
    <w:rsid w:val="26BC773B"/>
    <w:rsid w:val="26BE1422"/>
    <w:rsid w:val="26C707AB"/>
    <w:rsid w:val="26C9C6FD"/>
    <w:rsid w:val="26CE6F68"/>
    <w:rsid w:val="26D829B6"/>
    <w:rsid w:val="26E077D6"/>
    <w:rsid w:val="26E74651"/>
    <w:rsid w:val="26E802F1"/>
    <w:rsid w:val="26E9BDEA"/>
    <w:rsid w:val="26F4B9E7"/>
    <w:rsid w:val="26F56027"/>
    <w:rsid w:val="26FF77CA"/>
    <w:rsid w:val="26FFC469"/>
    <w:rsid w:val="2715304F"/>
    <w:rsid w:val="27170A77"/>
    <w:rsid w:val="27181BBB"/>
    <w:rsid w:val="271A55B4"/>
    <w:rsid w:val="27208BEE"/>
    <w:rsid w:val="27271956"/>
    <w:rsid w:val="274C0214"/>
    <w:rsid w:val="274E573F"/>
    <w:rsid w:val="2753689B"/>
    <w:rsid w:val="27572110"/>
    <w:rsid w:val="2757647D"/>
    <w:rsid w:val="275CBDFC"/>
    <w:rsid w:val="2765A158"/>
    <w:rsid w:val="278171AC"/>
    <w:rsid w:val="2782AE30"/>
    <w:rsid w:val="2792272F"/>
    <w:rsid w:val="27977733"/>
    <w:rsid w:val="279C4566"/>
    <w:rsid w:val="279C5060"/>
    <w:rsid w:val="27AEDB65"/>
    <w:rsid w:val="27C43AF8"/>
    <w:rsid w:val="27CC88C7"/>
    <w:rsid w:val="27D638EB"/>
    <w:rsid w:val="27D7BB9A"/>
    <w:rsid w:val="27DC651C"/>
    <w:rsid w:val="27DE140A"/>
    <w:rsid w:val="27E9AAE1"/>
    <w:rsid w:val="27FA351A"/>
    <w:rsid w:val="2803D056"/>
    <w:rsid w:val="2826DC71"/>
    <w:rsid w:val="28274ABD"/>
    <w:rsid w:val="282D9911"/>
    <w:rsid w:val="283D0CE1"/>
    <w:rsid w:val="28656768"/>
    <w:rsid w:val="286AC592"/>
    <w:rsid w:val="2872D799"/>
    <w:rsid w:val="287EE344"/>
    <w:rsid w:val="288751E7"/>
    <w:rsid w:val="2892EA15"/>
    <w:rsid w:val="289ECD2E"/>
    <w:rsid w:val="28A8E7BB"/>
    <w:rsid w:val="28B47945"/>
    <w:rsid w:val="28BE4B63"/>
    <w:rsid w:val="28C30ACF"/>
    <w:rsid w:val="28C5673A"/>
    <w:rsid w:val="28C6238C"/>
    <w:rsid w:val="28C66C08"/>
    <w:rsid w:val="28CBEEC7"/>
    <w:rsid w:val="28CED5C3"/>
    <w:rsid w:val="28DC43F4"/>
    <w:rsid w:val="28E365E0"/>
    <w:rsid w:val="28ED10FE"/>
    <w:rsid w:val="28F15DCA"/>
    <w:rsid w:val="28F7FDE0"/>
    <w:rsid w:val="28F88E5D"/>
    <w:rsid w:val="28FD0945"/>
    <w:rsid w:val="29035D3C"/>
    <w:rsid w:val="2907039E"/>
    <w:rsid w:val="291665F5"/>
    <w:rsid w:val="291669C9"/>
    <w:rsid w:val="2917B761"/>
    <w:rsid w:val="29250AD8"/>
    <w:rsid w:val="292EFAEE"/>
    <w:rsid w:val="293D3570"/>
    <w:rsid w:val="293EDBA7"/>
    <w:rsid w:val="2942F1B7"/>
    <w:rsid w:val="294A9E2A"/>
    <w:rsid w:val="294ADB02"/>
    <w:rsid w:val="294D2C8C"/>
    <w:rsid w:val="29556E7B"/>
    <w:rsid w:val="2959A771"/>
    <w:rsid w:val="2966FAA6"/>
    <w:rsid w:val="2975A4BA"/>
    <w:rsid w:val="297B4E93"/>
    <w:rsid w:val="298839B3"/>
    <w:rsid w:val="2989E44B"/>
    <w:rsid w:val="298C2337"/>
    <w:rsid w:val="298E8D3C"/>
    <w:rsid w:val="29A7A16C"/>
    <w:rsid w:val="29B97245"/>
    <w:rsid w:val="29D10DA5"/>
    <w:rsid w:val="29DB0AE6"/>
    <w:rsid w:val="29E302C6"/>
    <w:rsid w:val="29EB8ED3"/>
    <w:rsid w:val="29EDCE1D"/>
    <w:rsid w:val="29F84FD5"/>
    <w:rsid w:val="29F9D6DC"/>
    <w:rsid w:val="29FE015A"/>
    <w:rsid w:val="2A0AFC96"/>
    <w:rsid w:val="2A0DC228"/>
    <w:rsid w:val="2A1E2B43"/>
    <w:rsid w:val="2A1FFAB7"/>
    <w:rsid w:val="2A244535"/>
    <w:rsid w:val="2A263DEB"/>
    <w:rsid w:val="2A43CC08"/>
    <w:rsid w:val="2A4B6040"/>
    <w:rsid w:val="2A4E5363"/>
    <w:rsid w:val="2A5D5B11"/>
    <w:rsid w:val="2A76D8D7"/>
    <w:rsid w:val="2A77BF25"/>
    <w:rsid w:val="2A7CC4A5"/>
    <w:rsid w:val="2A8329B2"/>
    <w:rsid w:val="2A857598"/>
    <w:rsid w:val="2A899606"/>
    <w:rsid w:val="2A8E9E61"/>
    <w:rsid w:val="2A974208"/>
    <w:rsid w:val="2A9DEF00"/>
    <w:rsid w:val="2AA19EAE"/>
    <w:rsid w:val="2AAC09E1"/>
    <w:rsid w:val="2AB54BB3"/>
    <w:rsid w:val="2AD0C971"/>
    <w:rsid w:val="2AD7B839"/>
    <w:rsid w:val="2AE9A2AA"/>
    <w:rsid w:val="2AF07F75"/>
    <w:rsid w:val="2AF1A189"/>
    <w:rsid w:val="2AFA0718"/>
    <w:rsid w:val="2AFC38EB"/>
    <w:rsid w:val="2B0E173E"/>
    <w:rsid w:val="2B1FE5CC"/>
    <w:rsid w:val="2B27C5DE"/>
    <w:rsid w:val="2B2D49D4"/>
    <w:rsid w:val="2B2FCBDB"/>
    <w:rsid w:val="2B399A9D"/>
    <w:rsid w:val="2B3C8674"/>
    <w:rsid w:val="2B3D0A09"/>
    <w:rsid w:val="2B468933"/>
    <w:rsid w:val="2B47336B"/>
    <w:rsid w:val="2B5125E2"/>
    <w:rsid w:val="2B52BFB4"/>
    <w:rsid w:val="2B65FB32"/>
    <w:rsid w:val="2B6F0D21"/>
    <w:rsid w:val="2B6FD337"/>
    <w:rsid w:val="2B732335"/>
    <w:rsid w:val="2B748EAA"/>
    <w:rsid w:val="2B7BEEF3"/>
    <w:rsid w:val="2B8AF6CA"/>
    <w:rsid w:val="2B8C69DE"/>
    <w:rsid w:val="2BA294DB"/>
    <w:rsid w:val="2BA8B50E"/>
    <w:rsid w:val="2BB16DE2"/>
    <w:rsid w:val="2BB19C99"/>
    <w:rsid w:val="2BB1E6E1"/>
    <w:rsid w:val="2BB724C6"/>
    <w:rsid w:val="2BC53599"/>
    <w:rsid w:val="2BCB0545"/>
    <w:rsid w:val="2BCD0C7B"/>
    <w:rsid w:val="2BCFE0C0"/>
    <w:rsid w:val="2BDDA807"/>
    <w:rsid w:val="2BE658C5"/>
    <w:rsid w:val="2BEA7C05"/>
    <w:rsid w:val="2BFA6240"/>
    <w:rsid w:val="2BFC14F4"/>
    <w:rsid w:val="2C0E01B8"/>
    <w:rsid w:val="2C10730B"/>
    <w:rsid w:val="2C13BE2E"/>
    <w:rsid w:val="2C21401A"/>
    <w:rsid w:val="2C22FFF1"/>
    <w:rsid w:val="2C3AC2CD"/>
    <w:rsid w:val="2C4D6081"/>
    <w:rsid w:val="2C51CE62"/>
    <w:rsid w:val="2C56C00D"/>
    <w:rsid w:val="2C5EB175"/>
    <w:rsid w:val="2C767C69"/>
    <w:rsid w:val="2C817EE3"/>
    <w:rsid w:val="2C898ED7"/>
    <w:rsid w:val="2C8D6A30"/>
    <w:rsid w:val="2CA0B4B4"/>
    <w:rsid w:val="2CA0BB2B"/>
    <w:rsid w:val="2CA13DAB"/>
    <w:rsid w:val="2CAC3ABA"/>
    <w:rsid w:val="2CAD927A"/>
    <w:rsid w:val="2CB564D9"/>
    <w:rsid w:val="2CB6234C"/>
    <w:rsid w:val="2CBBA303"/>
    <w:rsid w:val="2CC2CCBA"/>
    <w:rsid w:val="2CD6A196"/>
    <w:rsid w:val="2CEF8262"/>
    <w:rsid w:val="2D0213C2"/>
    <w:rsid w:val="2D0280BD"/>
    <w:rsid w:val="2D1F252C"/>
    <w:rsid w:val="2D250879"/>
    <w:rsid w:val="2D25A7B7"/>
    <w:rsid w:val="2D283A3F"/>
    <w:rsid w:val="2D323A5C"/>
    <w:rsid w:val="2D3F5531"/>
    <w:rsid w:val="2D5E48AC"/>
    <w:rsid w:val="2D63782D"/>
    <w:rsid w:val="2D766033"/>
    <w:rsid w:val="2D8BA6C4"/>
    <w:rsid w:val="2D917AED"/>
    <w:rsid w:val="2D9346E0"/>
    <w:rsid w:val="2D9F08AE"/>
    <w:rsid w:val="2DC0CB60"/>
    <w:rsid w:val="2DC35D76"/>
    <w:rsid w:val="2DC87967"/>
    <w:rsid w:val="2DD7BFCA"/>
    <w:rsid w:val="2DDBD93C"/>
    <w:rsid w:val="2DDE225F"/>
    <w:rsid w:val="2DDE4074"/>
    <w:rsid w:val="2DE33C39"/>
    <w:rsid w:val="2DEFC096"/>
    <w:rsid w:val="2DFFF078"/>
    <w:rsid w:val="2E086F8B"/>
    <w:rsid w:val="2E12AAC9"/>
    <w:rsid w:val="2E2C3347"/>
    <w:rsid w:val="2E331D05"/>
    <w:rsid w:val="2E4632D0"/>
    <w:rsid w:val="2E48C59E"/>
    <w:rsid w:val="2E56B6C8"/>
    <w:rsid w:val="2E589B78"/>
    <w:rsid w:val="2E623814"/>
    <w:rsid w:val="2E6E218A"/>
    <w:rsid w:val="2E7815F3"/>
    <w:rsid w:val="2E806EF7"/>
    <w:rsid w:val="2E93372D"/>
    <w:rsid w:val="2E9919FC"/>
    <w:rsid w:val="2E9A47D6"/>
    <w:rsid w:val="2EA75316"/>
    <w:rsid w:val="2EA9F4AF"/>
    <w:rsid w:val="2EBC7703"/>
    <w:rsid w:val="2EC4D4C9"/>
    <w:rsid w:val="2ED9C0F3"/>
    <w:rsid w:val="2EE22E94"/>
    <w:rsid w:val="2EF3F06B"/>
    <w:rsid w:val="2F033A05"/>
    <w:rsid w:val="2F06F1AA"/>
    <w:rsid w:val="2F091939"/>
    <w:rsid w:val="2F0CCBC9"/>
    <w:rsid w:val="2F0D675B"/>
    <w:rsid w:val="2F18F48A"/>
    <w:rsid w:val="2F1C4CA3"/>
    <w:rsid w:val="2F2CE640"/>
    <w:rsid w:val="2F2FD954"/>
    <w:rsid w:val="2F3252E2"/>
    <w:rsid w:val="2F419D4F"/>
    <w:rsid w:val="2F45A27A"/>
    <w:rsid w:val="2F61565D"/>
    <w:rsid w:val="2F62D307"/>
    <w:rsid w:val="2F63EB6D"/>
    <w:rsid w:val="2F6775C7"/>
    <w:rsid w:val="2F734D71"/>
    <w:rsid w:val="2F80A0BA"/>
    <w:rsid w:val="2F8C135A"/>
    <w:rsid w:val="2F90AA5C"/>
    <w:rsid w:val="2F9C6D34"/>
    <w:rsid w:val="2FAF7C31"/>
    <w:rsid w:val="2FB0B74C"/>
    <w:rsid w:val="2FBF4002"/>
    <w:rsid w:val="2FC5D0F5"/>
    <w:rsid w:val="2FCD6748"/>
    <w:rsid w:val="2FCEED66"/>
    <w:rsid w:val="2FDDC081"/>
    <w:rsid w:val="2FE68F31"/>
    <w:rsid w:val="2FF3A34F"/>
    <w:rsid w:val="2FF4CC64"/>
    <w:rsid w:val="2FF64154"/>
    <w:rsid w:val="2FFD1D6E"/>
    <w:rsid w:val="2FFE4CA2"/>
    <w:rsid w:val="300F4F79"/>
    <w:rsid w:val="302630D7"/>
    <w:rsid w:val="302BED5D"/>
    <w:rsid w:val="304733DB"/>
    <w:rsid w:val="3066C7F9"/>
    <w:rsid w:val="3079E036"/>
    <w:rsid w:val="307C2EA6"/>
    <w:rsid w:val="3081F945"/>
    <w:rsid w:val="308A8328"/>
    <w:rsid w:val="30966749"/>
    <w:rsid w:val="30A8437D"/>
    <w:rsid w:val="30B9CB6D"/>
    <w:rsid w:val="30BBEA79"/>
    <w:rsid w:val="30C03D6C"/>
    <w:rsid w:val="30D97025"/>
    <w:rsid w:val="30E026BF"/>
    <w:rsid w:val="30E72A20"/>
    <w:rsid w:val="30F27938"/>
    <w:rsid w:val="30FBC8E7"/>
    <w:rsid w:val="310023B0"/>
    <w:rsid w:val="31077915"/>
    <w:rsid w:val="31144690"/>
    <w:rsid w:val="3123E8D3"/>
    <w:rsid w:val="3134098B"/>
    <w:rsid w:val="313AF525"/>
    <w:rsid w:val="3140B606"/>
    <w:rsid w:val="31523720"/>
    <w:rsid w:val="31573694"/>
    <w:rsid w:val="3159F6E8"/>
    <w:rsid w:val="315C8B5A"/>
    <w:rsid w:val="3184A2DB"/>
    <w:rsid w:val="3184CA1D"/>
    <w:rsid w:val="3187B904"/>
    <w:rsid w:val="31930337"/>
    <w:rsid w:val="319E1453"/>
    <w:rsid w:val="319EDF07"/>
    <w:rsid w:val="31A4A10C"/>
    <w:rsid w:val="31A4D392"/>
    <w:rsid w:val="31A91F31"/>
    <w:rsid w:val="31AFB6B5"/>
    <w:rsid w:val="31B3D320"/>
    <w:rsid w:val="31C96F90"/>
    <w:rsid w:val="31DFA521"/>
    <w:rsid w:val="31E4501A"/>
    <w:rsid w:val="31FC3D5D"/>
    <w:rsid w:val="32017491"/>
    <w:rsid w:val="32083221"/>
    <w:rsid w:val="32201A49"/>
    <w:rsid w:val="3225E131"/>
    <w:rsid w:val="3228CEC2"/>
    <w:rsid w:val="3231A9CE"/>
    <w:rsid w:val="32521674"/>
    <w:rsid w:val="3254F85F"/>
    <w:rsid w:val="3256B462"/>
    <w:rsid w:val="32615BA0"/>
    <w:rsid w:val="326CC335"/>
    <w:rsid w:val="326EBEE1"/>
    <w:rsid w:val="3273EBD4"/>
    <w:rsid w:val="32979948"/>
    <w:rsid w:val="329BBEE2"/>
    <w:rsid w:val="329F42FB"/>
    <w:rsid w:val="32B328CA"/>
    <w:rsid w:val="32B6FDB3"/>
    <w:rsid w:val="32C5335A"/>
    <w:rsid w:val="32C834C0"/>
    <w:rsid w:val="32DDEF46"/>
    <w:rsid w:val="32DF3947"/>
    <w:rsid w:val="3306ACCD"/>
    <w:rsid w:val="330A9D07"/>
    <w:rsid w:val="330ADFE3"/>
    <w:rsid w:val="332A722E"/>
    <w:rsid w:val="3332E981"/>
    <w:rsid w:val="3341BD48"/>
    <w:rsid w:val="334C44EE"/>
    <w:rsid w:val="334F5230"/>
    <w:rsid w:val="335C9ECD"/>
    <w:rsid w:val="336018A0"/>
    <w:rsid w:val="33625A94"/>
    <w:rsid w:val="3367D136"/>
    <w:rsid w:val="336B6828"/>
    <w:rsid w:val="33738578"/>
    <w:rsid w:val="337550D3"/>
    <w:rsid w:val="337B8FB0"/>
    <w:rsid w:val="3383E855"/>
    <w:rsid w:val="339D5FBD"/>
    <w:rsid w:val="33A3859E"/>
    <w:rsid w:val="33A4B27C"/>
    <w:rsid w:val="33A8FB8D"/>
    <w:rsid w:val="33E31315"/>
    <w:rsid w:val="33FC514A"/>
    <w:rsid w:val="34024044"/>
    <w:rsid w:val="340AD870"/>
    <w:rsid w:val="341146A6"/>
    <w:rsid w:val="341D1A5D"/>
    <w:rsid w:val="341DD0CE"/>
    <w:rsid w:val="342191DF"/>
    <w:rsid w:val="342690AB"/>
    <w:rsid w:val="343369A9"/>
    <w:rsid w:val="3439D8C9"/>
    <w:rsid w:val="343E36BF"/>
    <w:rsid w:val="34444AD0"/>
    <w:rsid w:val="34473F89"/>
    <w:rsid w:val="3447FDE3"/>
    <w:rsid w:val="34569F08"/>
    <w:rsid w:val="3459C5A6"/>
    <w:rsid w:val="345ADBEB"/>
    <w:rsid w:val="34603891"/>
    <w:rsid w:val="3460F4BE"/>
    <w:rsid w:val="3464F8F3"/>
    <w:rsid w:val="34739D4F"/>
    <w:rsid w:val="347ED875"/>
    <w:rsid w:val="348691A5"/>
    <w:rsid w:val="348A187A"/>
    <w:rsid w:val="348C5FB8"/>
    <w:rsid w:val="34A4EE3F"/>
    <w:rsid w:val="34C07F84"/>
    <w:rsid w:val="34C7EC84"/>
    <w:rsid w:val="34CECF87"/>
    <w:rsid w:val="34D3A732"/>
    <w:rsid w:val="34E5F8E9"/>
    <w:rsid w:val="34F1013E"/>
    <w:rsid w:val="34F2D347"/>
    <w:rsid w:val="34F6DBB2"/>
    <w:rsid w:val="34FE4EFD"/>
    <w:rsid w:val="351DECB2"/>
    <w:rsid w:val="3528F642"/>
    <w:rsid w:val="3532017D"/>
    <w:rsid w:val="353DD0CD"/>
    <w:rsid w:val="353EFC0F"/>
    <w:rsid w:val="354D04E3"/>
    <w:rsid w:val="354FD6B6"/>
    <w:rsid w:val="3554C246"/>
    <w:rsid w:val="355AD631"/>
    <w:rsid w:val="355CFFA7"/>
    <w:rsid w:val="355D1D16"/>
    <w:rsid w:val="3563C202"/>
    <w:rsid w:val="356BCFAA"/>
    <w:rsid w:val="357470EC"/>
    <w:rsid w:val="35762622"/>
    <w:rsid w:val="3576C306"/>
    <w:rsid w:val="357BB4A0"/>
    <w:rsid w:val="35927E67"/>
    <w:rsid w:val="359E703E"/>
    <w:rsid w:val="359FD3CE"/>
    <w:rsid w:val="35A32D75"/>
    <w:rsid w:val="35A6C15B"/>
    <w:rsid w:val="35A7002D"/>
    <w:rsid w:val="35AA8322"/>
    <w:rsid w:val="35ACE148"/>
    <w:rsid w:val="35AD63A1"/>
    <w:rsid w:val="35B987F2"/>
    <w:rsid w:val="35C027EB"/>
    <w:rsid w:val="35C95407"/>
    <w:rsid w:val="35D924D0"/>
    <w:rsid w:val="35D9C291"/>
    <w:rsid w:val="35E76F21"/>
    <w:rsid w:val="35EAFD80"/>
    <w:rsid w:val="35EED862"/>
    <w:rsid w:val="35F9A415"/>
    <w:rsid w:val="35FA0BD6"/>
    <w:rsid w:val="35FD4C4D"/>
    <w:rsid w:val="35FD77D1"/>
    <w:rsid w:val="36045BEA"/>
    <w:rsid w:val="36055A58"/>
    <w:rsid w:val="360E6648"/>
    <w:rsid w:val="3617AB6A"/>
    <w:rsid w:val="36209425"/>
    <w:rsid w:val="3624F935"/>
    <w:rsid w:val="3633495D"/>
    <w:rsid w:val="363D2718"/>
    <w:rsid w:val="3646959D"/>
    <w:rsid w:val="36564B32"/>
    <w:rsid w:val="366B1723"/>
    <w:rsid w:val="366E4DC7"/>
    <w:rsid w:val="367F36EA"/>
    <w:rsid w:val="369EF226"/>
    <w:rsid w:val="36A0FF81"/>
    <w:rsid w:val="36A31775"/>
    <w:rsid w:val="36A4615B"/>
    <w:rsid w:val="36AE0C4D"/>
    <w:rsid w:val="36B286E7"/>
    <w:rsid w:val="36BA6BDF"/>
    <w:rsid w:val="36C29E7F"/>
    <w:rsid w:val="36C4C6A3"/>
    <w:rsid w:val="36CC5125"/>
    <w:rsid w:val="36CC7986"/>
    <w:rsid w:val="36CCFC1A"/>
    <w:rsid w:val="36D5D8A7"/>
    <w:rsid w:val="36D92F52"/>
    <w:rsid w:val="36DCD4B4"/>
    <w:rsid w:val="36E518FB"/>
    <w:rsid w:val="36E54A64"/>
    <w:rsid w:val="36E652B1"/>
    <w:rsid w:val="36F839A1"/>
    <w:rsid w:val="3703CB01"/>
    <w:rsid w:val="37044B31"/>
    <w:rsid w:val="3707A020"/>
    <w:rsid w:val="370C8154"/>
    <w:rsid w:val="370FB89D"/>
    <w:rsid w:val="371D6BA8"/>
    <w:rsid w:val="3720E0A2"/>
    <w:rsid w:val="37218217"/>
    <w:rsid w:val="3722B5BC"/>
    <w:rsid w:val="3725288C"/>
    <w:rsid w:val="3727E856"/>
    <w:rsid w:val="372B5B4E"/>
    <w:rsid w:val="372F894C"/>
    <w:rsid w:val="3734336D"/>
    <w:rsid w:val="373F8070"/>
    <w:rsid w:val="374483AB"/>
    <w:rsid w:val="374CB5AC"/>
    <w:rsid w:val="3751FF99"/>
    <w:rsid w:val="37524BCD"/>
    <w:rsid w:val="3752FBCE"/>
    <w:rsid w:val="3754AFC7"/>
    <w:rsid w:val="3756D3A1"/>
    <w:rsid w:val="376A84D3"/>
    <w:rsid w:val="37787681"/>
    <w:rsid w:val="377A8005"/>
    <w:rsid w:val="378DD36D"/>
    <w:rsid w:val="379021C7"/>
    <w:rsid w:val="37983737"/>
    <w:rsid w:val="3798AB46"/>
    <w:rsid w:val="37A53CE4"/>
    <w:rsid w:val="37A73057"/>
    <w:rsid w:val="37AC29E9"/>
    <w:rsid w:val="37ACB923"/>
    <w:rsid w:val="37AD4292"/>
    <w:rsid w:val="37B1A90C"/>
    <w:rsid w:val="37B6FC34"/>
    <w:rsid w:val="37C17210"/>
    <w:rsid w:val="37C2C931"/>
    <w:rsid w:val="37C3CB9F"/>
    <w:rsid w:val="37CB56C8"/>
    <w:rsid w:val="37CEEF50"/>
    <w:rsid w:val="37CF867C"/>
    <w:rsid w:val="37D8D8A7"/>
    <w:rsid w:val="37E09D37"/>
    <w:rsid w:val="37E1D21E"/>
    <w:rsid w:val="37EB42C0"/>
    <w:rsid w:val="37EEF02F"/>
    <w:rsid w:val="37F8F73C"/>
    <w:rsid w:val="37FF6698"/>
    <w:rsid w:val="38100FAF"/>
    <w:rsid w:val="38165F12"/>
    <w:rsid w:val="3821EE8C"/>
    <w:rsid w:val="382709A9"/>
    <w:rsid w:val="382A335C"/>
    <w:rsid w:val="3838F433"/>
    <w:rsid w:val="384C3B99"/>
    <w:rsid w:val="384F3513"/>
    <w:rsid w:val="385FDDE9"/>
    <w:rsid w:val="3867ABB6"/>
    <w:rsid w:val="3868CC6A"/>
    <w:rsid w:val="387A1818"/>
    <w:rsid w:val="387BC300"/>
    <w:rsid w:val="38921CBA"/>
    <w:rsid w:val="38A75677"/>
    <w:rsid w:val="38AFACE7"/>
    <w:rsid w:val="38B2C7B8"/>
    <w:rsid w:val="38B70482"/>
    <w:rsid w:val="38B72C35"/>
    <w:rsid w:val="38B97DF5"/>
    <w:rsid w:val="38D43D2B"/>
    <w:rsid w:val="38DC0E0A"/>
    <w:rsid w:val="38E223E4"/>
    <w:rsid w:val="38F1DD7F"/>
    <w:rsid w:val="38F343BB"/>
    <w:rsid w:val="3900733D"/>
    <w:rsid w:val="390FAD67"/>
    <w:rsid w:val="39129474"/>
    <w:rsid w:val="391ECA54"/>
    <w:rsid w:val="39204CB0"/>
    <w:rsid w:val="3925F7FC"/>
    <w:rsid w:val="39304CBF"/>
    <w:rsid w:val="3930C32E"/>
    <w:rsid w:val="3937FD0C"/>
    <w:rsid w:val="39386A16"/>
    <w:rsid w:val="393C4E16"/>
    <w:rsid w:val="393FAEF5"/>
    <w:rsid w:val="394D3F74"/>
    <w:rsid w:val="39515D70"/>
    <w:rsid w:val="39543B39"/>
    <w:rsid w:val="39563211"/>
    <w:rsid w:val="39569EEB"/>
    <w:rsid w:val="39576B99"/>
    <w:rsid w:val="396724EA"/>
    <w:rsid w:val="3967A154"/>
    <w:rsid w:val="39882765"/>
    <w:rsid w:val="3988ABF8"/>
    <w:rsid w:val="398B3D91"/>
    <w:rsid w:val="398D3E1D"/>
    <w:rsid w:val="39921ED8"/>
    <w:rsid w:val="39923E22"/>
    <w:rsid w:val="39943E40"/>
    <w:rsid w:val="3995B8E1"/>
    <w:rsid w:val="39967761"/>
    <w:rsid w:val="3998C654"/>
    <w:rsid w:val="3999B3B2"/>
    <w:rsid w:val="39A68BBB"/>
    <w:rsid w:val="39AC572E"/>
    <w:rsid w:val="39B9CD01"/>
    <w:rsid w:val="39C76B5B"/>
    <w:rsid w:val="39D1B1ED"/>
    <w:rsid w:val="39DDBF4A"/>
    <w:rsid w:val="39EE75D6"/>
    <w:rsid w:val="3A04E96C"/>
    <w:rsid w:val="3A133CDB"/>
    <w:rsid w:val="3A21A3FC"/>
    <w:rsid w:val="3A234BFD"/>
    <w:rsid w:val="3A38463E"/>
    <w:rsid w:val="3A46F3C2"/>
    <w:rsid w:val="3A4961A5"/>
    <w:rsid w:val="3A4B7D48"/>
    <w:rsid w:val="3A52AA77"/>
    <w:rsid w:val="3A6939CD"/>
    <w:rsid w:val="3A6CC2A3"/>
    <w:rsid w:val="3A83A050"/>
    <w:rsid w:val="3A8E799B"/>
    <w:rsid w:val="3AA1322E"/>
    <w:rsid w:val="3AA7C810"/>
    <w:rsid w:val="3AB789FF"/>
    <w:rsid w:val="3AC132CE"/>
    <w:rsid w:val="3AC465DC"/>
    <w:rsid w:val="3ACB7CA2"/>
    <w:rsid w:val="3ACF39AF"/>
    <w:rsid w:val="3AD4118E"/>
    <w:rsid w:val="3AD5F1CB"/>
    <w:rsid w:val="3AE51D93"/>
    <w:rsid w:val="3AF79E37"/>
    <w:rsid w:val="3AFDA768"/>
    <w:rsid w:val="3B042361"/>
    <w:rsid w:val="3B056AB0"/>
    <w:rsid w:val="3B1093F8"/>
    <w:rsid w:val="3B14E610"/>
    <w:rsid w:val="3B168FE5"/>
    <w:rsid w:val="3B285323"/>
    <w:rsid w:val="3B304464"/>
    <w:rsid w:val="3B325924"/>
    <w:rsid w:val="3B39E783"/>
    <w:rsid w:val="3B3A0CA6"/>
    <w:rsid w:val="3B44C205"/>
    <w:rsid w:val="3B545BF7"/>
    <w:rsid w:val="3B60D8CE"/>
    <w:rsid w:val="3B61A9DA"/>
    <w:rsid w:val="3B651FB2"/>
    <w:rsid w:val="3B690DB9"/>
    <w:rsid w:val="3B6D677A"/>
    <w:rsid w:val="3B74155E"/>
    <w:rsid w:val="3B7C8E83"/>
    <w:rsid w:val="3B877047"/>
    <w:rsid w:val="3B8A292A"/>
    <w:rsid w:val="3B8B6769"/>
    <w:rsid w:val="3B8CF3DA"/>
    <w:rsid w:val="3B998413"/>
    <w:rsid w:val="3BA37670"/>
    <w:rsid w:val="3BA6D528"/>
    <w:rsid w:val="3BA70DAD"/>
    <w:rsid w:val="3BACCF44"/>
    <w:rsid w:val="3BBC3D31"/>
    <w:rsid w:val="3BC4F076"/>
    <w:rsid w:val="3BCC1F69"/>
    <w:rsid w:val="3BD21465"/>
    <w:rsid w:val="3BD478AA"/>
    <w:rsid w:val="3BD4B20C"/>
    <w:rsid w:val="3BE24E90"/>
    <w:rsid w:val="3BE6BF73"/>
    <w:rsid w:val="3BEDCF1C"/>
    <w:rsid w:val="3BF29CD3"/>
    <w:rsid w:val="3BF4314D"/>
    <w:rsid w:val="3BFE9D20"/>
    <w:rsid w:val="3BFF689D"/>
    <w:rsid w:val="3C025992"/>
    <w:rsid w:val="3C0B2FB0"/>
    <w:rsid w:val="3C0CA381"/>
    <w:rsid w:val="3C10CC95"/>
    <w:rsid w:val="3C119950"/>
    <w:rsid w:val="3C12CF7B"/>
    <w:rsid w:val="3C258EA9"/>
    <w:rsid w:val="3C26B6F3"/>
    <w:rsid w:val="3C281EED"/>
    <w:rsid w:val="3C2E9206"/>
    <w:rsid w:val="3C2EB0B8"/>
    <w:rsid w:val="3C2FEA6B"/>
    <w:rsid w:val="3C40516E"/>
    <w:rsid w:val="3C4829D6"/>
    <w:rsid w:val="3C521132"/>
    <w:rsid w:val="3C5E4553"/>
    <w:rsid w:val="3C5F7273"/>
    <w:rsid w:val="3C6D7D0E"/>
    <w:rsid w:val="3C86155D"/>
    <w:rsid w:val="3C87C8AA"/>
    <w:rsid w:val="3C911A45"/>
    <w:rsid w:val="3C931A03"/>
    <w:rsid w:val="3C96509B"/>
    <w:rsid w:val="3C992C14"/>
    <w:rsid w:val="3C9C43DA"/>
    <w:rsid w:val="3CAE8028"/>
    <w:rsid w:val="3CB26046"/>
    <w:rsid w:val="3CB7D848"/>
    <w:rsid w:val="3CC804BA"/>
    <w:rsid w:val="3CD0D515"/>
    <w:rsid w:val="3CD33EDB"/>
    <w:rsid w:val="3CD371F7"/>
    <w:rsid w:val="3CDF0376"/>
    <w:rsid w:val="3CEF9BCB"/>
    <w:rsid w:val="3CEFEA2B"/>
    <w:rsid w:val="3CF1A7C5"/>
    <w:rsid w:val="3CFF3687"/>
    <w:rsid w:val="3D0D93B2"/>
    <w:rsid w:val="3D0F8ACA"/>
    <w:rsid w:val="3D191D4B"/>
    <w:rsid w:val="3D3774B7"/>
    <w:rsid w:val="3D4409B6"/>
    <w:rsid w:val="3D575A10"/>
    <w:rsid w:val="3D582D89"/>
    <w:rsid w:val="3D673AC9"/>
    <w:rsid w:val="3D6CE5A1"/>
    <w:rsid w:val="3D70826D"/>
    <w:rsid w:val="3D7392BD"/>
    <w:rsid w:val="3D75E104"/>
    <w:rsid w:val="3D787990"/>
    <w:rsid w:val="3D82CF4E"/>
    <w:rsid w:val="3D9CC745"/>
    <w:rsid w:val="3D9CF0D6"/>
    <w:rsid w:val="3DA70AEC"/>
    <w:rsid w:val="3DA827D1"/>
    <w:rsid w:val="3DAAFBE0"/>
    <w:rsid w:val="3DAF317B"/>
    <w:rsid w:val="3DB05F70"/>
    <w:rsid w:val="3DB44001"/>
    <w:rsid w:val="3DB4A898"/>
    <w:rsid w:val="3DB59507"/>
    <w:rsid w:val="3DC97AD7"/>
    <w:rsid w:val="3DD7C556"/>
    <w:rsid w:val="3DDFA782"/>
    <w:rsid w:val="3DE8C622"/>
    <w:rsid w:val="3DE8FF04"/>
    <w:rsid w:val="3DFE5E84"/>
    <w:rsid w:val="3E0307F4"/>
    <w:rsid w:val="3E09B057"/>
    <w:rsid w:val="3E0B684D"/>
    <w:rsid w:val="3E10A0F2"/>
    <w:rsid w:val="3E1695F2"/>
    <w:rsid w:val="3E2003A6"/>
    <w:rsid w:val="3E2A3FB7"/>
    <w:rsid w:val="3E3B5F26"/>
    <w:rsid w:val="3E3B8BA6"/>
    <w:rsid w:val="3E426163"/>
    <w:rsid w:val="3E50D189"/>
    <w:rsid w:val="3E6D6B33"/>
    <w:rsid w:val="3E72BF20"/>
    <w:rsid w:val="3E7EFDD0"/>
    <w:rsid w:val="3EA26A9E"/>
    <w:rsid w:val="3EAE7023"/>
    <w:rsid w:val="3EB48428"/>
    <w:rsid w:val="3EBBAD44"/>
    <w:rsid w:val="3EC3755F"/>
    <w:rsid w:val="3EC70232"/>
    <w:rsid w:val="3ECB46DF"/>
    <w:rsid w:val="3ED4488A"/>
    <w:rsid w:val="3EE07CC6"/>
    <w:rsid w:val="3EF67FCC"/>
    <w:rsid w:val="3EF81163"/>
    <w:rsid w:val="3EFCC631"/>
    <w:rsid w:val="3F02CFC0"/>
    <w:rsid w:val="3F05F264"/>
    <w:rsid w:val="3F0656AB"/>
    <w:rsid w:val="3F083605"/>
    <w:rsid w:val="3F11ABEA"/>
    <w:rsid w:val="3F16D7D7"/>
    <w:rsid w:val="3F189372"/>
    <w:rsid w:val="3F27074E"/>
    <w:rsid w:val="3F2E433F"/>
    <w:rsid w:val="3F3017D3"/>
    <w:rsid w:val="3F51A572"/>
    <w:rsid w:val="3F536AFB"/>
    <w:rsid w:val="3F559224"/>
    <w:rsid w:val="3F5DE81B"/>
    <w:rsid w:val="3F654B38"/>
    <w:rsid w:val="3F6E82B6"/>
    <w:rsid w:val="3F6F5FEC"/>
    <w:rsid w:val="3F7554BF"/>
    <w:rsid w:val="3F7EEC90"/>
    <w:rsid w:val="3F831EAA"/>
    <w:rsid w:val="3F98389C"/>
    <w:rsid w:val="3F98E809"/>
    <w:rsid w:val="3F9ABD0D"/>
    <w:rsid w:val="3FAAE29A"/>
    <w:rsid w:val="3FBC0D04"/>
    <w:rsid w:val="3FCAE077"/>
    <w:rsid w:val="3FD59210"/>
    <w:rsid w:val="3FD96ED5"/>
    <w:rsid w:val="3FE179A1"/>
    <w:rsid w:val="3FEF6D80"/>
    <w:rsid w:val="3FF5A39F"/>
    <w:rsid w:val="3FF5AFDD"/>
    <w:rsid w:val="3FF7AD69"/>
    <w:rsid w:val="40092F4B"/>
    <w:rsid w:val="400E2210"/>
    <w:rsid w:val="40158FEF"/>
    <w:rsid w:val="402257A8"/>
    <w:rsid w:val="40274DF7"/>
    <w:rsid w:val="402A1227"/>
    <w:rsid w:val="403A02F3"/>
    <w:rsid w:val="403D92B8"/>
    <w:rsid w:val="4046D05E"/>
    <w:rsid w:val="4053D3DB"/>
    <w:rsid w:val="4054F498"/>
    <w:rsid w:val="4055ED1C"/>
    <w:rsid w:val="40624A67"/>
    <w:rsid w:val="406D77E8"/>
    <w:rsid w:val="407AB5B9"/>
    <w:rsid w:val="407B08F2"/>
    <w:rsid w:val="4083D2BE"/>
    <w:rsid w:val="4086C7EC"/>
    <w:rsid w:val="40889EC2"/>
    <w:rsid w:val="408A01F4"/>
    <w:rsid w:val="40944F7F"/>
    <w:rsid w:val="409FFC92"/>
    <w:rsid w:val="40A90B81"/>
    <w:rsid w:val="40ACBD79"/>
    <w:rsid w:val="40C5E845"/>
    <w:rsid w:val="40C80D44"/>
    <w:rsid w:val="40CDDCA2"/>
    <w:rsid w:val="40ED28C1"/>
    <w:rsid w:val="40F7104E"/>
    <w:rsid w:val="40F74604"/>
    <w:rsid w:val="41040A38"/>
    <w:rsid w:val="41162DA3"/>
    <w:rsid w:val="41169C13"/>
    <w:rsid w:val="41196C88"/>
    <w:rsid w:val="411E6D09"/>
    <w:rsid w:val="412680EB"/>
    <w:rsid w:val="412F20F4"/>
    <w:rsid w:val="413CC196"/>
    <w:rsid w:val="413DB768"/>
    <w:rsid w:val="41440E1C"/>
    <w:rsid w:val="4148712C"/>
    <w:rsid w:val="414EF75B"/>
    <w:rsid w:val="4165197C"/>
    <w:rsid w:val="4167BA4B"/>
    <w:rsid w:val="4169C1BE"/>
    <w:rsid w:val="41708066"/>
    <w:rsid w:val="4171B794"/>
    <w:rsid w:val="41757ED3"/>
    <w:rsid w:val="4183C6F3"/>
    <w:rsid w:val="419E4D9F"/>
    <w:rsid w:val="41B27499"/>
    <w:rsid w:val="41B871AF"/>
    <w:rsid w:val="41BBD09B"/>
    <w:rsid w:val="41BDED95"/>
    <w:rsid w:val="41C01751"/>
    <w:rsid w:val="41D63BB1"/>
    <w:rsid w:val="41D68DB9"/>
    <w:rsid w:val="41D8AAC7"/>
    <w:rsid w:val="41DCD514"/>
    <w:rsid w:val="41E1AEA0"/>
    <w:rsid w:val="41EDFADC"/>
    <w:rsid w:val="41F3F313"/>
    <w:rsid w:val="41F587D9"/>
    <w:rsid w:val="41FC1B32"/>
    <w:rsid w:val="420B9B5B"/>
    <w:rsid w:val="4217338A"/>
    <w:rsid w:val="422E1C40"/>
    <w:rsid w:val="423D34D0"/>
    <w:rsid w:val="4241A87A"/>
    <w:rsid w:val="4245CD69"/>
    <w:rsid w:val="42667339"/>
    <w:rsid w:val="4273057C"/>
    <w:rsid w:val="4275C2D8"/>
    <w:rsid w:val="42793321"/>
    <w:rsid w:val="428CBFFD"/>
    <w:rsid w:val="428CCDA9"/>
    <w:rsid w:val="42927E5B"/>
    <w:rsid w:val="429F7486"/>
    <w:rsid w:val="42A022A0"/>
    <w:rsid w:val="42A11CCD"/>
    <w:rsid w:val="42A1CBA2"/>
    <w:rsid w:val="42A1D67A"/>
    <w:rsid w:val="42A20970"/>
    <w:rsid w:val="42A477BE"/>
    <w:rsid w:val="42A94AAD"/>
    <w:rsid w:val="42AB548F"/>
    <w:rsid w:val="42B54DCF"/>
    <w:rsid w:val="42BB4C05"/>
    <w:rsid w:val="42C45ED6"/>
    <w:rsid w:val="42C5571B"/>
    <w:rsid w:val="42C7292E"/>
    <w:rsid w:val="42CB6753"/>
    <w:rsid w:val="42D530C5"/>
    <w:rsid w:val="42DD0DE4"/>
    <w:rsid w:val="42DFFDF7"/>
    <w:rsid w:val="42EA2DA0"/>
    <w:rsid w:val="42F7B58F"/>
    <w:rsid w:val="42F99128"/>
    <w:rsid w:val="43069F11"/>
    <w:rsid w:val="430B1285"/>
    <w:rsid w:val="430DE49E"/>
    <w:rsid w:val="4320E235"/>
    <w:rsid w:val="4325668A"/>
    <w:rsid w:val="4327D8C7"/>
    <w:rsid w:val="43354B99"/>
    <w:rsid w:val="433B5461"/>
    <w:rsid w:val="434451FC"/>
    <w:rsid w:val="4352C256"/>
    <w:rsid w:val="435503EA"/>
    <w:rsid w:val="43553820"/>
    <w:rsid w:val="436B8AC6"/>
    <w:rsid w:val="436E780B"/>
    <w:rsid w:val="437F731B"/>
    <w:rsid w:val="43844696"/>
    <w:rsid w:val="439BC290"/>
    <w:rsid w:val="439FFE7C"/>
    <w:rsid w:val="43AA0A31"/>
    <w:rsid w:val="43B2612C"/>
    <w:rsid w:val="43C679F2"/>
    <w:rsid w:val="43DD147A"/>
    <w:rsid w:val="43E4CD32"/>
    <w:rsid w:val="43E8082D"/>
    <w:rsid w:val="43EB918E"/>
    <w:rsid w:val="43FE8E6C"/>
    <w:rsid w:val="4406B982"/>
    <w:rsid w:val="44093407"/>
    <w:rsid w:val="443F6341"/>
    <w:rsid w:val="4440F83A"/>
    <w:rsid w:val="444527BE"/>
    <w:rsid w:val="44612DF9"/>
    <w:rsid w:val="446CEBA5"/>
    <w:rsid w:val="447279D2"/>
    <w:rsid w:val="44768C1D"/>
    <w:rsid w:val="447A13E7"/>
    <w:rsid w:val="448EF4C9"/>
    <w:rsid w:val="44914947"/>
    <w:rsid w:val="449C1C81"/>
    <w:rsid w:val="449C5B28"/>
    <w:rsid w:val="449CF4EA"/>
    <w:rsid w:val="449E3699"/>
    <w:rsid w:val="449FA38B"/>
    <w:rsid w:val="44AD3409"/>
    <w:rsid w:val="44AFA8FA"/>
    <w:rsid w:val="44B479E0"/>
    <w:rsid w:val="44BFB7F2"/>
    <w:rsid w:val="44C2056C"/>
    <w:rsid w:val="44C686BC"/>
    <w:rsid w:val="44DB2F4B"/>
    <w:rsid w:val="44E0881B"/>
    <w:rsid w:val="44E18E59"/>
    <w:rsid w:val="44E4D962"/>
    <w:rsid w:val="44E52A7F"/>
    <w:rsid w:val="44FB26F5"/>
    <w:rsid w:val="45058E49"/>
    <w:rsid w:val="450759A4"/>
    <w:rsid w:val="450B9F76"/>
    <w:rsid w:val="451E66D3"/>
    <w:rsid w:val="451E8E3F"/>
    <w:rsid w:val="452564A9"/>
    <w:rsid w:val="4526838B"/>
    <w:rsid w:val="452744FE"/>
    <w:rsid w:val="452BFF64"/>
    <w:rsid w:val="452C8C44"/>
    <w:rsid w:val="453B8691"/>
    <w:rsid w:val="456327E2"/>
    <w:rsid w:val="456B0CFD"/>
    <w:rsid w:val="4572ED9E"/>
    <w:rsid w:val="457861D7"/>
    <w:rsid w:val="457FED64"/>
    <w:rsid w:val="458AA62B"/>
    <w:rsid w:val="458D28F5"/>
    <w:rsid w:val="45925C71"/>
    <w:rsid w:val="459AD5DC"/>
    <w:rsid w:val="459D84C3"/>
    <w:rsid w:val="45A94A91"/>
    <w:rsid w:val="45B7FE24"/>
    <w:rsid w:val="45BB645F"/>
    <w:rsid w:val="45BCA215"/>
    <w:rsid w:val="45BEDF30"/>
    <w:rsid w:val="45C4618E"/>
    <w:rsid w:val="45C7A08D"/>
    <w:rsid w:val="45CB66AF"/>
    <w:rsid w:val="45D07058"/>
    <w:rsid w:val="45DA5928"/>
    <w:rsid w:val="45DB1273"/>
    <w:rsid w:val="45DD4390"/>
    <w:rsid w:val="45EF50BD"/>
    <w:rsid w:val="45F0FC1F"/>
    <w:rsid w:val="45F105D6"/>
    <w:rsid w:val="45F12F84"/>
    <w:rsid w:val="4601DF94"/>
    <w:rsid w:val="4607D62C"/>
    <w:rsid w:val="46198E71"/>
    <w:rsid w:val="461A0C8A"/>
    <w:rsid w:val="461C16D8"/>
    <w:rsid w:val="461C390D"/>
    <w:rsid w:val="46219B91"/>
    <w:rsid w:val="462410FC"/>
    <w:rsid w:val="4626AB57"/>
    <w:rsid w:val="4641E9CF"/>
    <w:rsid w:val="4643A963"/>
    <w:rsid w:val="46459231"/>
    <w:rsid w:val="4647CACA"/>
    <w:rsid w:val="464D3274"/>
    <w:rsid w:val="46596E4C"/>
    <w:rsid w:val="4674079A"/>
    <w:rsid w:val="4674BCF3"/>
    <w:rsid w:val="4679994E"/>
    <w:rsid w:val="467A7596"/>
    <w:rsid w:val="467F398F"/>
    <w:rsid w:val="46A6DDEF"/>
    <w:rsid w:val="46AA726C"/>
    <w:rsid w:val="46B40A92"/>
    <w:rsid w:val="46B9BFC9"/>
    <w:rsid w:val="46BE02BA"/>
    <w:rsid w:val="46CAE9A1"/>
    <w:rsid w:val="46CB9BC0"/>
    <w:rsid w:val="46D13ED4"/>
    <w:rsid w:val="46D83A93"/>
    <w:rsid w:val="46DD6BB1"/>
    <w:rsid w:val="46E0C27B"/>
    <w:rsid w:val="46E1585E"/>
    <w:rsid w:val="46E8EA28"/>
    <w:rsid w:val="46E9E0CC"/>
    <w:rsid w:val="46EA8689"/>
    <w:rsid w:val="46ECAE20"/>
    <w:rsid w:val="46F7850B"/>
    <w:rsid w:val="47118536"/>
    <w:rsid w:val="471D41A8"/>
    <w:rsid w:val="47260959"/>
    <w:rsid w:val="4726AC0F"/>
    <w:rsid w:val="472E86E1"/>
    <w:rsid w:val="4744986E"/>
    <w:rsid w:val="474653E2"/>
    <w:rsid w:val="474A97F9"/>
    <w:rsid w:val="474F3389"/>
    <w:rsid w:val="475E7CE0"/>
    <w:rsid w:val="476BA893"/>
    <w:rsid w:val="47705D1D"/>
    <w:rsid w:val="4775A9C0"/>
    <w:rsid w:val="4786EF5F"/>
    <w:rsid w:val="4792D245"/>
    <w:rsid w:val="47A4353F"/>
    <w:rsid w:val="47B6F43E"/>
    <w:rsid w:val="47BCA91F"/>
    <w:rsid w:val="47CA401E"/>
    <w:rsid w:val="47CAFA44"/>
    <w:rsid w:val="47CB91F4"/>
    <w:rsid w:val="47CDD703"/>
    <w:rsid w:val="47D39A39"/>
    <w:rsid w:val="47D9E1DC"/>
    <w:rsid w:val="47F64E50"/>
    <w:rsid w:val="47F69EA0"/>
    <w:rsid w:val="47F91739"/>
    <w:rsid w:val="480E5865"/>
    <w:rsid w:val="48175578"/>
    <w:rsid w:val="48185117"/>
    <w:rsid w:val="48263379"/>
    <w:rsid w:val="48364A49"/>
    <w:rsid w:val="48391ABE"/>
    <w:rsid w:val="48542DEB"/>
    <w:rsid w:val="4871FCC6"/>
    <w:rsid w:val="488C154A"/>
    <w:rsid w:val="48B33405"/>
    <w:rsid w:val="48B46F74"/>
    <w:rsid w:val="48BA1117"/>
    <w:rsid w:val="48BA62D8"/>
    <w:rsid w:val="48BBB068"/>
    <w:rsid w:val="48BEC62B"/>
    <w:rsid w:val="48C43C24"/>
    <w:rsid w:val="48C59929"/>
    <w:rsid w:val="48C5DF68"/>
    <w:rsid w:val="48C9FD33"/>
    <w:rsid w:val="48D8C18D"/>
    <w:rsid w:val="49003534"/>
    <w:rsid w:val="490D2845"/>
    <w:rsid w:val="4924D102"/>
    <w:rsid w:val="49283A79"/>
    <w:rsid w:val="493139C9"/>
    <w:rsid w:val="49379162"/>
    <w:rsid w:val="4941D4C5"/>
    <w:rsid w:val="494FCFDA"/>
    <w:rsid w:val="4964185A"/>
    <w:rsid w:val="4964589D"/>
    <w:rsid w:val="49656F0D"/>
    <w:rsid w:val="49727086"/>
    <w:rsid w:val="497FB541"/>
    <w:rsid w:val="498DCFAA"/>
    <w:rsid w:val="4996B9AE"/>
    <w:rsid w:val="499FF095"/>
    <w:rsid w:val="49B7ADA1"/>
    <w:rsid w:val="49BD4B85"/>
    <w:rsid w:val="49BDBBF3"/>
    <w:rsid w:val="49C203DA"/>
    <w:rsid w:val="49C7A6C2"/>
    <w:rsid w:val="49CFEBA6"/>
    <w:rsid w:val="49E5D5F7"/>
    <w:rsid w:val="49E9E941"/>
    <w:rsid w:val="49FACBAD"/>
    <w:rsid w:val="4A048ACA"/>
    <w:rsid w:val="4A17BBDD"/>
    <w:rsid w:val="4A1DA2DE"/>
    <w:rsid w:val="4A63A3F8"/>
    <w:rsid w:val="4A7DF4A4"/>
    <w:rsid w:val="4A802ED2"/>
    <w:rsid w:val="4A8544D3"/>
    <w:rsid w:val="4A9201AF"/>
    <w:rsid w:val="4A924AD4"/>
    <w:rsid w:val="4AA23C4D"/>
    <w:rsid w:val="4AA3D484"/>
    <w:rsid w:val="4AAFBCB1"/>
    <w:rsid w:val="4AB29E7C"/>
    <w:rsid w:val="4AB4378A"/>
    <w:rsid w:val="4AC5B4F1"/>
    <w:rsid w:val="4ACA58D5"/>
    <w:rsid w:val="4ACD6331"/>
    <w:rsid w:val="4AD001A1"/>
    <w:rsid w:val="4AD550B7"/>
    <w:rsid w:val="4ADAB44E"/>
    <w:rsid w:val="4ADDE76F"/>
    <w:rsid w:val="4ADFA76E"/>
    <w:rsid w:val="4AE68DD3"/>
    <w:rsid w:val="4AEE1CB0"/>
    <w:rsid w:val="4AEE5ECC"/>
    <w:rsid w:val="4B03FC0B"/>
    <w:rsid w:val="4B0CD364"/>
    <w:rsid w:val="4B0FD899"/>
    <w:rsid w:val="4B0FE4C7"/>
    <w:rsid w:val="4B105D7F"/>
    <w:rsid w:val="4B190354"/>
    <w:rsid w:val="4B1B39F0"/>
    <w:rsid w:val="4B2BACD6"/>
    <w:rsid w:val="4B30DD1C"/>
    <w:rsid w:val="4B3C2BC8"/>
    <w:rsid w:val="4B42C743"/>
    <w:rsid w:val="4B50C7E8"/>
    <w:rsid w:val="4B59F184"/>
    <w:rsid w:val="4B5A7FD8"/>
    <w:rsid w:val="4B601DAF"/>
    <w:rsid w:val="4B6050C9"/>
    <w:rsid w:val="4B606C7F"/>
    <w:rsid w:val="4B6AB941"/>
    <w:rsid w:val="4B74AA4B"/>
    <w:rsid w:val="4B76D4FE"/>
    <w:rsid w:val="4B79EF1E"/>
    <w:rsid w:val="4B7E34FE"/>
    <w:rsid w:val="4B90D378"/>
    <w:rsid w:val="4B96312B"/>
    <w:rsid w:val="4B97349A"/>
    <w:rsid w:val="4BA440C3"/>
    <w:rsid w:val="4BB05327"/>
    <w:rsid w:val="4BB50F3E"/>
    <w:rsid w:val="4BB59703"/>
    <w:rsid w:val="4BE3A74C"/>
    <w:rsid w:val="4BE49C4B"/>
    <w:rsid w:val="4BEC0276"/>
    <w:rsid w:val="4BF33C97"/>
    <w:rsid w:val="4BF5FE1F"/>
    <w:rsid w:val="4C0347D3"/>
    <w:rsid w:val="4C0352A4"/>
    <w:rsid w:val="4C059566"/>
    <w:rsid w:val="4C078E25"/>
    <w:rsid w:val="4C11949B"/>
    <w:rsid w:val="4C12C463"/>
    <w:rsid w:val="4C131F0E"/>
    <w:rsid w:val="4C14D62A"/>
    <w:rsid w:val="4C196AEF"/>
    <w:rsid w:val="4C1FB70D"/>
    <w:rsid w:val="4C1FE946"/>
    <w:rsid w:val="4C233DF8"/>
    <w:rsid w:val="4C31FD74"/>
    <w:rsid w:val="4C3AFB43"/>
    <w:rsid w:val="4C40311C"/>
    <w:rsid w:val="4C495A4C"/>
    <w:rsid w:val="4C5342CB"/>
    <w:rsid w:val="4C70F184"/>
    <w:rsid w:val="4C75AE59"/>
    <w:rsid w:val="4C81A757"/>
    <w:rsid w:val="4C81F9A6"/>
    <w:rsid w:val="4C875105"/>
    <w:rsid w:val="4C920A2C"/>
    <w:rsid w:val="4C937AB7"/>
    <w:rsid w:val="4C9BA2B1"/>
    <w:rsid w:val="4C9F5E8A"/>
    <w:rsid w:val="4CAB6B93"/>
    <w:rsid w:val="4CADFE72"/>
    <w:rsid w:val="4CAEFEBD"/>
    <w:rsid w:val="4CB177CC"/>
    <w:rsid w:val="4CC38C4D"/>
    <w:rsid w:val="4CC69876"/>
    <w:rsid w:val="4CD04AF1"/>
    <w:rsid w:val="4CDF6B92"/>
    <w:rsid w:val="4CE9B71A"/>
    <w:rsid w:val="4CEBB076"/>
    <w:rsid w:val="4CEF5B80"/>
    <w:rsid w:val="4CF4ED16"/>
    <w:rsid w:val="4D1C0302"/>
    <w:rsid w:val="4D1FCC2D"/>
    <w:rsid w:val="4D20EDE6"/>
    <w:rsid w:val="4D223407"/>
    <w:rsid w:val="4D2A90C5"/>
    <w:rsid w:val="4D2FC8A8"/>
    <w:rsid w:val="4D36FF8A"/>
    <w:rsid w:val="4D3ADD44"/>
    <w:rsid w:val="4D401064"/>
    <w:rsid w:val="4D4227F5"/>
    <w:rsid w:val="4D43C630"/>
    <w:rsid w:val="4D47AF3C"/>
    <w:rsid w:val="4D4D7D74"/>
    <w:rsid w:val="4D4F5C9F"/>
    <w:rsid w:val="4D51EC96"/>
    <w:rsid w:val="4D69E295"/>
    <w:rsid w:val="4D82B004"/>
    <w:rsid w:val="4D8EC5E6"/>
    <w:rsid w:val="4DAB238B"/>
    <w:rsid w:val="4DAE6E75"/>
    <w:rsid w:val="4DB91C53"/>
    <w:rsid w:val="4DBA7DFA"/>
    <w:rsid w:val="4DC4419A"/>
    <w:rsid w:val="4DCAF07B"/>
    <w:rsid w:val="4DD47DC3"/>
    <w:rsid w:val="4DEB9ED9"/>
    <w:rsid w:val="4DF08498"/>
    <w:rsid w:val="4DF9EAB1"/>
    <w:rsid w:val="4E0A7DB5"/>
    <w:rsid w:val="4E0CC8E6"/>
    <w:rsid w:val="4E126F11"/>
    <w:rsid w:val="4E132E13"/>
    <w:rsid w:val="4E161A86"/>
    <w:rsid w:val="4E16F55F"/>
    <w:rsid w:val="4E1A325D"/>
    <w:rsid w:val="4E214C64"/>
    <w:rsid w:val="4E2902E2"/>
    <w:rsid w:val="4E2C093E"/>
    <w:rsid w:val="4E3177A8"/>
    <w:rsid w:val="4E3F0BC9"/>
    <w:rsid w:val="4E4DB7DC"/>
    <w:rsid w:val="4E679743"/>
    <w:rsid w:val="4E748ACC"/>
    <w:rsid w:val="4E779A40"/>
    <w:rsid w:val="4E85877B"/>
    <w:rsid w:val="4E862649"/>
    <w:rsid w:val="4E8AE90F"/>
    <w:rsid w:val="4E97965D"/>
    <w:rsid w:val="4E996EC3"/>
    <w:rsid w:val="4E9AD1E8"/>
    <w:rsid w:val="4EA21E10"/>
    <w:rsid w:val="4EAB3136"/>
    <w:rsid w:val="4EAE68F9"/>
    <w:rsid w:val="4EC3E12B"/>
    <w:rsid w:val="4EC7F9F6"/>
    <w:rsid w:val="4ECEA673"/>
    <w:rsid w:val="4EDCB7B4"/>
    <w:rsid w:val="4EE8C1B4"/>
    <w:rsid w:val="4EF3773A"/>
    <w:rsid w:val="4EF9DC9A"/>
    <w:rsid w:val="4F03306B"/>
    <w:rsid w:val="4F06D573"/>
    <w:rsid w:val="4F0DAC3C"/>
    <w:rsid w:val="4F0EF2A0"/>
    <w:rsid w:val="4F1DAB91"/>
    <w:rsid w:val="4F22DB3B"/>
    <w:rsid w:val="4F2C2F8D"/>
    <w:rsid w:val="4F45B3E2"/>
    <w:rsid w:val="4F5757CF"/>
    <w:rsid w:val="4F57D739"/>
    <w:rsid w:val="4F5EA088"/>
    <w:rsid w:val="4F5F100D"/>
    <w:rsid w:val="4F7B9425"/>
    <w:rsid w:val="4F7D0C13"/>
    <w:rsid w:val="4F80F0FA"/>
    <w:rsid w:val="4F904E52"/>
    <w:rsid w:val="4F92FE44"/>
    <w:rsid w:val="4F955A9E"/>
    <w:rsid w:val="4F9B8063"/>
    <w:rsid w:val="4FA22895"/>
    <w:rsid w:val="4FB65218"/>
    <w:rsid w:val="4FBBA130"/>
    <w:rsid w:val="4FBF43C1"/>
    <w:rsid w:val="4FE33443"/>
    <w:rsid w:val="4FEA9198"/>
    <w:rsid w:val="4FEC5CC5"/>
    <w:rsid w:val="4FEEC856"/>
    <w:rsid w:val="5001DB0A"/>
    <w:rsid w:val="5003E132"/>
    <w:rsid w:val="500E078B"/>
    <w:rsid w:val="500E7A9D"/>
    <w:rsid w:val="5020181D"/>
    <w:rsid w:val="5025457D"/>
    <w:rsid w:val="50482CDD"/>
    <w:rsid w:val="50591FC5"/>
    <w:rsid w:val="5067263C"/>
    <w:rsid w:val="50732B61"/>
    <w:rsid w:val="50743977"/>
    <w:rsid w:val="507DC437"/>
    <w:rsid w:val="508269B2"/>
    <w:rsid w:val="5090DAFF"/>
    <w:rsid w:val="509CEB6C"/>
    <w:rsid w:val="50AACD89"/>
    <w:rsid w:val="50B27000"/>
    <w:rsid w:val="50CCB8CE"/>
    <w:rsid w:val="50D03912"/>
    <w:rsid w:val="50D391C4"/>
    <w:rsid w:val="50D804DD"/>
    <w:rsid w:val="50ED3896"/>
    <w:rsid w:val="50F25A24"/>
    <w:rsid w:val="50F29999"/>
    <w:rsid w:val="50F523AE"/>
    <w:rsid w:val="50F8E138"/>
    <w:rsid w:val="5100187C"/>
    <w:rsid w:val="5108318B"/>
    <w:rsid w:val="51166A9A"/>
    <w:rsid w:val="5119CCE5"/>
    <w:rsid w:val="512D3D3C"/>
    <w:rsid w:val="5131B3D7"/>
    <w:rsid w:val="5132D426"/>
    <w:rsid w:val="5142635C"/>
    <w:rsid w:val="514B0EBA"/>
    <w:rsid w:val="514DBB48"/>
    <w:rsid w:val="51542E8C"/>
    <w:rsid w:val="51598E89"/>
    <w:rsid w:val="516D8912"/>
    <w:rsid w:val="5180D632"/>
    <w:rsid w:val="518986B2"/>
    <w:rsid w:val="5194B787"/>
    <w:rsid w:val="519D7C93"/>
    <w:rsid w:val="51A3E17B"/>
    <w:rsid w:val="51A4BC78"/>
    <w:rsid w:val="51A6839B"/>
    <w:rsid w:val="51AA0BD7"/>
    <w:rsid w:val="51CDD92C"/>
    <w:rsid w:val="51CFEF18"/>
    <w:rsid w:val="51D11B49"/>
    <w:rsid w:val="51D1ADA9"/>
    <w:rsid w:val="51D8257E"/>
    <w:rsid w:val="51D860AE"/>
    <w:rsid w:val="51DB10D7"/>
    <w:rsid w:val="51E3A071"/>
    <w:rsid w:val="51E56999"/>
    <w:rsid w:val="51E6EC9F"/>
    <w:rsid w:val="51F0D0CB"/>
    <w:rsid w:val="51FC0CE9"/>
    <w:rsid w:val="51FD2369"/>
    <w:rsid w:val="521AB704"/>
    <w:rsid w:val="521B1A76"/>
    <w:rsid w:val="52204480"/>
    <w:rsid w:val="52211A20"/>
    <w:rsid w:val="5222F0E7"/>
    <w:rsid w:val="523C37C2"/>
    <w:rsid w:val="524C3FDF"/>
    <w:rsid w:val="52516A2B"/>
    <w:rsid w:val="5252E723"/>
    <w:rsid w:val="52530007"/>
    <w:rsid w:val="525CA355"/>
    <w:rsid w:val="529D5A1C"/>
    <w:rsid w:val="52A18762"/>
    <w:rsid w:val="52AEF2B2"/>
    <w:rsid w:val="52B1247C"/>
    <w:rsid w:val="52C00780"/>
    <w:rsid w:val="52D4C799"/>
    <w:rsid w:val="52D62113"/>
    <w:rsid w:val="52D6557C"/>
    <w:rsid w:val="52DC8E67"/>
    <w:rsid w:val="52E5E034"/>
    <w:rsid w:val="52EB4E6A"/>
    <w:rsid w:val="52F89178"/>
    <w:rsid w:val="52FBA43A"/>
    <w:rsid w:val="53008EB1"/>
    <w:rsid w:val="5309A57C"/>
    <w:rsid w:val="530B57B8"/>
    <w:rsid w:val="53121165"/>
    <w:rsid w:val="5320D80F"/>
    <w:rsid w:val="532B94F3"/>
    <w:rsid w:val="534374D1"/>
    <w:rsid w:val="534EB0F4"/>
    <w:rsid w:val="534F9CED"/>
    <w:rsid w:val="5354D929"/>
    <w:rsid w:val="53597F66"/>
    <w:rsid w:val="53657EDB"/>
    <w:rsid w:val="53668F92"/>
    <w:rsid w:val="537C0366"/>
    <w:rsid w:val="537EA10D"/>
    <w:rsid w:val="5389D4BE"/>
    <w:rsid w:val="5395D0DC"/>
    <w:rsid w:val="53AB99C7"/>
    <w:rsid w:val="53AE4053"/>
    <w:rsid w:val="53B62E63"/>
    <w:rsid w:val="53BE0C33"/>
    <w:rsid w:val="53C736FB"/>
    <w:rsid w:val="53D23494"/>
    <w:rsid w:val="53D2AAD1"/>
    <w:rsid w:val="53DAA15E"/>
    <w:rsid w:val="53E4ACE4"/>
    <w:rsid w:val="53E95A13"/>
    <w:rsid w:val="53EC64C3"/>
    <w:rsid w:val="53F48D9D"/>
    <w:rsid w:val="53FD2BB8"/>
    <w:rsid w:val="5412C5CB"/>
    <w:rsid w:val="54174B55"/>
    <w:rsid w:val="541D15D7"/>
    <w:rsid w:val="5420F8A6"/>
    <w:rsid w:val="544008AE"/>
    <w:rsid w:val="5448D179"/>
    <w:rsid w:val="545E824E"/>
    <w:rsid w:val="54639E13"/>
    <w:rsid w:val="5467C9AE"/>
    <w:rsid w:val="547029F4"/>
    <w:rsid w:val="547E4C3E"/>
    <w:rsid w:val="54805D31"/>
    <w:rsid w:val="5484507F"/>
    <w:rsid w:val="549D14D1"/>
    <w:rsid w:val="549EB425"/>
    <w:rsid w:val="54CDE6D0"/>
    <w:rsid w:val="54DB96FA"/>
    <w:rsid w:val="54F0BA41"/>
    <w:rsid w:val="54F28299"/>
    <w:rsid w:val="54F9349D"/>
    <w:rsid w:val="54FA6048"/>
    <w:rsid w:val="5501D425"/>
    <w:rsid w:val="550826AB"/>
    <w:rsid w:val="550DC5F8"/>
    <w:rsid w:val="5511814E"/>
    <w:rsid w:val="551EEB46"/>
    <w:rsid w:val="55297ABB"/>
    <w:rsid w:val="55400E4A"/>
    <w:rsid w:val="5545EE5B"/>
    <w:rsid w:val="5555A1C6"/>
    <w:rsid w:val="5561FC7D"/>
    <w:rsid w:val="55645557"/>
    <w:rsid w:val="5568086A"/>
    <w:rsid w:val="557735A1"/>
    <w:rsid w:val="55788EB0"/>
    <w:rsid w:val="557C1DC8"/>
    <w:rsid w:val="55807D45"/>
    <w:rsid w:val="5582ACEF"/>
    <w:rsid w:val="558633F1"/>
    <w:rsid w:val="55873465"/>
    <w:rsid w:val="558C9136"/>
    <w:rsid w:val="558EF972"/>
    <w:rsid w:val="559D7938"/>
    <w:rsid w:val="55A26DB6"/>
    <w:rsid w:val="55AAB126"/>
    <w:rsid w:val="55C5C068"/>
    <w:rsid w:val="55D02346"/>
    <w:rsid w:val="55D68FAB"/>
    <w:rsid w:val="55E0BDCF"/>
    <w:rsid w:val="55E4F44A"/>
    <w:rsid w:val="55F7C475"/>
    <w:rsid w:val="55F7EC70"/>
    <w:rsid w:val="560441A7"/>
    <w:rsid w:val="5627395C"/>
    <w:rsid w:val="56284F4C"/>
    <w:rsid w:val="562B66B1"/>
    <w:rsid w:val="563D588C"/>
    <w:rsid w:val="5640134A"/>
    <w:rsid w:val="564061AD"/>
    <w:rsid w:val="5641E4A6"/>
    <w:rsid w:val="564E80A8"/>
    <w:rsid w:val="564F82F7"/>
    <w:rsid w:val="56505372"/>
    <w:rsid w:val="565EC5B4"/>
    <w:rsid w:val="566B90FC"/>
    <w:rsid w:val="5673365A"/>
    <w:rsid w:val="56750B8F"/>
    <w:rsid w:val="567A008F"/>
    <w:rsid w:val="567C5F49"/>
    <w:rsid w:val="567FCBA6"/>
    <w:rsid w:val="568F4C0B"/>
    <w:rsid w:val="5699B4EE"/>
    <w:rsid w:val="5699C62D"/>
    <w:rsid w:val="569D3F57"/>
    <w:rsid w:val="56A87468"/>
    <w:rsid w:val="56ADAA1A"/>
    <w:rsid w:val="56B27568"/>
    <w:rsid w:val="56BA2F81"/>
    <w:rsid w:val="56BB059A"/>
    <w:rsid w:val="56C8D3DF"/>
    <w:rsid w:val="56DAC6FC"/>
    <w:rsid w:val="56EB9304"/>
    <w:rsid w:val="56FDE0FF"/>
    <w:rsid w:val="5701C956"/>
    <w:rsid w:val="57032EE9"/>
    <w:rsid w:val="57040747"/>
    <w:rsid w:val="570540A1"/>
    <w:rsid w:val="5710304A"/>
    <w:rsid w:val="57116A99"/>
    <w:rsid w:val="571DA31E"/>
    <w:rsid w:val="572304C6"/>
    <w:rsid w:val="5724C79E"/>
    <w:rsid w:val="5746EAEB"/>
    <w:rsid w:val="57475D42"/>
    <w:rsid w:val="574EAC6F"/>
    <w:rsid w:val="5760144E"/>
    <w:rsid w:val="5761EF7E"/>
    <w:rsid w:val="576269B4"/>
    <w:rsid w:val="57661EF1"/>
    <w:rsid w:val="5775B594"/>
    <w:rsid w:val="5777A7B1"/>
    <w:rsid w:val="57790A0C"/>
    <w:rsid w:val="57802EE6"/>
    <w:rsid w:val="57873D82"/>
    <w:rsid w:val="578C56CC"/>
    <w:rsid w:val="57933A24"/>
    <w:rsid w:val="57A12AC3"/>
    <w:rsid w:val="57A2FFD1"/>
    <w:rsid w:val="57AA958F"/>
    <w:rsid w:val="57B7A672"/>
    <w:rsid w:val="57B80ABA"/>
    <w:rsid w:val="57C9A8C8"/>
    <w:rsid w:val="57E0BCDF"/>
    <w:rsid w:val="57EC9003"/>
    <w:rsid w:val="57EEDABA"/>
    <w:rsid w:val="57F05460"/>
    <w:rsid w:val="57F9CC56"/>
    <w:rsid w:val="58027E34"/>
    <w:rsid w:val="580A39CC"/>
    <w:rsid w:val="5815C51F"/>
    <w:rsid w:val="58226DF8"/>
    <w:rsid w:val="58240400"/>
    <w:rsid w:val="5827DEE0"/>
    <w:rsid w:val="582C6AC2"/>
    <w:rsid w:val="582E2346"/>
    <w:rsid w:val="5831F109"/>
    <w:rsid w:val="5839E3AC"/>
    <w:rsid w:val="5839E433"/>
    <w:rsid w:val="5840FDFB"/>
    <w:rsid w:val="5846EB8A"/>
    <w:rsid w:val="584994A8"/>
    <w:rsid w:val="58505216"/>
    <w:rsid w:val="585087E8"/>
    <w:rsid w:val="58531593"/>
    <w:rsid w:val="586B7608"/>
    <w:rsid w:val="58738CB9"/>
    <w:rsid w:val="58741AA1"/>
    <w:rsid w:val="587ADD04"/>
    <w:rsid w:val="587F06FB"/>
    <w:rsid w:val="5881B176"/>
    <w:rsid w:val="588AEFC0"/>
    <w:rsid w:val="588B0473"/>
    <w:rsid w:val="588C5297"/>
    <w:rsid w:val="589C75FC"/>
    <w:rsid w:val="58A595C2"/>
    <w:rsid w:val="58A82797"/>
    <w:rsid w:val="58A94ACD"/>
    <w:rsid w:val="58ACB825"/>
    <w:rsid w:val="58BED527"/>
    <w:rsid w:val="58C22861"/>
    <w:rsid w:val="58CD5031"/>
    <w:rsid w:val="58D89D38"/>
    <w:rsid w:val="58D99CB8"/>
    <w:rsid w:val="58EAF620"/>
    <w:rsid w:val="58ED6AFC"/>
    <w:rsid w:val="58ED9087"/>
    <w:rsid w:val="58FCAC4A"/>
    <w:rsid w:val="58FE3A15"/>
    <w:rsid w:val="5909217B"/>
    <w:rsid w:val="591A9399"/>
    <w:rsid w:val="5924F653"/>
    <w:rsid w:val="592528A8"/>
    <w:rsid w:val="5926721E"/>
    <w:rsid w:val="592DC7E9"/>
    <w:rsid w:val="59362752"/>
    <w:rsid w:val="593E9FCE"/>
    <w:rsid w:val="59520700"/>
    <w:rsid w:val="59521206"/>
    <w:rsid w:val="595901A4"/>
    <w:rsid w:val="595E0D75"/>
    <w:rsid w:val="5971B6C5"/>
    <w:rsid w:val="5978C711"/>
    <w:rsid w:val="5984ADB0"/>
    <w:rsid w:val="598A88D6"/>
    <w:rsid w:val="598EE031"/>
    <w:rsid w:val="5996A943"/>
    <w:rsid w:val="599E5001"/>
    <w:rsid w:val="59A5D62E"/>
    <w:rsid w:val="59BE145D"/>
    <w:rsid w:val="59CFFC9C"/>
    <w:rsid w:val="59D3EB7F"/>
    <w:rsid w:val="59E2A597"/>
    <w:rsid w:val="59EC1C39"/>
    <w:rsid w:val="59F27064"/>
    <w:rsid w:val="59F90DF1"/>
    <w:rsid w:val="59FCCD7F"/>
    <w:rsid w:val="59FF8358"/>
    <w:rsid w:val="5A01D42E"/>
    <w:rsid w:val="5A042C52"/>
    <w:rsid w:val="5A185A31"/>
    <w:rsid w:val="5A2D5B27"/>
    <w:rsid w:val="5A35C683"/>
    <w:rsid w:val="5A3CB68F"/>
    <w:rsid w:val="5A404A64"/>
    <w:rsid w:val="5A4B7701"/>
    <w:rsid w:val="5A4F3A31"/>
    <w:rsid w:val="5A53EE68"/>
    <w:rsid w:val="5A585763"/>
    <w:rsid w:val="5A627290"/>
    <w:rsid w:val="5A822DCC"/>
    <w:rsid w:val="5A86F96C"/>
    <w:rsid w:val="5A8962F7"/>
    <w:rsid w:val="5A8BC164"/>
    <w:rsid w:val="5A96D828"/>
    <w:rsid w:val="5A981ACE"/>
    <w:rsid w:val="5A9CC7D1"/>
    <w:rsid w:val="5A9E2ADB"/>
    <w:rsid w:val="5AA07E7B"/>
    <w:rsid w:val="5AA39469"/>
    <w:rsid w:val="5AA66BD4"/>
    <w:rsid w:val="5AA84883"/>
    <w:rsid w:val="5AB4680E"/>
    <w:rsid w:val="5AB49DFD"/>
    <w:rsid w:val="5ABA8A41"/>
    <w:rsid w:val="5AC5A98D"/>
    <w:rsid w:val="5ACE77EF"/>
    <w:rsid w:val="5ACF197E"/>
    <w:rsid w:val="5ADFA33D"/>
    <w:rsid w:val="5AE1F808"/>
    <w:rsid w:val="5AE324B2"/>
    <w:rsid w:val="5AE5C7C2"/>
    <w:rsid w:val="5AE9D9D3"/>
    <w:rsid w:val="5AE9EF55"/>
    <w:rsid w:val="5B003209"/>
    <w:rsid w:val="5B008FDC"/>
    <w:rsid w:val="5B0A9D24"/>
    <w:rsid w:val="5B0D6484"/>
    <w:rsid w:val="5B15896E"/>
    <w:rsid w:val="5B29FD10"/>
    <w:rsid w:val="5B350C13"/>
    <w:rsid w:val="5B3F2244"/>
    <w:rsid w:val="5B44C912"/>
    <w:rsid w:val="5B4BDDDD"/>
    <w:rsid w:val="5B4BF13B"/>
    <w:rsid w:val="5B4D0AC6"/>
    <w:rsid w:val="5B4DF9B0"/>
    <w:rsid w:val="5B5D7083"/>
    <w:rsid w:val="5B5DF573"/>
    <w:rsid w:val="5B655920"/>
    <w:rsid w:val="5B6AEA87"/>
    <w:rsid w:val="5B7F95A4"/>
    <w:rsid w:val="5B877449"/>
    <w:rsid w:val="5B8BDDC1"/>
    <w:rsid w:val="5B90778A"/>
    <w:rsid w:val="5B927FF2"/>
    <w:rsid w:val="5B9724D1"/>
    <w:rsid w:val="5BA2CE1E"/>
    <w:rsid w:val="5BA3EEB3"/>
    <w:rsid w:val="5BABBB63"/>
    <w:rsid w:val="5BACD2BA"/>
    <w:rsid w:val="5BB17ADD"/>
    <w:rsid w:val="5BB1B0C8"/>
    <w:rsid w:val="5BB95238"/>
    <w:rsid w:val="5BC37C1C"/>
    <w:rsid w:val="5BC77ED3"/>
    <w:rsid w:val="5BCC18AE"/>
    <w:rsid w:val="5BCF078B"/>
    <w:rsid w:val="5BD4D62D"/>
    <w:rsid w:val="5BDAE77E"/>
    <w:rsid w:val="5BDEA288"/>
    <w:rsid w:val="5BE7C033"/>
    <w:rsid w:val="5BF9A62E"/>
    <w:rsid w:val="5BFB9747"/>
    <w:rsid w:val="5C086C3F"/>
    <w:rsid w:val="5C12E22E"/>
    <w:rsid w:val="5C217FE9"/>
    <w:rsid w:val="5C2DE63E"/>
    <w:rsid w:val="5C2EC42B"/>
    <w:rsid w:val="5C31021D"/>
    <w:rsid w:val="5C3E749D"/>
    <w:rsid w:val="5C3FDBD6"/>
    <w:rsid w:val="5C4556B9"/>
    <w:rsid w:val="5C4E196D"/>
    <w:rsid w:val="5C54483A"/>
    <w:rsid w:val="5C565AA2"/>
    <w:rsid w:val="5C5690C3"/>
    <w:rsid w:val="5C5D171D"/>
    <w:rsid w:val="5C5E9664"/>
    <w:rsid w:val="5C63E8E1"/>
    <w:rsid w:val="5C6E1C85"/>
    <w:rsid w:val="5C70C72A"/>
    <w:rsid w:val="5C75F568"/>
    <w:rsid w:val="5C815657"/>
    <w:rsid w:val="5C8AEEAC"/>
    <w:rsid w:val="5C8B4E44"/>
    <w:rsid w:val="5C9BDC44"/>
    <w:rsid w:val="5CA07F1A"/>
    <w:rsid w:val="5CA635D0"/>
    <w:rsid w:val="5CB345F0"/>
    <w:rsid w:val="5CB3A689"/>
    <w:rsid w:val="5CBDBF26"/>
    <w:rsid w:val="5CC0B1D5"/>
    <w:rsid w:val="5CC10C25"/>
    <w:rsid w:val="5CC26BD9"/>
    <w:rsid w:val="5CCE8BC0"/>
    <w:rsid w:val="5CDDDB85"/>
    <w:rsid w:val="5CE2802F"/>
    <w:rsid w:val="5CEB07F3"/>
    <w:rsid w:val="5CEF0095"/>
    <w:rsid w:val="5CF4D43A"/>
    <w:rsid w:val="5CF97216"/>
    <w:rsid w:val="5CFD84A7"/>
    <w:rsid w:val="5D09B816"/>
    <w:rsid w:val="5D1250A6"/>
    <w:rsid w:val="5D160DA9"/>
    <w:rsid w:val="5D2732B1"/>
    <w:rsid w:val="5D28E331"/>
    <w:rsid w:val="5D2D1116"/>
    <w:rsid w:val="5D2E6088"/>
    <w:rsid w:val="5D488BC0"/>
    <w:rsid w:val="5D4D4B3E"/>
    <w:rsid w:val="5D50B2E4"/>
    <w:rsid w:val="5D52551F"/>
    <w:rsid w:val="5D61AA7C"/>
    <w:rsid w:val="5D64F99D"/>
    <w:rsid w:val="5D7FDD46"/>
    <w:rsid w:val="5D908EB5"/>
    <w:rsid w:val="5D90DA4B"/>
    <w:rsid w:val="5D9176BA"/>
    <w:rsid w:val="5D99D540"/>
    <w:rsid w:val="5D9E322D"/>
    <w:rsid w:val="5DA555E7"/>
    <w:rsid w:val="5DA5AA15"/>
    <w:rsid w:val="5DA827D2"/>
    <w:rsid w:val="5DB641A0"/>
    <w:rsid w:val="5DC93C1D"/>
    <w:rsid w:val="5DD5E220"/>
    <w:rsid w:val="5DF85F53"/>
    <w:rsid w:val="5E0050BD"/>
    <w:rsid w:val="5E0E4BDA"/>
    <w:rsid w:val="5E175D95"/>
    <w:rsid w:val="5E192A8F"/>
    <w:rsid w:val="5E23D4C2"/>
    <w:rsid w:val="5E28F41C"/>
    <w:rsid w:val="5E399DD2"/>
    <w:rsid w:val="5E39DE6B"/>
    <w:rsid w:val="5E3CBCCF"/>
    <w:rsid w:val="5E4BB935"/>
    <w:rsid w:val="5E4CDD3B"/>
    <w:rsid w:val="5E525441"/>
    <w:rsid w:val="5E5DC5DC"/>
    <w:rsid w:val="5E61F683"/>
    <w:rsid w:val="5E620616"/>
    <w:rsid w:val="5E635902"/>
    <w:rsid w:val="5E6835F6"/>
    <w:rsid w:val="5E6DCBFD"/>
    <w:rsid w:val="5E6DF72E"/>
    <w:rsid w:val="5E7A5A43"/>
    <w:rsid w:val="5E7BC8A9"/>
    <w:rsid w:val="5E7CFB80"/>
    <w:rsid w:val="5E89A6EE"/>
    <w:rsid w:val="5E8EFA7A"/>
    <w:rsid w:val="5E8F465E"/>
    <w:rsid w:val="5E95E094"/>
    <w:rsid w:val="5E98A568"/>
    <w:rsid w:val="5E9BFC54"/>
    <w:rsid w:val="5EA398CB"/>
    <w:rsid w:val="5EC9A3F9"/>
    <w:rsid w:val="5ECBE230"/>
    <w:rsid w:val="5ECEC593"/>
    <w:rsid w:val="5ED559D4"/>
    <w:rsid w:val="5EE50A8D"/>
    <w:rsid w:val="5EE61919"/>
    <w:rsid w:val="5EFCE7EE"/>
    <w:rsid w:val="5EFD3A7A"/>
    <w:rsid w:val="5EFEEE1A"/>
    <w:rsid w:val="5F03F94C"/>
    <w:rsid w:val="5F0F8880"/>
    <w:rsid w:val="5F11C9DD"/>
    <w:rsid w:val="5F129FB1"/>
    <w:rsid w:val="5F14E670"/>
    <w:rsid w:val="5F35D73F"/>
    <w:rsid w:val="5F377604"/>
    <w:rsid w:val="5F39595E"/>
    <w:rsid w:val="5F417A76"/>
    <w:rsid w:val="5F42A685"/>
    <w:rsid w:val="5F450D6E"/>
    <w:rsid w:val="5F62B4C7"/>
    <w:rsid w:val="5F6351AB"/>
    <w:rsid w:val="5F653A7A"/>
    <w:rsid w:val="5F6DA146"/>
    <w:rsid w:val="5F6F741C"/>
    <w:rsid w:val="5F725E8A"/>
    <w:rsid w:val="5F739710"/>
    <w:rsid w:val="5F79CAD3"/>
    <w:rsid w:val="5F7DD793"/>
    <w:rsid w:val="5F97FB04"/>
    <w:rsid w:val="5F9FFE0D"/>
    <w:rsid w:val="5FAA1C3B"/>
    <w:rsid w:val="5FB400F3"/>
    <w:rsid w:val="5FB6C9AE"/>
    <w:rsid w:val="5FBAB5B9"/>
    <w:rsid w:val="5FC324DE"/>
    <w:rsid w:val="5FD9E12D"/>
    <w:rsid w:val="5FDF81DB"/>
    <w:rsid w:val="5FE632BA"/>
    <w:rsid w:val="5FE69094"/>
    <w:rsid w:val="5FE752DC"/>
    <w:rsid w:val="5FE9D861"/>
    <w:rsid w:val="5FEC40E7"/>
    <w:rsid w:val="5FEDCCA5"/>
    <w:rsid w:val="6007538C"/>
    <w:rsid w:val="600CBCA4"/>
    <w:rsid w:val="6014755A"/>
    <w:rsid w:val="60149DAB"/>
    <w:rsid w:val="6016BCB3"/>
    <w:rsid w:val="601B3EBC"/>
    <w:rsid w:val="60223A6E"/>
    <w:rsid w:val="6026226A"/>
    <w:rsid w:val="60337EBC"/>
    <w:rsid w:val="6047B8CC"/>
    <w:rsid w:val="6058E2A1"/>
    <w:rsid w:val="60660AEB"/>
    <w:rsid w:val="6069E0CA"/>
    <w:rsid w:val="6070D877"/>
    <w:rsid w:val="6086F27A"/>
    <w:rsid w:val="608CD07C"/>
    <w:rsid w:val="60920F60"/>
    <w:rsid w:val="609E3F48"/>
    <w:rsid w:val="60A0B903"/>
    <w:rsid w:val="60AA9F76"/>
    <w:rsid w:val="60B40BA7"/>
    <w:rsid w:val="60C1D3B5"/>
    <w:rsid w:val="60C658FC"/>
    <w:rsid w:val="60C81767"/>
    <w:rsid w:val="60C981EA"/>
    <w:rsid w:val="60CDCDC8"/>
    <w:rsid w:val="60D755C1"/>
    <w:rsid w:val="60DF59FC"/>
    <w:rsid w:val="60F50F12"/>
    <w:rsid w:val="60FFF338"/>
    <w:rsid w:val="6110458E"/>
    <w:rsid w:val="6112D5ED"/>
    <w:rsid w:val="61131D95"/>
    <w:rsid w:val="61172F35"/>
    <w:rsid w:val="612693AF"/>
    <w:rsid w:val="61270037"/>
    <w:rsid w:val="61302776"/>
    <w:rsid w:val="614412C6"/>
    <w:rsid w:val="6145E973"/>
    <w:rsid w:val="614D2BFB"/>
    <w:rsid w:val="61633C66"/>
    <w:rsid w:val="616969FC"/>
    <w:rsid w:val="61700E5E"/>
    <w:rsid w:val="617852F3"/>
    <w:rsid w:val="617C5097"/>
    <w:rsid w:val="617F2739"/>
    <w:rsid w:val="6190D4CD"/>
    <w:rsid w:val="61A323ED"/>
    <w:rsid w:val="61AB1F35"/>
    <w:rsid w:val="61ABE36C"/>
    <w:rsid w:val="61AF3850"/>
    <w:rsid w:val="61B597E4"/>
    <w:rsid w:val="61B75D1F"/>
    <w:rsid w:val="61B9DC08"/>
    <w:rsid w:val="61C1F2CB"/>
    <w:rsid w:val="61C3AF1F"/>
    <w:rsid w:val="61CD36F7"/>
    <w:rsid w:val="61D2FA32"/>
    <w:rsid w:val="61D867B2"/>
    <w:rsid w:val="61E582FD"/>
    <w:rsid w:val="61F686BC"/>
    <w:rsid w:val="6200F530"/>
    <w:rsid w:val="6208A53E"/>
    <w:rsid w:val="62170878"/>
    <w:rsid w:val="62269E2C"/>
    <w:rsid w:val="622A58B9"/>
    <w:rsid w:val="622DB478"/>
    <w:rsid w:val="6230C6D6"/>
    <w:rsid w:val="6249EA19"/>
    <w:rsid w:val="625CF80B"/>
    <w:rsid w:val="626CAE2A"/>
    <w:rsid w:val="626FF18E"/>
    <w:rsid w:val="62791B38"/>
    <w:rsid w:val="628ACA52"/>
    <w:rsid w:val="628D329E"/>
    <w:rsid w:val="62967716"/>
    <w:rsid w:val="62974CA1"/>
    <w:rsid w:val="629E1EF9"/>
    <w:rsid w:val="629F328D"/>
    <w:rsid w:val="62A037C6"/>
    <w:rsid w:val="62B39547"/>
    <w:rsid w:val="62B77363"/>
    <w:rsid w:val="62B88C28"/>
    <w:rsid w:val="62BF2093"/>
    <w:rsid w:val="62C60B15"/>
    <w:rsid w:val="62CAD838"/>
    <w:rsid w:val="62D1ED17"/>
    <w:rsid w:val="62D3C9C1"/>
    <w:rsid w:val="62DDB80C"/>
    <w:rsid w:val="62E16D3F"/>
    <w:rsid w:val="62F4040F"/>
    <w:rsid w:val="62FB2B01"/>
    <w:rsid w:val="62FEC268"/>
    <w:rsid w:val="630575E0"/>
    <w:rsid w:val="630A0DFA"/>
    <w:rsid w:val="6311AC47"/>
    <w:rsid w:val="631D72F5"/>
    <w:rsid w:val="63360B48"/>
    <w:rsid w:val="6344D8D7"/>
    <w:rsid w:val="6344FD70"/>
    <w:rsid w:val="63588742"/>
    <w:rsid w:val="6358B78E"/>
    <w:rsid w:val="635DC32C"/>
    <w:rsid w:val="6360908E"/>
    <w:rsid w:val="636098A1"/>
    <w:rsid w:val="6360E163"/>
    <w:rsid w:val="636407FE"/>
    <w:rsid w:val="63641F82"/>
    <w:rsid w:val="6365F642"/>
    <w:rsid w:val="636B9093"/>
    <w:rsid w:val="637322CF"/>
    <w:rsid w:val="6381535E"/>
    <w:rsid w:val="63876C81"/>
    <w:rsid w:val="638940E4"/>
    <w:rsid w:val="63934A60"/>
    <w:rsid w:val="6396EFA6"/>
    <w:rsid w:val="6398DF4E"/>
    <w:rsid w:val="63A19886"/>
    <w:rsid w:val="63A22B64"/>
    <w:rsid w:val="63A3F347"/>
    <w:rsid w:val="63A89A9B"/>
    <w:rsid w:val="63B1AADF"/>
    <w:rsid w:val="63B2D8D9"/>
    <w:rsid w:val="63BC8CC2"/>
    <w:rsid w:val="63BD0DFF"/>
    <w:rsid w:val="63C2B9D6"/>
    <w:rsid w:val="63C98922"/>
    <w:rsid w:val="63D1A6C2"/>
    <w:rsid w:val="63D1CBE2"/>
    <w:rsid w:val="63D9756B"/>
    <w:rsid w:val="63E8E1C8"/>
    <w:rsid w:val="63F43DA3"/>
    <w:rsid w:val="63F6BBDD"/>
    <w:rsid w:val="63FAC561"/>
    <w:rsid w:val="64076C00"/>
    <w:rsid w:val="64187C3E"/>
    <w:rsid w:val="64243C1D"/>
    <w:rsid w:val="64274A29"/>
    <w:rsid w:val="642AB0D9"/>
    <w:rsid w:val="642D08D7"/>
    <w:rsid w:val="643D1790"/>
    <w:rsid w:val="643DE41F"/>
    <w:rsid w:val="6443FE5B"/>
    <w:rsid w:val="644F65A8"/>
    <w:rsid w:val="645B0413"/>
    <w:rsid w:val="645BF334"/>
    <w:rsid w:val="64772615"/>
    <w:rsid w:val="647F3FF5"/>
    <w:rsid w:val="64834FD1"/>
    <w:rsid w:val="648F66C8"/>
    <w:rsid w:val="64947008"/>
    <w:rsid w:val="64A00718"/>
    <w:rsid w:val="64B27F65"/>
    <w:rsid w:val="64BD797A"/>
    <w:rsid w:val="64BFEBA8"/>
    <w:rsid w:val="64C6129C"/>
    <w:rsid w:val="64E6FC73"/>
    <w:rsid w:val="64F16994"/>
    <w:rsid w:val="64FDC4E9"/>
    <w:rsid w:val="65049F7C"/>
    <w:rsid w:val="650C6720"/>
    <w:rsid w:val="650F5ABB"/>
    <w:rsid w:val="6510D1A9"/>
    <w:rsid w:val="6511C842"/>
    <w:rsid w:val="651D7F91"/>
    <w:rsid w:val="651DCA28"/>
    <w:rsid w:val="65206342"/>
    <w:rsid w:val="652DEC7D"/>
    <w:rsid w:val="65376EF2"/>
    <w:rsid w:val="653F5F17"/>
    <w:rsid w:val="6544499A"/>
    <w:rsid w:val="65468E4A"/>
    <w:rsid w:val="654AC05C"/>
    <w:rsid w:val="6550C8B3"/>
    <w:rsid w:val="6552EA57"/>
    <w:rsid w:val="65544C11"/>
    <w:rsid w:val="6563625B"/>
    <w:rsid w:val="656F9256"/>
    <w:rsid w:val="6584C0AE"/>
    <w:rsid w:val="658832FB"/>
    <w:rsid w:val="6591D952"/>
    <w:rsid w:val="6594961E"/>
    <w:rsid w:val="65978961"/>
    <w:rsid w:val="659FC821"/>
    <w:rsid w:val="65A14006"/>
    <w:rsid w:val="65A20DFF"/>
    <w:rsid w:val="65A38A98"/>
    <w:rsid w:val="65AB72BD"/>
    <w:rsid w:val="65ADAC6F"/>
    <w:rsid w:val="65B0A3FA"/>
    <w:rsid w:val="65C0C921"/>
    <w:rsid w:val="65C99029"/>
    <w:rsid w:val="65CA289F"/>
    <w:rsid w:val="65D1F64B"/>
    <w:rsid w:val="65E2CA41"/>
    <w:rsid w:val="65ED3E63"/>
    <w:rsid w:val="65FB7B98"/>
    <w:rsid w:val="65FFE9E7"/>
    <w:rsid w:val="65FFF866"/>
    <w:rsid w:val="6607FB4E"/>
    <w:rsid w:val="6610E6B2"/>
    <w:rsid w:val="661A1E54"/>
    <w:rsid w:val="66285944"/>
    <w:rsid w:val="662BF3B6"/>
    <w:rsid w:val="66304069"/>
    <w:rsid w:val="66469ADE"/>
    <w:rsid w:val="664F182F"/>
    <w:rsid w:val="665109AC"/>
    <w:rsid w:val="66583A79"/>
    <w:rsid w:val="665FC924"/>
    <w:rsid w:val="66600BCC"/>
    <w:rsid w:val="66628BDF"/>
    <w:rsid w:val="66694C4F"/>
    <w:rsid w:val="667566BF"/>
    <w:rsid w:val="6679C74B"/>
    <w:rsid w:val="667F5F29"/>
    <w:rsid w:val="668E585E"/>
    <w:rsid w:val="6693E04D"/>
    <w:rsid w:val="669F1B17"/>
    <w:rsid w:val="66A9076A"/>
    <w:rsid w:val="66AAA703"/>
    <w:rsid w:val="66ABD8D5"/>
    <w:rsid w:val="66C0E1A6"/>
    <w:rsid w:val="66C0EC9A"/>
    <w:rsid w:val="66C7F31D"/>
    <w:rsid w:val="66C8A389"/>
    <w:rsid w:val="66D817A3"/>
    <w:rsid w:val="66D97F9A"/>
    <w:rsid w:val="66E019FB"/>
    <w:rsid w:val="66E51A28"/>
    <w:rsid w:val="66EEDB07"/>
    <w:rsid w:val="66F25F51"/>
    <w:rsid w:val="67182C09"/>
    <w:rsid w:val="6721EFBB"/>
    <w:rsid w:val="6725D893"/>
    <w:rsid w:val="672E7B3D"/>
    <w:rsid w:val="6732CA86"/>
    <w:rsid w:val="673B3984"/>
    <w:rsid w:val="673D89E4"/>
    <w:rsid w:val="673DEC25"/>
    <w:rsid w:val="6740CEF4"/>
    <w:rsid w:val="67447FED"/>
    <w:rsid w:val="6744B0ED"/>
    <w:rsid w:val="6759E529"/>
    <w:rsid w:val="6764C8F7"/>
    <w:rsid w:val="676DBACB"/>
    <w:rsid w:val="6772B409"/>
    <w:rsid w:val="6774B16C"/>
    <w:rsid w:val="677564D4"/>
    <w:rsid w:val="67781348"/>
    <w:rsid w:val="678773A5"/>
    <w:rsid w:val="678B8EFD"/>
    <w:rsid w:val="678DF2DA"/>
    <w:rsid w:val="6799DA99"/>
    <w:rsid w:val="679D386A"/>
    <w:rsid w:val="67A9D5D9"/>
    <w:rsid w:val="67B4E87D"/>
    <w:rsid w:val="67BE264D"/>
    <w:rsid w:val="67BF06AB"/>
    <w:rsid w:val="67CE5D09"/>
    <w:rsid w:val="67D4E72B"/>
    <w:rsid w:val="67DFFD59"/>
    <w:rsid w:val="67FCD1CC"/>
    <w:rsid w:val="681228C7"/>
    <w:rsid w:val="68242A96"/>
    <w:rsid w:val="6834D80E"/>
    <w:rsid w:val="68423109"/>
    <w:rsid w:val="685CB207"/>
    <w:rsid w:val="685F1AAA"/>
    <w:rsid w:val="68738DC4"/>
    <w:rsid w:val="6879A144"/>
    <w:rsid w:val="689F83C6"/>
    <w:rsid w:val="68A5CECE"/>
    <w:rsid w:val="68AA0FB7"/>
    <w:rsid w:val="68B71E52"/>
    <w:rsid w:val="68C7724D"/>
    <w:rsid w:val="68D1F518"/>
    <w:rsid w:val="68FABB4C"/>
    <w:rsid w:val="68FE2D35"/>
    <w:rsid w:val="68FE3369"/>
    <w:rsid w:val="6902BF2A"/>
    <w:rsid w:val="6907ED4F"/>
    <w:rsid w:val="6909970D"/>
    <w:rsid w:val="691AEA08"/>
    <w:rsid w:val="691C3D74"/>
    <w:rsid w:val="69341241"/>
    <w:rsid w:val="6934AED9"/>
    <w:rsid w:val="6938B7C5"/>
    <w:rsid w:val="694CF840"/>
    <w:rsid w:val="6952AE6D"/>
    <w:rsid w:val="695BABD4"/>
    <w:rsid w:val="696014E0"/>
    <w:rsid w:val="696386B0"/>
    <w:rsid w:val="69655C1B"/>
    <w:rsid w:val="696BCC4A"/>
    <w:rsid w:val="696CFC13"/>
    <w:rsid w:val="698E4E5E"/>
    <w:rsid w:val="6995C55C"/>
    <w:rsid w:val="6999E71D"/>
    <w:rsid w:val="699ECE61"/>
    <w:rsid w:val="69A8D1FC"/>
    <w:rsid w:val="69BBD004"/>
    <w:rsid w:val="69C82928"/>
    <w:rsid w:val="69D8E980"/>
    <w:rsid w:val="69D97F24"/>
    <w:rsid w:val="69DF5A0B"/>
    <w:rsid w:val="69E34991"/>
    <w:rsid w:val="69EC7FF6"/>
    <w:rsid w:val="69F1ECF2"/>
    <w:rsid w:val="69F47E98"/>
    <w:rsid w:val="69F5EB33"/>
    <w:rsid w:val="69F6025F"/>
    <w:rsid w:val="69F9E74B"/>
    <w:rsid w:val="69FAD0FC"/>
    <w:rsid w:val="6A0BEF4B"/>
    <w:rsid w:val="6A0CCC47"/>
    <w:rsid w:val="6A0F752D"/>
    <w:rsid w:val="6A15AD7C"/>
    <w:rsid w:val="6A1D6CA2"/>
    <w:rsid w:val="6A237C5F"/>
    <w:rsid w:val="6A2E07AA"/>
    <w:rsid w:val="6A2FBFF0"/>
    <w:rsid w:val="6A39ADBB"/>
    <w:rsid w:val="6A3E3D49"/>
    <w:rsid w:val="6A43A06C"/>
    <w:rsid w:val="6A44C174"/>
    <w:rsid w:val="6A4A0627"/>
    <w:rsid w:val="6A4D9661"/>
    <w:rsid w:val="6A574D2E"/>
    <w:rsid w:val="6A5917E5"/>
    <w:rsid w:val="6A61F97E"/>
    <w:rsid w:val="6A661BFF"/>
    <w:rsid w:val="6A6D3A96"/>
    <w:rsid w:val="6A723206"/>
    <w:rsid w:val="6A7278F3"/>
    <w:rsid w:val="6A79E7D5"/>
    <w:rsid w:val="6AA8CB08"/>
    <w:rsid w:val="6AAD1ADF"/>
    <w:rsid w:val="6AAF8BD0"/>
    <w:rsid w:val="6AB6F852"/>
    <w:rsid w:val="6AC960B5"/>
    <w:rsid w:val="6AC9B393"/>
    <w:rsid w:val="6AD0EFB6"/>
    <w:rsid w:val="6AD17F08"/>
    <w:rsid w:val="6AD57A00"/>
    <w:rsid w:val="6AD8DE3A"/>
    <w:rsid w:val="6ADCEE43"/>
    <w:rsid w:val="6ADEC07B"/>
    <w:rsid w:val="6ADFCD83"/>
    <w:rsid w:val="6AE457D5"/>
    <w:rsid w:val="6AE81FB0"/>
    <w:rsid w:val="6AEDB734"/>
    <w:rsid w:val="6AF26535"/>
    <w:rsid w:val="6AF7963D"/>
    <w:rsid w:val="6B0AFC37"/>
    <w:rsid w:val="6B2A83B9"/>
    <w:rsid w:val="6B2D7EF2"/>
    <w:rsid w:val="6B31FF1D"/>
    <w:rsid w:val="6B3C67D8"/>
    <w:rsid w:val="6B41F8DD"/>
    <w:rsid w:val="6B678205"/>
    <w:rsid w:val="6B695803"/>
    <w:rsid w:val="6B6B2B93"/>
    <w:rsid w:val="6B742FAE"/>
    <w:rsid w:val="6B77468B"/>
    <w:rsid w:val="6B88BE46"/>
    <w:rsid w:val="6B960C3E"/>
    <w:rsid w:val="6BA4C39D"/>
    <w:rsid w:val="6BB68183"/>
    <w:rsid w:val="6BB993D8"/>
    <w:rsid w:val="6BBC4668"/>
    <w:rsid w:val="6BCF1E7E"/>
    <w:rsid w:val="6BCF904A"/>
    <w:rsid w:val="6BDA4261"/>
    <w:rsid w:val="6BE00594"/>
    <w:rsid w:val="6BE0F1EF"/>
    <w:rsid w:val="6BF2656A"/>
    <w:rsid w:val="6BFD14B5"/>
    <w:rsid w:val="6C032DDD"/>
    <w:rsid w:val="6C11342E"/>
    <w:rsid w:val="6C1B560F"/>
    <w:rsid w:val="6C27446F"/>
    <w:rsid w:val="6C2C0EDA"/>
    <w:rsid w:val="6C3110D7"/>
    <w:rsid w:val="6C38BEDC"/>
    <w:rsid w:val="6C3DC926"/>
    <w:rsid w:val="6C4C9F35"/>
    <w:rsid w:val="6C4EB3D3"/>
    <w:rsid w:val="6C531F13"/>
    <w:rsid w:val="6C67B3D6"/>
    <w:rsid w:val="6C898795"/>
    <w:rsid w:val="6C949BD9"/>
    <w:rsid w:val="6C967107"/>
    <w:rsid w:val="6C9954B0"/>
    <w:rsid w:val="6C99FA1F"/>
    <w:rsid w:val="6C9CB405"/>
    <w:rsid w:val="6C9F5535"/>
    <w:rsid w:val="6CA480D8"/>
    <w:rsid w:val="6CA7E0D8"/>
    <w:rsid w:val="6CB017DB"/>
    <w:rsid w:val="6CCED8AF"/>
    <w:rsid w:val="6CD136DA"/>
    <w:rsid w:val="6CD17CBD"/>
    <w:rsid w:val="6CEADC84"/>
    <w:rsid w:val="6CEB3C34"/>
    <w:rsid w:val="6D145E21"/>
    <w:rsid w:val="6D1FE637"/>
    <w:rsid w:val="6D238757"/>
    <w:rsid w:val="6D23A585"/>
    <w:rsid w:val="6D243ABD"/>
    <w:rsid w:val="6D2BB639"/>
    <w:rsid w:val="6D2BEEC4"/>
    <w:rsid w:val="6D3425E1"/>
    <w:rsid w:val="6D348A7D"/>
    <w:rsid w:val="6D34E190"/>
    <w:rsid w:val="6D385B78"/>
    <w:rsid w:val="6D3D215B"/>
    <w:rsid w:val="6D41081E"/>
    <w:rsid w:val="6D54D6EE"/>
    <w:rsid w:val="6D56F2AE"/>
    <w:rsid w:val="6D6A93DB"/>
    <w:rsid w:val="6D775A62"/>
    <w:rsid w:val="6D776257"/>
    <w:rsid w:val="6D79CBA9"/>
    <w:rsid w:val="6D824497"/>
    <w:rsid w:val="6D8F8C5E"/>
    <w:rsid w:val="6D99805F"/>
    <w:rsid w:val="6DA0528B"/>
    <w:rsid w:val="6DA5B57E"/>
    <w:rsid w:val="6DA6ACD3"/>
    <w:rsid w:val="6DB652CF"/>
    <w:rsid w:val="6DC29F23"/>
    <w:rsid w:val="6DC61D88"/>
    <w:rsid w:val="6DCD0D71"/>
    <w:rsid w:val="6DD4EF16"/>
    <w:rsid w:val="6DDA276A"/>
    <w:rsid w:val="6DDCB168"/>
    <w:rsid w:val="6DEB23FF"/>
    <w:rsid w:val="6DFBEF69"/>
    <w:rsid w:val="6E08744C"/>
    <w:rsid w:val="6E1A7B91"/>
    <w:rsid w:val="6E20665C"/>
    <w:rsid w:val="6E28A9E8"/>
    <w:rsid w:val="6E2B8CB2"/>
    <w:rsid w:val="6E31BC64"/>
    <w:rsid w:val="6E3D4096"/>
    <w:rsid w:val="6E409991"/>
    <w:rsid w:val="6E5A8DDA"/>
    <w:rsid w:val="6E62A858"/>
    <w:rsid w:val="6E63A2E8"/>
    <w:rsid w:val="6E71C2DE"/>
    <w:rsid w:val="6E84978A"/>
    <w:rsid w:val="6E94BF2E"/>
    <w:rsid w:val="6E9967B5"/>
    <w:rsid w:val="6E9F4697"/>
    <w:rsid w:val="6EA2C324"/>
    <w:rsid w:val="6EA6389E"/>
    <w:rsid w:val="6EA92ED4"/>
    <w:rsid w:val="6EC8A12F"/>
    <w:rsid w:val="6ECD586E"/>
    <w:rsid w:val="6ECF4C8F"/>
    <w:rsid w:val="6EDAC88B"/>
    <w:rsid w:val="6EEED0C5"/>
    <w:rsid w:val="6EF4FCC9"/>
    <w:rsid w:val="6EFA7BB2"/>
    <w:rsid w:val="6EFAE9F5"/>
    <w:rsid w:val="6F025814"/>
    <w:rsid w:val="6F134ADB"/>
    <w:rsid w:val="6F13D360"/>
    <w:rsid w:val="6F161649"/>
    <w:rsid w:val="6F17A656"/>
    <w:rsid w:val="6F1E3516"/>
    <w:rsid w:val="6F282B10"/>
    <w:rsid w:val="6F30AA83"/>
    <w:rsid w:val="6F32A279"/>
    <w:rsid w:val="6F3B20B9"/>
    <w:rsid w:val="6F494967"/>
    <w:rsid w:val="6F50B805"/>
    <w:rsid w:val="6F51D1D3"/>
    <w:rsid w:val="6F54BCFB"/>
    <w:rsid w:val="6F5812E4"/>
    <w:rsid w:val="6F5D4EEF"/>
    <w:rsid w:val="6F5DD62E"/>
    <w:rsid w:val="6F5F01AC"/>
    <w:rsid w:val="6F60D206"/>
    <w:rsid w:val="6F69A95A"/>
    <w:rsid w:val="6F6C626F"/>
    <w:rsid w:val="6F81E7FA"/>
    <w:rsid w:val="6F83C3E9"/>
    <w:rsid w:val="6F890FD8"/>
    <w:rsid w:val="6F9DC4A8"/>
    <w:rsid w:val="6FA0F689"/>
    <w:rsid w:val="6FB48BFE"/>
    <w:rsid w:val="6FB57996"/>
    <w:rsid w:val="6FBBEAB4"/>
    <w:rsid w:val="6FC7397A"/>
    <w:rsid w:val="6FCF7D48"/>
    <w:rsid w:val="6FDF1035"/>
    <w:rsid w:val="6FF5B755"/>
    <w:rsid w:val="6FF6D473"/>
    <w:rsid w:val="6FFADEF9"/>
    <w:rsid w:val="700163A9"/>
    <w:rsid w:val="70029E4F"/>
    <w:rsid w:val="70077FBB"/>
    <w:rsid w:val="703A0E5C"/>
    <w:rsid w:val="7049C0E5"/>
    <w:rsid w:val="704A1805"/>
    <w:rsid w:val="705FAA87"/>
    <w:rsid w:val="7067C3EC"/>
    <w:rsid w:val="706B9821"/>
    <w:rsid w:val="7070E7A1"/>
    <w:rsid w:val="7077D5BB"/>
    <w:rsid w:val="70785E75"/>
    <w:rsid w:val="707A73F5"/>
    <w:rsid w:val="707EB9C4"/>
    <w:rsid w:val="70817EDC"/>
    <w:rsid w:val="708C7D8B"/>
    <w:rsid w:val="7094EEEF"/>
    <w:rsid w:val="709D4AB8"/>
    <w:rsid w:val="70A1049D"/>
    <w:rsid w:val="70A82346"/>
    <w:rsid w:val="70AE1046"/>
    <w:rsid w:val="70B402F8"/>
    <w:rsid w:val="70B8E956"/>
    <w:rsid w:val="70BDEDD5"/>
    <w:rsid w:val="70C4A482"/>
    <w:rsid w:val="70D152C2"/>
    <w:rsid w:val="70D19445"/>
    <w:rsid w:val="70D42B5C"/>
    <w:rsid w:val="70D632F1"/>
    <w:rsid w:val="70DCCF11"/>
    <w:rsid w:val="70F7DDA1"/>
    <w:rsid w:val="70FEAB3F"/>
    <w:rsid w:val="71012684"/>
    <w:rsid w:val="7102E204"/>
    <w:rsid w:val="7106DBDB"/>
    <w:rsid w:val="7106FDA0"/>
    <w:rsid w:val="71082DA5"/>
    <w:rsid w:val="710A85A4"/>
    <w:rsid w:val="710BC9D4"/>
    <w:rsid w:val="71118FDC"/>
    <w:rsid w:val="71159CF5"/>
    <w:rsid w:val="71160DBC"/>
    <w:rsid w:val="7119ABEA"/>
    <w:rsid w:val="711FE180"/>
    <w:rsid w:val="71200C4C"/>
    <w:rsid w:val="71259566"/>
    <w:rsid w:val="712DC2C5"/>
    <w:rsid w:val="712F3545"/>
    <w:rsid w:val="714B6341"/>
    <w:rsid w:val="71528A95"/>
    <w:rsid w:val="7157DBCA"/>
    <w:rsid w:val="71580DFB"/>
    <w:rsid w:val="71595A77"/>
    <w:rsid w:val="715FD45E"/>
    <w:rsid w:val="7163FC82"/>
    <w:rsid w:val="716D36AB"/>
    <w:rsid w:val="716F2E40"/>
    <w:rsid w:val="716FECEB"/>
    <w:rsid w:val="7174FD60"/>
    <w:rsid w:val="717D71E1"/>
    <w:rsid w:val="71855A7D"/>
    <w:rsid w:val="718D1072"/>
    <w:rsid w:val="718E9A15"/>
    <w:rsid w:val="718EFDA8"/>
    <w:rsid w:val="7198E5C5"/>
    <w:rsid w:val="71A61216"/>
    <w:rsid w:val="71A66794"/>
    <w:rsid w:val="71B88AAC"/>
    <w:rsid w:val="71B94CE3"/>
    <w:rsid w:val="71C3CF05"/>
    <w:rsid w:val="71CCB3B3"/>
    <w:rsid w:val="71D33402"/>
    <w:rsid w:val="71D7C578"/>
    <w:rsid w:val="71E67F67"/>
    <w:rsid w:val="71EDC955"/>
    <w:rsid w:val="71F8A90A"/>
    <w:rsid w:val="720772C1"/>
    <w:rsid w:val="7207A20B"/>
    <w:rsid w:val="7209E6BC"/>
    <w:rsid w:val="720F7B3F"/>
    <w:rsid w:val="720FB9DD"/>
    <w:rsid w:val="72142ED6"/>
    <w:rsid w:val="722C94CA"/>
    <w:rsid w:val="7233A98E"/>
    <w:rsid w:val="7237A0A3"/>
    <w:rsid w:val="7240D15D"/>
    <w:rsid w:val="726C9683"/>
    <w:rsid w:val="72726EF6"/>
    <w:rsid w:val="72784CA8"/>
    <w:rsid w:val="728BCD47"/>
    <w:rsid w:val="72909692"/>
    <w:rsid w:val="72919C86"/>
    <w:rsid w:val="72946B31"/>
    <w:rsid w:val="729F0F2B"/>
    <w:rsid w:val="72A03502"/>
    <w:rsid w:val="72A74607"/>
    <w:rsid w:val="72A862F8"/>
    <w:rsid w:val="72ABA49F"/>
    <w:rsid w:val="72ACFDDB"/>
    <w:rsid w:val="72B6BEA9"/>
    <w:rsid w:val="72B80D13"/>
    <w:rsid w:val="72C29473"/>
    <w:rsid w:val="72C6489B"/>
    <w:rsid w:val="72E0E7F7"/>
    <w:rsid w:val="72E64B2B"/>
    <w:rsid w:val="72E848EC"/>
    <w:rsid w:val="72F1E2D5"/>
    <w:rsid w:val="72F5B01F"/>
    <w:rsid w:val="72FB59F7"/>
    <w:rsid w:val="72FC0834"/>
    <w:rsid w:val="73199332"/>
    <w:rsid w:val="731E9DCA"/>
    <w:rsid w:val="7326BD7C"/>
    <w:rsid w:val="732F933F"/>
    <w:rsid w:val="733F2CFC"/>
    <w:rsid w:val="73422C97"/>
    <w:rsid w:val="7364F0D7"/>
    <w:rsid w:val="736C442D"/>
    <w:rsid w:val="737D09B5"/>
    <w:rsid w:val="73815734"/>
    <w:rsid w:val="7382933D"/>
    <w:rsid w:val="7386D0CF"/>
    <w:rsid w:val="738A5BFF"/>
    <w:rsid w:val="73956085"/>
    <w:rsid w:val="73ABED4F"/>
    <w:rsid w:val="73B2CABB"/>
    <w:rsid w:val="73B50A57"/>
    <w:rsid w:val="73B74824"/>
    <w:rsid w:val="73B80FA7"/>
    <w:rsid w:val="73BB723E"/>
    <w:rsid w:val="73BB8744"/>
    <w:rsid w:val="73C5688F"/>
    <w:rsid w:val="73CC6F2A"/>
    <w:rsid w:val="73CFDC36"/>
    <w:rsid w:val="73D4445A"/>
    <w:rsid w:val="73EC73EA"/>
    <w:rsid w:val="73F4A69A"/>
    <w:rsid w:val="73F970EE"/>
    <w:rsid w:val="74196A7F"/>
    <w:rsid w:val="741ED489"/>
    <w:rsid w:val="74245C64"/>
    <w:rsid w:val="7427C838"/>
    <w:rsid w:val="742CE6C4"/>
    <w:rsid w:val="743781C8"/>
    <w:rsid w:val="743F25BB"/>
    <w:rsid w:val="74582285"/>
    <w:rsid w:val="745AED9C"/>
    <w:rsid w:val="745E8D73"/>
    <w:rsid w:val="745F8934"/>
    <w:rsid w:val="746430A6"/>
    <w:rsid w:val="74675467"/>
    <w:rsid w:val="747A3017"/>
    <w:rsid w:val="747A4328"/>
    <w:rsid w:val="748FFB1D"/>
    <w:rsid w:val="7493794F"/>
    <w:rsid w:val="749EF864"/>
    <w:rsid w:val="74A88BA4"/>
    <w:rsid w:val="74B56393"/>
    <w:rsid w:val="74BBA660"/>
    <w:rsid w:val="74BD053F"/>
    <w:rsid w:val="74BD7562"/>
    <w:rsid w:val="74C050A2"/>
    <w:rsid w:val="74CEAB6B"/>
    <w:rsid w:val="74D0C207"/>
    <w:rsid w:val="74D62050"/>
    <w:rsid w:val="74DB6CE3"/>
    <w:rsid w:val="74DB8D7F"/>
    <w:rsid w:val="74E4F5AB"/>
    <w:rsid w:val="74E6C960"/>
    <w:rsid w:val="74ECCEF5"/>
    <w:rsid w:val="74F30873"/>
    <w:rsid w:val="74FB5F11"/>
    <w:rsid w:val="7501A7CB"/>
    <w:rsid w:val="7506D608"/>
    <w:rsid w:val="7511C0C4"/>
    <w:rsid w:val="751DAD1A"/>
    <w:rsid w:val="751F9BA4"/>
    <w:rsid w:val="7520F1AE"/>
    <w:rsid w:val="752118E5"/>
    <w:rsid w:val="752145E4"/>
    <w:rsid w:val="752D00A3"/>
    <w:rsid w:val="75324036"/>
    <w:rsid w:val="7537213D"/>
    <w:rsid w:val="7538F62A"/>
    <w:rsid w:val="753998A2"/>
    <w:rsid w:val="753B350F"/>
    <w:rsid w:val="754D0127"/>
    <w:rsid w:val="75500613"/>
    <w:rsid w:val="7552DE9E"/>
    <w:rsid w:val="755CA039"/>
    <w:rsid w:val="757C6D13"/>
    <w:rsid w:val="758B44D7"/>
    <w:rsid w:val="758EEF6A"/>
    <w:rsid w:val="75909CEB"/>
    <w:rsid w:val="75AF49DB"/>
    <w:rsid w:val="75B054CB"/>
    <w:rsid w:val="75B2A2B1"/>
    <w:rsid w:val="75BB535F"/>
    <w:rsid w:val="75C595CA"/>
    <w:rsid w:val="75CA86F0"/>
    <w:rsid w:val="75CECD4A"/>
    <w:rsid w:val="75D36D56"/>
    <w:rsid w:val="75DE676D"/>
    <w:rsid w:val="75E246EB"/>
    <w:rsid w:val="75E713FC"/>
    <w:rsid w:val="75EF32BA"/>
    <w:rsid w:val="75F5C460"/>
    <w:rsid w:val="75FCACF3"/>
    <w:rsid w:val="76103B9D"/>
    <w:rsid w:val="761A43DF"/>
    <w:rsid w:val="762434D0"/>
    <w:rsid w:val="76260C9E"/>
    <w:rsid w:val="7627553C"/>
    <w:rsid w:val="762B4277"/>
    <w:rsid w:val="76338D4B"/>
    <w:rsid w:val="76376F0F"/>
    <w:rsid w:val="763CF4E4"/>
    <w:rsid w:val="7643C906"/>
    <w:rsid w:val="76583E8D"/>
    <w:rsid w:val="766555E9"/>
    <w:rsid w:val="766B3781"/>
    <w:rsid w:val="767298FF"/>
    <w:rsid w:val="7672EF58"/>
    <w:rsid w:val="7673F207"/>
    <w:rsid w:val="7675CC20"/>
    <w:rsid w:val="7678D13A"/>
    <w:rsid w:val="767D57E3"/>
    <w:rsid w:val="767F989A"/>
    <w:rsid w:val="768847C1"/>
    <w:rsid w:val="768B9364"/>
    <w:rsid w:val="768CFC8F"/>
    <w:rsid w:val="76A416B3"/>
    <w:rsid w:val="76A5910D"/>
    <w:rsid w:val="76A87914"/>
    <w:rsid w:val="76A8EE8D"/>
    <w:rsid w:val="76B6425F"/>
    <w:rsid w:val="76B6BFC7"/>
    <w:rsid w:val="76B7BFE8"/>
    <w:rsid w:val="76CEDF99"/>
    <w:rsid w:val="76D2CC1E"/>
    <w:rsid w:val="76DAD87D"/>
    <w:rsid w:val="76E39EED"/>
    <w:rsid w:val="76EDFB48"/>
    <w:rsid w:val="76F350BF"/>
    <w:rsid w:val="76FB3851"/>
    <w:rsid w:val="76FE2B4B"/>
    <w:rsid w:val="771B0E5A"/>
    <w:rsid w:val="771F3B34"/>
    <w:rsid w:val="772C50A6"/>
    <w:rsid w:val="7736638B"/>
    <w:rsid w:val="774118D8"/>
    <w:rsid w:val="7742FD87"/>
    <w:rsid w:val="77476267"/>
    <w:rsid w:val="77515D4E"/>
    <w:rsid w:val="7767BCE8"/>
    <w:rsid w:val="776B96CD"/>
    <w:rsid w:val="77701EEE"/>
    <w:rsid w:val="7770802D"/>
    <w:rsid w:val="7772BA0A"/>
    <w:rsid w:val="777D8254"/>
    <w:rsid w:val="77810F3E"/>
    <w:rsid w:val="778111C2"/>
    <w:rsid w:val="77822539"/>
    <w:rsid w:val="77873D45"/>
    <w:rsid w:val="779D6449"/>
    <w:rsid w:val="77A35051"/>
    <w:rsid w:val="77ACA6D4"/>
    <w:rsid w:val="77ADE2BE"/>
    <w:rsid w:val="77AEC990"/>
    <w:rsid w:val="77CA3D2D"/>
    <w:rsid w:val="77D03CDF"/>
    <w:rsid w:val="77D828FF"/>
    <w:rsid w:val="77D8C5C6"/>
    <w:rsid w:val="77DF2C6A"/>
    <w:rsid w:val="77E2C70F"/>
    <w:rsid w:val="77E7CF0F"/>
    <w:rsid w:val="77EDDF85"/>
    <w:rsid w:val="77FD63AC"/>
    <w:rsid w:val="7802E415"/>
    <w:rsid w:val="7805066F"/>
    <w:rsid w:val="78062B08"/>
    <w:rsid w:val="78090B08"/>
    <w:rsid w:val="780EC118"/>
    <w:rsid w:val="782E5BC4"/>
    <w:rsid w:val="783076C1"/>
    <w:rsid w:val="78372353"/>
    <w:rsid w:val="78397F9E"/>
    <w:rsid w:val="7839C2E8"/>
    <w:rsid w:val="7841616E"/>
    <w:rsid w:val="784A1ED1"/>
    <w:rsid w:val="784ACFE1"/>
    <w:rsid w:val="7855BBD3"/>
    <w:rsid w:val="78580223"/>
    <w:rsid w:val="7877C4CA"/>
    <w:rsid w:val="78784A4D"/>
    <w:rsid w:val="787CC656"/>
    <w:rsid w:val="787E2EC2"/>
    <w:rsid w:val="7887E63D"/>
    <w:rsid w:val="7888E840"/>
    <w:rsid w:val="7890275A"/>
    <w:rsid w:val="78909576"/>
    <w:rsid w:val="789AFEA5"/>
    <w:rsid w:val="78A1BD8F"/>
    <w:rsid w:val="78B66B45"/>
    <w:rsid w:val="78C82107"/>
    <w:rsid w:val="78C90FD1"/>
    <w:rsid w:val="78D32EA7"/>
    <w:rsid w:val="78D7C11B"/>
    <w:rsid w:val="78DBB6FF"/>
    <w:rsid w:val="78DC64A7"/>
    <w:rsid w:val="78E30F0D"/>
    <w:rsid w:val="78E65B65"/>
    <w:rsid w:val="78FAE21D"/>
    <w:rsid w:val="78FAFFBF"/>
    <w:rsid w:val="78FEFB18"/>
    <w:rsid w:val="79037EEC"/>
    <w:rsid w:val="79107910"/>
    <w:rsid w:val="791719FD"/>
    <w:rsid w:val="7917BBD1"/>
    <w:rsid w:val="7920A156"/>
    <w:rsid w:val="79217AEE"/>
    <w:rsid w:val="7926B066"/>
    <w:rsid w:val="79288581"/>
    <w:rsid w:val="792D4E1D"/>
    <w:rsid w:val="793EBECB"/>
    <w:rsid w:val="7940133E"/>
    <w:rsid w:val="7940F659"/>
    <w:rsid w:val="794A37A0"/>
    <w:rsid w:val="79582B0C"/>
    <w:rsid w:val="7966F495"/>
    <w:rsid w:val="79749398"/>
    <w:rsid w:val="797C4C66"/>
    <w:rsid w:val="79932A29"/>
    <w:rsid w:val="799EF3C9"/>
    <w:rsid w:val="79A5CD69"/>
    <w:rsid w:val="79AE78DC"/>
    <w:rsid w:val="79B0820B"/>
    <w:rsid w:val="79B485F4"/>
    <w:rsid w:val="79B572F9"/>
    <w:rsid w:val="79BBECD3"/>
    <w:rsid w:val="79D85A24"/>
    <w:rsid w:val="79DD31CF"/>
    <w:rsid w:val="79E8EB45"/>
    <w:rsid w:val="79F9520A"/>
    <w:rsid w:val="7A08A289"/>
    <w:rsid w:val="7A0A5AE8"/>
    <w:rsid w:val="7A227C35"/>
    <w:rsid w:val="7A2905B9"/>
    <w:rsid w:val="7A394216"/>
    <w:rsid w:val="7A3DE3B3"/>
    <w:rsid w:val="7A3E8A00"/>
    <w:rsid w:val="7A472682"/>
    <w:rsid w:val="7A4BF5DD"/>
    <w:rsid w:val="7A609902"/>
    <w:rsid w:val="7A6209AF"/>
    <w:rsid w:val="7A63F168"/>
    <w:rsid w:val="7A85E4FA"/>
    <w:rsid w:val="7A8DE375"/>
    <w:rsid w:val="7A96346A"/>
    <w:rsid w:val="7A9F4F4D"/>
    <w:rsid w:val="7ABB83FC"/>
    <w:rsid w:val="7ACA1728"/>
    <w:rsid w:val="7ACF3BAF"/>
    <w:rsid w:val="7AD4B395"/>
    <w:rsid w:val="7AE8D035"/>
    <w:rsid w:val="7AF40AC9"/>
    <w:rsid w:val="7AF4C004"/>
    <w:rsid w:val="7AFA7FBC"/>
    <w:rsid w:val="7AFCC798"/>
    <w:rsid w:val="7B071001"/>
    <w:rsid w:val="7B112EF2"/>
    <w:rsid w:val="7B1C57C7"/>
    <w:rsid w:val="7B1F46D5"/>
    <w:rsid w:val="7B24AA78"/>
    <w:rsid w:val="7B2635D0"/>
    <w:rsid w:val="7B2B55A2"/>
    <w:rsid w:val="7B2DCE94"/>
    <w:rsid w:val="7B31FC32"/>
    <w:rsid w:val="7B3653AF"/>
    <w:rsid w:val="7B3B1DB8"/>
    <w:rsid w:val="7B3D34DA"/>
    <w:rsid w:val="7B654F07"/>
    <w:rsid w:val="7B712B1B"/>
    <w:rsid w:val="7B88F73A"/>
    <w:rsid w:val="7B8A819E"/>
    <w:rsid w:val="7B8BE81B"/>
    <w:rsid w:val="7B9197E6"/>
    <w:rsid w:val="7BA66F0D"/>
    <w:rsid w:val="7BA6CD31"/>
    <w:rsid w:val="7BB1A954"/>
    <w:rsid w:val="7BBE027C"/>
    <w:rsid w:val="7BC7351D"/>
    <w:rsid w:val="7BD27351"/>
    <w:rsid w:val="7BD59D0A"/>
    <w:rsid w:val="7BDBF607"/>
    <w:rsid w:val="7BDE1ABF"/>
    <w:rsid w:val="7BE53C94"/>
    <w:rsid w:val="7BF49085"/>
    <w:rsid w:val="7BF63C8F"/>
    <w:rsid w:val="7BF96E81"/>
    <w:rsid w:val="7C06BC7B"/>
    <w:rsid w:val="7C08401B"/>
    <w:rsid w:val="7C115FB6"/>
    <w:rsid w:val="7C11F975"/>
    <w:rsid w:val="7C1A182C"/>
    <w:rsid w:val="7C200B71"/>
    <w:rsid w:val="7C24CE71"/>
    <w:rsid w:val="7C28F35A"/>
    <w:rsid w:val="7C2E01AC"/>
    <w:rsid w:val="7C368932"/>
    <w:rsid w:val="7C3B073B"/>
    <w:rsid w:val="7C506D5E"/>
    <w:rsid w:val="7C5CC90A"/>
    <w:rsid w:val="7C5E7539"/>
    <w:rsid w:val="7C619A44"/>
    <w:rsid w:val="7C65BE26"/>
    <w:rsid w:val="7C677FF3"/>
    <w:rsid w:val="7C73B967"/>
    <w:rsid w:val="7C9F83D4"/>
    <w:rsid w:val="7CA0C82D"/>
    <w:rsid w:val="7CBC7A11"/>
    <w:rsid w:val="7CBEEF63"/>
    <w:rsid w:val="7CC3C3D8"/>
    <w:rsid w:val="7CC572D1"/>
    <w:rsid w:val="7CD117E0"/>
    <w:rsid w:val="7CD322E3"/>
    <w:rsid w:val="7CE832DF"/>
    <w:rsid w:val="7CECBFB5"/>
    <w:rsid w:val="7CF62621"/>
    <w:rsid w:val="7CFE7FCB"/>
    <w:rsid w:val="7D079B4E"/>
    <w:rsid w:val="7D2F7D81"/>
    <w:rsid w:val="7D35005C"/>
    <w:rsid w:val="7D370B27"/>
    <w:rsid w:val="7D3C42CB"/>
    <w:rsid w:val="7D43A113"/>
    <w:rsid w:val="7D466146"/>
    <w:rsid w:val="7D47785D"/>
    <w:rsid w:val="7D4E69EA"/>
    <w:rsid w:val="7D5728B3"/>
    <w:rsid w:val="7D5EA362"/>
    <w:rsid w:val="7D74F583"/>
    <w:rsid w:val="7D7D1445"/>
    <w:rsid w:val="7D7D2404"/>
    <w:rsid w:val="7D846875"/>
    <w:rsid w:val="7D9BE55F"/>
    <w:rsid w:val="7DA328DF"/>
    <w:rsid w:val="7DA9FE20"/>
    <w:rsid w:val="7DABB958"/>
    <w:rsid w:val="7DAD22B9"/>
    <w:rsid w:val="7DDA2599"/>
    <w:rsid w:val="7DE0A302"/>
    <w:rsid w:val="7E01E54D"/>
    <w:rsid w:val="7E0A45D7"/>
    <w:rsid w:val="7E152D8E"/>
    <w:rsid w:val="7E257F69"/>
    <w:rsid w:val="7E30FC37"/>
    <w:rsid w:val="7E377A5E"/>
    <w:rsid w:val="7E39531A"/>
    <w:rsid w:val="7E3C48AB"/>
    <w:rsid w:val="7E45BFB0"/>
    <w:rsid w:val="7E52B12A"/>
    <w:rsid w:val="7E608A35"/>
    <w:rsid w:val="7E649033"/>
    <w:rsid w:val="7E669B4C"/>
    <w:rsid w:val="7E73AFF1"/>
    <w:rsid w:val="7E83A60D"/>
    <w:rsid w:val="7E83C911"/>
    <w:rsid w:val="7E97F6F9"/>
    <w:rsid w:val="7E996743"/>
    <w:rsid w:val="7EA05552"/>
    <w:rsid w:val="7EA86B29"/>
    <w:rsid w:val="7EA9B4D9"/>
    <w:rsid w:val="7EB00198"/>
    <w:rsid w:val="7EB06AB5"/>
    <w:rsid w:val="7EB7E077"/>
    <w:rsid w:val="7EBA1165"/>
    <w:rsid w:val="7EBB6C4C"/>
    <w:rsid w:val="7EC6EEAD"/>
    <w:rsid w:val="7EDA4BE8"/>
    <w:rsid w:val="7EDDD8DE"/>
    <w:rsid w:val="7EE33B90"/>
    <w:rsid w:val="7EE7064E"/>
    <w:rsid w:val="7EEBC172"/>
    <w:rsid w:val="7EF67184"/>
    <w:rsid w:val="7EF75242"/>
    <w:rsid w:val="7EFAC5B7"/>
    <w:rsid w:val="7F03BAAD"/>
    <w:rsid w:val="7F045347"/>
    <w:rsid w:val="7F04B73E"/>
    <w:rsid w:val="7F06EA47"/>
    <w:rsid w:val="7F081B36"/>
    <w:rsid w:val="7F124C44"/>
    <w:rsid w:val="7F4149A9"/>
    <w:rsid w:val="7F43A3E1"/>
    <w:rsid w:val="7F4A636B"/>
    <w:rsid w:val="7F565AA0"/>
    <w:rsid w:val="7F56902F"/>
    <w:rsid w:val="7F593880"/>
    <w:rsid w:val="7F66D174"/>
    <w:rsid w:val="7F6975D0"/>
    <w:rsid w:val="7F6A5F0E"/>
    <w:rsid w:val="7F6DDB1B"/>
    <w:rsid w:val="7F991A6F"/>
    <w:rsid w:val="7FA68FF9"/>
    <w:rsid w:val="7FAA8BA6"/>
    <w:rsid w:val="7FAB29BD"/>
    <w:rsid w:val="7FD0E21F"/>
    <w:rsid w:val="7FD4BC5C"/>
    <w:rsid w:val="7FDEFDFD"/>
    <w:rsid w:val="7FE01988"/>
    <w:rsid w:val="7FE48A6A"/>
    <w:rsid w:val="7FEBECB7"/>
    <w:rsid w:val="7FF232DB"/>
    <w:rsid w:val="7FF3C11A"/>
    <w:rsid w:val="7FF68C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47120"/>
  <w15:chartTrackingRefBased/>
  <w15:docId w15:val="{65FB0004-29BA-43F2-B08E-F5DB4CEF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427"/>
    <w:pPr>
      <w:spacing w:after="0" w:line="240" w:lineRule="auto"/>
    </w:pPr>
    <w:rPr>
      <w:rFonts w:ascii="Times New Roman" w:eastAsia="Times New Roman" w:hAnsi="Times New Roman" w:cs="Times New Roman"/>
      <w:sz w:val="20"/>
      <w:szCs w:val="20"/>
      <w:lang w:val="en-US"/>
    </w:rPr>
  </w:style>
  <w:style w:type="paragraph" w:styleId="Heading1">
    <w:name w:val="heading 1"/>
    <w:next w:val="Normal"/>
    <w:link w:val="Heading1Char"/>
    <w:uiPriority w:val="9"/>
    <w:qFormat/>
    <w:rsid w:val="00CA7E90"/>
    <w:pPr>
      <w:keepNext/>
      <w:keepLines/>
      <w:numPr>
        <w:numId w:val="22"/>
      </w:numPr>
      <w:spacing w:before="240" w:after="0"/>
      <w:ind w:left="431" w:hanging="431"/>
      <w:outlineLvl w:val="0"/>
    </w:pPr>
    <w:rPr>
      <w:rFonts w:eastAsiaTheme="majorEastAsia" w:cstheme="majorBidi"/>
      <w:b/>
      <w:sz w:val="24"/>
      <w:szCs w:val="32"/>
    </w:rPr>
  </w:style>
  <w:style w:type="paragraph" w:styleId="Heading2">
    <w:name w:val="heading 2"/>
    <w:basedOn w:val="Heading1"/>
    <w:next w:val="Normal"/>
    <w:link w:val="Heading2Char"/>
    <w:autoRedefine/>
    <w:uiPriority w:val="9"/>
    <w:unhideWhenUsed/>
    <w:qFormat/>
    <w:rsid w:val="006C7E71"/>
    <w:pPr>
      <w:numPr>
        <w:ilvl w:val="1"/>
      </w:numPr>
      <w:spacing w:before="0" w:line="360" w:lineRule="auto"/>
      <w:outlineLvl w:val="1"/>
    </w:pPr>
    <w:rPr>
      <w:rFonts w:ascii="Arial" w:hAnsi="Arial" w:cs="Arial"/>
      <w:sz w:val="22"/>
      <w:szCs w:val="22"/>
      <w:shd w:val="clear" w:color="auto" w:fill="E6E6E6"/>
    </w:rPr>
  </w:style>
  <w:style w:type="paragraph" w:styleId="Heading3">
    <w:name w:val="heading 3"/>
    <w:basedOn w:val="Heading2"/>
    <w:next w:val="Normal"/>
    <w:link w:val="Heading3Char"/>
    <w:uiPriority w:val="9"/>
    <w:unhideWhenUsed/>
    <w:qFormat/>
    <w:rsid w:val="00BE0420"/>
    <w:pPr>
      <w:numPr>
        <w:ilvl w:val="2"/>
      </w:numPr>
      <w:outlineLvl w:val="2"/>
    </w:pPr>
    <w:rPr>
      <w:color w:val="000000" w:themeColor="text1"/>
      <w:szCs w:val="24"/>
    </w:rPr>
  </w:style>
  <w:style w:type="paragraph" w:styleId="Heading4">
    <w:name w:val="heading 4"/>
    <w:basedOn w:val="Heading3"/>
    <w:next w:val="Normal"/>
    <w:link w:val="Heading4Char"/>
    <w:uiPriority w:val="9"/>
    <w:unhideWhenUsed/>
    <w:qFormat/>
    <w:rsid w:val="00193613"/>
    <w:pPr>
      <w:numPr>
        <w:ilvl w:val="3"/>
      </w:numPr>
      <w:outlineLvl w:val="3"/>
    </w:pPr>
    <w:rPr>
      <w:iCs/>
      <w:color w:val="auto"/>
    </w:rPr>
  </w:style>
  <w:style w:type="paragraph" w:styleId="Heading5">
    <w:name w:val="heading 5"/>
    <w:basedOn w:val="Heading4"/>
    <w:next w:val="Normal"/>
    <w:link w:val="Heading5Char"/>
    <w:uiPriority w:val="9"/>
    <w:unhideWhenUsed/>
    <w:qFormat/>
    <w:rsid w:val="00AF0D6C"/>
    <w:pPr>
      <w:numPr>
        <w:ilvl w:val="4"/>
      </w:numPr>
      <w:outlineLvl w:val="4"/>
    </w:pPr>
    <w:rPr>
      <w:rFonts w:asciiTheme="majorHAnsi" w:hAnsiTheme="majorHAnsi"/>
      <w:color w:val="2F5496" w:themeColor="accent1" w:themeShade="BF"/>
    </w:rPr>
  </w:style>
  <w:style w:type="paragraph" w:styleId="Heading6">
    <w:name w:val="heading 6"/>
    <w:basedOn w:val="Heading5"/>
    <w:next w:val="Normal"/>
    <w:link w:val="Heading6Char"/>
    <w:uiPriority w:val="9"/>
    <w:unhideWhenUsed/>
    <w:qFormat/>
    <w:rsid w:val="00AF0D6C"/>
    <w:pPr>
      <w:numPr>
        <w:ilvl w:val="5"/>
      </w:numPr>
      <w:outlineLvl w:val="5"/>
    </w:pPr>
    <w:rPr>
      <w:color w:val="1F3763" w:themeColor="accent1" w:themeShade="7F"/>
    </w:rPr>
  </w:style>
  <w:style w:type="paragraph" w:styleId="Heading7">
    <w:name w:val="heading 7"/>
    <w:basedOn w:val="Heading6"/>
    <w:next w:val="Normal"/>
    <w:link w:val="Heading7Char"/>
    <w:uiPriority w:val="9"/>
    <w:unhideWhenUsed/>
    <w:qFormat/>
    <w:rsid w:val="00AF0D6C"/>
    <w:pPr>
      <w:numPr>
        <w:ilvl w:val="6"/>
      </w:numPr>
      <w:outlineLvl w:val="6"/>
    </w:pPr>
    <w:rPr>
      <w:i/>
      <w:iCs w:val="0"/>
    </w:rPr>
  </w:style>
  <w:style w:type="paragraph" w:styleId="Heading8">
    <w:name w:val="heading 8"/>
    <w:basedOn w:val="Heading7"/>
    <w:next w:val="Normal"/>
    <w:link w:val="Heading8Char"/>
    <w:uiPriority w:val="9"/>
    <w:unhideWhenUsed/>
    <w:qFormat/>
    <w:rsid w:val="00AF0D6C"/>
    <w:pPr>
      <w:numPr>
        <w:ilvl w:val="7"/>
      </w:numPr>
      <w:outlineLvl w:val="7"/>
    </w:pPr>
    <w:rPr>
      <w:color w:val="272727" w:themeColor="text1" w:themeTint="D8"/>
      <w:sz w:val="21"/>
      <w:szCs w:val="21"/>
    </w:rPr>
  </w:style>
  <w:style w:type="paragraph" w:styleId="Heading9">
    <w:name w:val="heading 9"/>
    <w:basedOn w:val="Heading8"/>
    <w:next w:val="Normal"/>
    <w:link w:val="Heading9Char"/>
    <w:uiPriority w:val="9"/>
    <w:unhideWhenUsed/>
    <w:qFormat/>
    <w:rsid w:val="00AF0D6C"/>
    <w:pPr>
      <w:numPr>
        <w:ilvl w:val="8"/>
      </w:numPr>
      <w:outlineLvl w:val="8"/>
    </w:pPr>
    <w:rPr>
      <w:i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E90"/>
    <w:rPr>
      <w:rFonts w:eastAsiaTheme="majorEastAsia" w:cstheme="majorBidi"/>
      <w:b/>
      <w:sz w:val="24"/>
      <w:szCs w:val="32"/>
    </w:rPr>
  </w:style>
  <w:style w:type="character" w:customStyle="1" w:styleId="Heading2Char">
    <w:name w:val="Heading 2 Char"/>
    <w:basedOn w:val="DefaultParagraphFont"/>
    <w:link w:val="Heading2"/>
    <w:uiPriority w:val="9"/>
    <w:rsid w:val="006C7E71"/>
    <w:rPr>
      <w:rFonts w:ascii="Arial" w:eastAsiaTheme="majorEastAsia" w:hAnsi="Arial" w:cs="Arial"/>
      <w:b/>
    </w:rPr>
  </w:style>
  <w:style w:type="character" w:customStyle="1" w:styleId="Heading3Char">
    <w:name w:val="Heading 3 Char"/>
    <w:basedOn w:val="DefaultParagraphFont"/>
    <w:link w:val="Heading3"/>
    <w:uiPriority w:val="9"/>
    <w:rsid w:val="00BE0420"/>
    <w:rPr>
      <w:rFonts w:ascii="Arial" w:eastAsiaTheme="majorEastAsia" w:hAnsi="Arial" w:cs="Arial"/>
      <w:b/>
      <w:color w:val="000000" w:themeColor="text1"/>
      <w:szCs w:val="24"/>
    </w:rPr>
  </w:style>
  <w:style w:type="character" w:customStyle="1" w:styleId="Heading4Char">
    <w:name w:val="Heading 4 Char"/>
    <w:basedOn w:val="DefaultParagraphFont"/>
    <w:link w:val="Heading4"/>
    <w:uiPriority w:val="9"/>
    <w:rsid w:val="00265E6C"/>
    <w:rPr>
      <w:rFonts w:ascii="Arial" w:eastAsiaTheme="majorEastAsia" w:hAnsi="Arial" w:cs="Arial"/>
      <w:b/>
      <w:iCs/>
      <w:szCs w:val="24"/>
    </w:rPr>
  </w:style>
  <w:style w:type="character" w:customStyle="1" w:styleId="Heading5Char">
    <w:name w:val="Heading 5 Char"/>
    <w:basedOn w:val="DefaultParagraphFont"/>
    <w:link w:val="Heading5"/>
    <w:uiPriority w:val="9"/>
    <w:rsid w:val="008A036E"/>
    <w:rPr>
      <w:rFonts w:asciiTheme="majorHAnsi" w:eastAsiaTheme="majorEastAsia" w:hAnsiTheme="majorHAnsi" w:cs="Arial"/>
      <w:b/>
      <w:iCs/>
      <w:color w:val="2F5496" w:themeColor="accent1" w:themeShade="BF"/>
      <w:szCs w:val="24"/>
    </w:rPr>
  </w:style>
  <w:style w:type="character" w:customStyle="1" w:styleId="Heading6Char">
    <w:name w:val="Heading 6 Char"/>
    <w:basedOn w:val="DefaultParagraphFont"/>
    <w:link w:val="Heading6"/>
    <w:uiPriority w:val="9"/>
    <w:rsid w:val="008A036E"/>
    <w:rPr>
      <w:rFonts w:asciiTheme="majorHAnsi" w:eastAsiaTheme="majorEastAsia" w:hAnsiTheme="majorHAnsi" w:cs="Arial"/>
      <w:b/>
      <w:iCs/>
      <w:color w:val="1F3763" w:themeColor="accent1" w:themeShade="7F"/>
      <w:szCs w:val="24"/>
    </w:rPr>
  </w:style>
  <w:style w:type="character" w:customStyle="1" w:styleId="Heading7Char">
    <w:name w:val="Heading 7 Char"/>
    <w:basedOn w:val="DefaultParagraphFont"/>
    <w:link w:val="Heading7"/>
    <w:uiPriority w:val="9"/>
    <w:rsid w:val="008A036E"/>
    <w:rPr>
      <w:rFonts w:asciiTheme="majorHAnsi" w:eastAsiaTheme="majorEastAsia" w:hAnsiTheme="majorHAnsi" w:cs="Arial"/>
      <w:b/>
      <w:i/>
      <w:color w:val="1F3763" w:themeColor="accent1" w:themeShade="7F"/>
      <w:szCs w:val="24"/>
    </w:rPr>
  </w:style>
  <w:style w:type="character" w:customStyle="1" w:styleId="Heading8Char">
    <w:name w:val="Heading 8 Char"/>
    <w:basedOn w:val="DefaultParagraphFont"/>
    <w:link w:val="Heading8"/>
    <w:uiPriority w:val="9"/>
    <w:rsid w:val="008A036E"/>
    <w:rPr>
      <w:rFonts w:asciiTheme="majorHAnsi" w:eastAsiaTheme="majorEastAsia" w:hAnsiTheme="majorHAnsi" w:cs="Arial"/>
      <w:b/>
      <w:i/>
      <w:color w:val="272727" w:themeColor="text1" w:themeTint="D8"/>
      <w:sz w:val="21"/>
      <w:szCs w:val="21"/>
    </w:rPr>
  </w:style>
  <w:style w:type="character" w:customStyle="1" w:styleId="Heading9Char">
    <w:name w:val="Heading 9 Char"/>
    <w:basedOn w:val="DefaultParagraphFont"/>
    <w:link w:val="Heading9"/>
    <w:uiPriority w:val="9"/>
    <w:rsid w:val="008A036E"/>
    <w:rPr>
      <w:rFonts w:asciiTheme="majorHAnsi" w:eastAsiaTheme="majorEastAsia" w:hAnsiTheme="majorHAnsi" w:cs="Arial"/>
      <w:b/>
      <w:iCs/>
      <w:color w:val="272727" w:themeColor="text1" w:themeTint="D8"/>
      <w:sz w:val="21"/>
      <w:szCs w:val="21"/>
    </w:rPr>
  </w:style>
  <w:style w:type="numbering" w:customStyle="1" w:styleId="HTAHeadings">
    <w:name w:val="HTAHeadings"/>
    <w:uiPriority w:val="99"/>
    <w:rsid w:val="00AF0D6C"/>
    <w:pPr>
      <w:numPr>
        <w:numId w:val="1"/>
      </w:numPr>
    </w:pPr>
  </w:style>
  <w:style w:type="paragraph" w:styleId="ListParagraph">
    <w:name w:val="List Paragraph"/>
    <w:basedOn w:val="Normal"/>
    <w:uiPriority w:val="34"/>
    <w:qFormat/>
    <w:rsid w:val="00AF0D6C"/>
    <w:pPr>
      <w:ind w:left="720"/>
      <w:contextualSpacing/>
    </w:pPr>
  </w:style>
  <w:style w:type="paragraph" w:styleId="TOCHeading">
    <w:name w:val="TOC Heading"/>
    <w:basedOn w:val="Heading1"/>
    <w:next w:val="Normal"/>
    <w:uiPriority w:val="39"/>
    <w:unhideWhenUsed/>
    <w:qFormat/>
    <w:rsid w:val="00265E6C"/>
    <w:pPr>
      <w:numPr>
        <w:numId w:val="0"/>
      </w:numPr>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qFormat/>
    <w:rsid w:val="00CA7E90"/>
    <w:pPr>
      <w:tabs>
        <w:tab w:val="left" w:pos="440"/>
        <w:tab w:val="right" w:leader="dot" w:pos="9016"/>
      </w:tabs>
      <w:spacing w:before="120"/>
    </w:pPr>
    <w:rPr>
      <w:rFonts w:eastAsia="Arial" w:cs="Arial"/>
      <w:b/>
      <w:bCs/>
      <w:iCs/>
      <w:caps/>
      <w:noProof/>
      <w:szCs w:val="28"/>
    </w:rPr>
  </w:style>
  <w:style w:type="paragraph" w:styleId="TOC2">
    <w:name w:val="toc 2"/>
    <w:basedOn w:val="Normal"/>
    <w:next w:val="Normal"/>
    <w:autoRedefine/>
    <w:uiPriority w:val="39"/>
    <w:unhideWhenUsed/>
    <w:qFormat/>
    <w:rsid w:val="00656235"/>
    <w:pPr>
      <w:spacing w:before="120"/>
      <w:ind w:left="220"/>
    </w:pPr>
    <w:rPr>
      <w:rFonts w:cstheme="minorHAnsi"/>
      <w:b/>
      <w:bCs/>
      <w:szCs w:val="26"/>
    </w:rPr>
  </w:style>
  <w:style w:type="paragraph" w:styleId="TOC3">
    <w:name w:val="toc 3"/>
    <w:basedOn w:val="Normal"/>
    <w:next w:val="Normal"/>
    <w:autoRedefine/>
    <w:uiPriority w:val="39"/>
    <w:unhideWhenUsed/>
    <w:qFormat/>
    <w:rsid w:val="00265E6C"/>
    <w:pPr>
      <w:ind w:left="440"/>
    </w:pPr>
    <w:rPr>
      <w:rFonts w:cstheme="minorHAnsi"/>
      <w:szCs w:val="24"/>
    </w:rPr>
  </w:style>
  <w:style w:type="character" w:styleId="Hyperlink">
    <w:name w:val="Hyperlink"/>
    <w:basedOn w:val="DefaultParagraphFont"/>
    <w:uiPriority w:val="99"/>
    <w:unhideWhenUsed/>
    <w:rsid w:val="00265E6C"/>
    <w:rPr>
      <w:color w:val="0563C1" w:themeColor="hyperlink"/>
      <w:u w:val="single"/>
    </w:rPr>
  </w:style>
  <w:style w:type="paragraph" w:styleId="TOC4">
    <w:name w:val="toc 4"/>
    <w:basedOn w:val="Normal"/>
    <w:next w:val="Normal"/>
    <w:autoRedefine/>
    <w:uiPriority w:val="39"/>
    <w:unhideWhenUsed/>
    <w:rsid w:val="00265E6C"/>
    <w:pPr>
      <w:ind w:left="660"/>
    </w:pPr>
    <w:rPr>
      <w:rFonts w:cstheme="minorHAnsi"/>
      <w:szCs w:val="24"/>
    </w:rPr>
  </w:style>
  <w:style w:type="paragraph" w:styleId="Title">
    <w:name w:val="Title"/>
    <w:basedOn w:val="Normal"/>
    <w:next w:val="Normal"/>
    <w:link w:val="TitleChar"/>
    <w:uiPriority w:val="10"/>
    <w:qFormat/>
    <w:rsid w:val="00706AEE"/>
    <w:pPr>
      <w:spacing w:line="120" w:lineRule="auto"/>
      <w:contextualSpacing/>
      <w:jc w:val="center"/>
    </w:pPr>
    <w:rPr>
      <w:rFonts w:eastAsiaTheme="majorEastAsia" w:cstheme="majorBidi"/>
      <w:spacing w:val="-10"/>
      <w:kern w:val="28"/>
      <w:sz w:val="32"/>
      <w:szCs w:val="56"/>
    </w:rPr>
  </w:style>
  <w:style w:type="character" w:customStyle="1" w:styleId="TitleChar">
    <w:name w:val="Title Char"/>
    <w:basedOn w:val="DefaultParagraphFont"/>
    <w:link w:val="Title"/>
    <w:uiPriority w:val="10"/>
    <w:rsid w:val="00706AEE"/>
    <w:rPr>
      <w:rFonts w:eastAsiaTheme="majorEastAsia" w:cstheme="majorBidi"/>
      <w:spacing w:val="-10"/>
      <w:kern w:val="28"/>
      <w:sz w:val="32"/>
      <w:szCs w:val="56"/>
    </w:rPr>
  </w:style>
  <w:style w:type="character" w:styleId="CommentReference">
    <w:name w:val="annotation reference"/>
    <w:basedOn w:val="DefaultParagraphFont"/>
    <w:uiPriority w:val="99"/>
    <w:unhideWhenUsed/>
    <w:rsid w:val="00A02E3A"/>
    <w:rPr>
      <w:sz w:val="16"/>
      <w:szCs w:val="16"/>
    </w:rPr>
  </w:style>
  <w:style w:type="paragraph" w:styleId="CommentText">
    <w:name w:val="annotation text"/>
    <w:basedOn w:val="Normal"/>
    <w:link w:val="CommentTextChar"/>
    <w:uiPriority w:val="99"/>
    <w:unhideWhenUsed/>
    <w:rsid w:val="00A02E3A"/>
  </w:style>
  <w:style w:type="character" w:customStyle="1" w:styleId="CommentTextChar">
    <w:name w:val="Comment Text Char"/>
    <w:basedOn w:val="DefaultParagraphFont"/>
    <w:link w:val="CommentText"/>
    <w:uiPriority w:val="99"/>
    <w:rsid w:val="00A02E3A"/>
    <w:rPr>
      <w:sz w:val="20"/>
      <w:szCs w:val="20"/>
    </w:rPr>
  </w:style>
  <w:style w:type="paragraph" w:styleId="CommentSubject">
    <w:name w:val="annotation subject"/>
    <w:basedOn w:val="CommentText"/>
    <w:next w:val="CommentText"/>
    <w:link w:val="CommentSubjectChar"/>
    <w:uiPriority w:val="99"/>
    <w:semiHidden/>
    <w:unhideWhenUsed/>
    <w:rsid w:val="00A02E3A"/>
    <w:rPr>
      <w:b/>
      <w:bCs/>
    </w:rPr>
  </w:style>
  <w:style w:type="character" w:customStyle="1" w:styleId="CommentSubjectChar">
    <w:name w:val="Comment Subject Char"/>
    <w:basedOn w:val="CommentTextChar"/>
    <w:link w:val="CommentSubject"/>
    <w:uiPriority w:val="99"/>
    <w:semiHidden/>
    <w:rsid w:val="00A02E3A"/>
    <w:rPr>
      <w:b/>
      <w:bCs/>
      <w:sz w:val="20"/>
      <w:szCs w:val="20"/>
    </w:rPr>
  </w:style>
  <w:style w:type="character" w:styleId="SubtleEmphasis">
    <w:name w:val="Subtle Emphasis"/>
    <w:uiPriority w:val="19"/>
    <w:qFormat/>
    <w:rsid w:val="00643B84"/>
    <w:rPr>
      <w:i/>
      <w:iCs/>
      <w:color w:val="1F3763" w:themeColor="accent1" w:themeShade="7F"/>
    </w:rPr>
  </w:style>
  <w:style w:type="table" w:styleId="TableGrid">
    <w:name w:val="Table Grid"/>
    <w:basedOn w:val="TableNormal"/>
    <w:uiPriority w:val="59"/>
    <w:rsid w:val="00070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Bayer Caption,IB Caption,Medical Caption,Caption Char1 Char,Caption Char Char Char,Caption Char1 Char Char Char,Caption Char Char Char Char Char,Caption Char Char1 Char,Caption Char1 Char1,Caption Char Char Char1,Caption Char1"/>
    <w:basedOn w:val="Normal"/>
    <w:next w:val="Normal"/>
    <w:link w:val="CaptionChar"/>
    <w:uiPriority w:val="35"/>
    <w:unhideWhenUsed/>
    <w:qFormat/>
    <w:rsid w:val="00902D4F"/>
    <w:pPr>
      <w:spacing w:after="200"/>
    </w:pPr>
    <w:rPr>
      <w:b/>
      <w:iCs/>
      <w:szCs w:val="18"/>
    </w:rPr>
  </w:style>
  <w:style w:type="paragraph" w:styleId="Subtitle">
    <w:name w:val="Subtitle"/>
    <w:basedOn w:val="Normal"/>
    <w:next w:val="Normal"/>
    <w:link w:val="SubtitleChar"/>
    <w:uiPriority w:val="11"/>
    <w:qFormat/>
    <w:rsid w:val="00791C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91CDE"/>
    <w:rPr>
      <w:rFonts w:eastAsiaTheme="minorEastAsia"/>
      <w:color w:val="5A5A5A" w:themeColor="text1" w:themeTint="A5"/>
      <w:spacing w:val="15"/>
    </w:rPr>
  </w:style>
  <w:style w:type="paragraph" w:customStyle="1" w:styleId="PreTOC">
    <w:name w:val="PreTOC"/>
    <w:next w:val="Normal"/>
    <w:qFormat/>
    <w:rsid w:val="000B57E6"/>
    <w:rPr>
      <w:rFonts w:eastAsiaTheme="majorEastAsia" w:cstheme="majorBidi"/>
      <w:b/>
      <w:sz w:val="24"/>
      <w:szCs w:val="26"/>
    </w:rPr>
  </w:style>
  <w:style w:type="paragraph" w:styleId="TableofFigures">
    <w:name w:val="table of figures"/>
    <w:basedOn w:val="Normal"/>
    <w:next w:val="Normal"/>
    <w:uiPriority w:val="99"/>
    <w:unhideWhenUsed/>
    <w:rsid w:val="009A3943"/>
    <w:pPr>
      <w:ind w:left="440" w:hanging="440"/>
    </w:pPr>
    <w:rPr>
      <w:rFonts w:asciiTheme="minorHAnsi" w:hAnsiTheme="minorHAnsi" w:cstheme="minorHAnsi"/>
      <w:b/>
      <w:bCs/>
    </w:rPr>
  </w:style>
  <w:style w:type="paragraph" w:customStyle="1" w:styleId="Style1">
    <w:name w:val="Style1"/>
    <w:basedOn w:val="Heading1"/>
    <w:qFormat/>
    <w:rsid w:val="00B86483"/>
    <w:pPr>
      <w:numPr>
        <w:numId w:val="0"/>
      </w:numPr>
      <w:spacing w:line="360" w:lineRule="auto"/>
    </w:pPr>
  </w:style>
  <w:style w:type="paragraph" w:styleId="Header">
    <w:name w:val="header"/>
    <w:basedOn w:val="Normal"/>
    <w:link w:val="HeaderChar"/>
    <w:uiPriority w:val="99"/>
    <w:unhideWhenUsed/>
    <w:rsid w:val="00706AEE"/>
    <w:pPr>
      <w:tabs>
        <w:tab w:val="center" w:pos="4513"/>
        <w:tab w:val="right" w:pos="9026"/>
      </w:tabs>
    </w:pPr>
  </w:style>
  <w:style w:type="character" w:customStyle="1" w:styleId="HeaderChar">
    <w:name w:val="Header Char"/>
    <w:basedOn w:val="DefaultParagraphFont"/>
    <w:link w:val="Header"/>
    <w:uiPriority w:val="99"/>
    <w:rsid w:val="00706AEE"/>
  </w:style>
  <w:style w:type="paragraph" w:styleId="Footer">
    <w:name w:val="footer"/>
    <w:basedOn w:val="Normal"/>
    <w:link w:val="FooterChar"/>
    <w:uiPriority w:val="99"/>
    <w:unhideWhenUsed/>
    <w:rsid w:val="00706AEE"/>
    <w:pPr>
      <w:tabs>
        <w:tab w:val="center" w:pos="4513"/>
        <w:tab w:val="right" w:pos="9026"/>
      </w:tabs>
    </w:pPr>
  </w:style>
  <w:style w:type="character" w:customStyle="1" w:styleId="FooterChar">
    <w:name w:val="Footer Char"/>
    <w:basedOn w:val="DefaultParagraphFont"/>
    <w:link w:val="Footer"/>
    <w:uiPriority w:val="99"/>
    <w:rsid w:val="00706AEE"/>
  </w:style>
  <w:style w:type="paragraph" w:customStyle="1" w:styleId="Style2">
    <w:name w:val="Style2"/>
    <w:basedOn w:val="Heading2"/>
    <w:qFormat/>
    <w:rsid w:val="00154403"/>
  </w:style>
  <w:style w:type="character" w:styleId="Emphasis">
    <w:name w:val="Emphasis"/>
    <w:uiPriority w:val="20"/>
    <w:qFormat/>
    <w:rsid w:val="00FF1928"/>
    <w:rPr>
      <w:caps/>
      <w:color w:val="1F3763" w:themeColor="accent1" w:themeShade="7F"/>
      <w:spacing w:val="5"/>
    </w:rPr>
  </w:style>
  <w:style w:type="paragraph" w:customStyle="1" w:styleId="EndNoteBibliography">
    <w:name w:val="EndNote Bibliography"/>
    <w:basedOn w:val="Normal"/>
    <w:link w:val="EndNoteBibliographyChar"/>
    <w:rsid w:val="007B67D5"/>
    <w:pPr>
      <w:spacing w:before="100" w:after="200"/>
    </w:pPr>
    <w:rPr>
      <w:rFonts w:ascii="Calibri" w:eastAsiaTheme="minorEastAsia" w:hAnsi="Calibri" w:cs="Calibri"/>
      <w:noProof/>
    </w:rPr>
  </w:style>
  <w:style w:type="character" w:customStyle="1" w:styleId="EndNoteBibliographyChar">
    <w:name w:val="EndNote Bibliography Char"/>
    <w:basedOn w:val="DefaultParagraphFont"/>
    <w:link w:val="EndNoteBibliography"/>
    <w:rsid w:val="007B67D5"/>
    <w:rPr>
      <w:rFonts w:ascii="Calibri" w:eastAsiaTheme="minorEastAsia" w:hAnsi="Calibri" w:cs="Calibri"/>
      <w:noProof/>
      <w:szCs w:val="20"/>
      <w:lang w:val="en-US"/>
    </w:rPr>
  </w:style>
  <w:style w:type="paragraph" w:customStyle="1" w:styleId="Protocolparagraphblue">
    <w:name w:val="Protocol paragraph blue"/>
    <w:basedOn w:val="Normal"/>
    <w:link w:val="ProtocolparagraphblueChar"/>
    <w:qFormat/>
    <w:rsid w:val="00FF1928"/>
    <w:pPr>
      <w:autoSpaceDE w:val="0"/>
      <w:autoSpaceDN w:val="0"/>
      <w:adjustRightInd w:val="0"/>
      <w:jc w:val="both"/>
    </w:pPr>
    <w:rPr>
      <w:color w:val="0000FF"/>
    </w:rPr>
  </w:style>
  <w:style w:type="character" w:customStyle="1" w:styleId="ProtocolparagraphblueChar">
    <w:name w:val="Protocol paragraph blue Char"/>
    <w:basedOn w:val="DefaultParagraphFont"/>
    <w:link w:val="Protocolparagraphblue"/>
    <w:locked/>
    <w:rsid w:val="00FF1928"/>
    <w:rPr>
      <w:rFonts w:ascii="Arial" w:eastAsia="Times New Roman" w:hAnsi="Arial" w:cs="Times New Roman"/>
      <w:color w:val="0000FF"/>
      <w:szCs w:val="20"/>
    </w:rPr>
  </w:style>
  <w:style w:type="character" w:customStyle="1" w:styleId="CaptionChar">
    <w:name w:val="Caption Char"/>
    <w:aliases w:val="Bayer Caption Char,IB Caption Char,Medical Caption Char,Caption Char1 Char Char,Caption Char Char Char Char,Caption Char1 Char Char Char Char,Caption Char Char Char Char Char Char,Caption Char Char1 Char Char,Caption Char1 Char1 Char"/>
    <w:basedOn w:val="DefaultParagraphFont"/>
    <w:link w:val="Caption"/>
    <w:uiPriority w:val="35"/>
    <w:locked/>
    <w:rsid w:val="00902D4F"/>
    <w:rPr>
      <w:rFonts w:ascii="Arial" w:hAnsi="Arial"/>
      <w:b/>
      <w:iCs/>
      <w:sz w:val="20"/>
      <w:szCs w:val="18"/>
    </w:rPr>
  </w:style>
  <w:style w:type="paragraph" w:styleId="TOC5">
    <w:name w:val="toc 5"/>
    <w:basedOn w:val="Normal"/>
    <w:next w:val="Normal"/>
    <w:autoRedefine/>
    <w:uiPriority w:val="39"/>
    <w:unhideWhenUsed/>
    <w:rsid w:val="00381A9F"/>
    <w:pPr>
      <w:ind w:left="880"/>
    </w:pPr>
    <w:rPr>
      <w:rFonts w:cstheme="minorHAnsi"/>
      <w:szCs w:val="24"/>
    </w:rPr>
  </w:style>
  <w:style w:type="paragraph" w:styleId="TOC6">
    <w:name w:val="toc 6"/>
    <w:basedOn w:val="Normal"/>
    <w:next w:val="Normal"/>
    <w:autoRedefine/>
    <w:uiPriority w:val="39"/>
    <w:unhideWhenUsed/>
    <w:rsid w:val="00381A9F"/>
    <w:pPr>
      <w:ind w:left="1100"/>
    </w:pPr>
    <w:rPr>
      <w:rFonts w:cstheme="minorHAnsi"/>
      <w:szCs w:val="24"/>
    </w:rPr>
  </w:style>
  <w:style w:type="paragraph" w:styleId="TOC7">
    <w:name w:val="toc 7"/>
    <w:basedOn w:val="Normal"/>
    <w:next w:val="Normal"/>
    <w:autoRedefine/>
    <w:uiPriority w:val="39"/>
    <w:unhideWhenUsed/>
    <w:rsid w:val="00381A9F"/>
    <w:pPr>
      <w:ind w:left="1320"/>
    </w:pPr>
    <w:rPr>
      <w:rFonts w:cstheme="minorHAnsi"/>
      <w:szCs w:val="24"/>
    </w:rPr>
  </w:style>
  <w:style w:type="paragraph" w:styleId="TOC8">
    <w:name w:val="toc 8"/>
    <w:basedOn w:val="Normal"/>
    <w:next w:val="Normal"/>
    <w:autoRedefine/>
    <w:uiPriority w:val="39"/>
    <w:unhideWhenUsed/>
    <w:rsid w:val="00381A9F"/>
    <w:pPr>
      <w:ind w:left="1540"/>
    </w:pPr>
    <w:rPr>
      <w:rFonts w:cstheme="minorHAnsi"/>
      <w:szCs w:val="24"/>
    </w:rPr>
  </w:style>
  <w:style w:type="paragraph" w:styleId="TOC9">
    <w:name w:val="toc 9"/>
    <w:basedOn w:val="Normal"/>
    <w:next w:val="Normal"/>
    <w:autoRedefine/>
    <w:uiPriority w:val="39"/>
    <w:unhideWhenUsed/>
    <w:rsid w:val="00381A9F"/>
    <w:pPr>
      <w:ind w:left="1760"/>
    </w:pPr>
    <w:rPr>
      <w:rFonts w:cstheme="minorHAnsi"/>
      <w:szCs w:val="24"/>
    </w:rPr>
  </w:style>
  <w:style w:type="character" w:customStyle="1" w:styleId="UnresolvedMention1">
    <w:name w:val="Unresolved Mention1"/>
    <w:basedOn w:val="DefaultParagraphFont"/>
    <w:uiPriority w:val="99"/>
    <w:semiHidden/>
    <w:unhideWhenUsed/>
    <w:rsid w:val="00381A9F"/>
    <w:rPr>
      <w:color w:val="605E5C"/>
      <w:shd w:val="clear" w:color="auto" w:fill="E1DFDD"/>
    </w:rPr>
  </w:style>
  <w:style w:type="numbering" w:customStyle="1" w:styleId="NoList1">
    <w:name w:val="No List1"/>
    <w:next w:val="NoList"/>
    <w:uiPriority w:val="99"/>
    <w:semiHidden/>
    <w:unhideWhenUsed/>
    <w:rsid w:val="00201D4F"/>
  </w:style>
  <w:style w:type="table" w:customStyle="1" w:styleId="TableGrid1">
    <w:name w:val="Table Grid1"/>
    <w:basedOn w:val="TableNormal"/>
    <w:next w:val="TableGrid"/>
    <w:uiPriority w:val="39"/>
    <w:rsid w:val="00201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basedOn w:val="DefaultParagraphFont"/>
    <w:uiPriority w:val="99"/>
    <w:semiHidden/>
    <w:unhideWhenUsed/>
    <w:rsid w:val="00201D4F"/>
    <w:rPr>
      <w:color w:val="605E5C"/>
      <w:shd w:val="clear" w:color="auto" w:fill="E1DFDD"/>
    </w:rPr>
  </w:style>
  <w:style w:type="paragraph" w:styleId="BalloonText">
    <w:name w:val="Balloon Text"/>
    <w:basedOn w:val="Normal"/>
    <w:link w:val="BalloonTextChar"/>
    <w:uiPriority w:val="99"/>
    <w:rsid w:val="001C6427"/>
    <w:rPr>
      <w:sz w:val="18"/>
      <w:szCs w:val="18"/>
    </w:rPr>
  </w:style>
  <w:style w:type="character" w:customStyle="1" w:styleId="BalloonTextChar">
    <w:name w:val="Balloon Text Char"/>
    <w:basedOn w:val="DefaultParagraphFont"/>
    <w:link w:val="BalloonText"/>
    <w:uiPriority w:val="99"/>
    <w:rsid w:val="001C6427"/>
    <w:rPr>
      <w:rFonts w:ascii="Times New Roman" w:eastAsia="Times New Roman" w:hAnsi="Times New Roman" w:cs="Times New Roman"/>
      <w:sz w:val="18"/>
      <w:szCs w:val="18"/>
      <w:lang w:val="en-US"/>
    </w:rPr>
  </w:style>
  <w:style w:type="numbering" w:customStyle="1" w:styleId="NoList2">
    <w:name w:val="No List2"/>
    <w:next w:val="NoList"/>
    <w:uiPriority w:val="99"/>
    <w:semiHidden/>
    <w:unhideWhenUsed/>
    <w:rsid w:val="002E2FFB"/>
  </w:style>
  <w:style w:type="paragraph" w:customStyle="1" w:styleId="paragraph">
    <w:name w:val="paragraph"/>
    <w:basedOn w:val="Normal"/>
    <w:rsid w:val="002E2FFB"/>
    <w:pPr>
      <w:spacing w:before="100" w:beforeAutospacing="1" w:after="100" w:afterAutospacing="1"/>
    </w:pPr>
    <w:rPr>
      <w:sz w:val="24"/>
      <w:szCs w:val="24"/>
      <w:lang w:eastAsia="ja-JP"/>
    </w:rPr>
  </w:style>
  <w:style w:type="character" w:customStyle="1" w:styleId="normaltextrun">
    <w:name w:val="normaltextrun"/>
    <w:basedOn w:val="DefaultParagraphFont"/>
    <w:rsid w:val="002E2FFB"/>
  </w:style>
  <w:style w:type="character" w:customStyle="1" w:styleId="eop">
    <w:name w:val="eop"/>
    <w:basedOn w:val="DefaultParagraphFont"/>
    <w:rsid w:val="002E2FFB"/>
  </w:style>
  <w:style w:type="character" w:customStyle="1" w:styleId="contextualspellingandgrammarerror">
    <w:name w:val="contextualspellingandgrammarerror"/>
    <w:basedOn w:val="DefaultParagraphFont"/>
    <w:rsid w:val="002E2FFB"/>
  </w:style>
  <w:style w:type="paragraph" w:styleId="NormalWeb">
    <w:name w:val="Normal (Web)"/>
    <w:basedOn w:val="Normal"/>
    <w:link w:val="NormalWebChar"/>
    <w:unhideWhenUsed/>
    <w:rsid w:val="002E2FFB"/>
    <w:pPr>
      <w:spacing w:before="100" w:beforeAutospacing="1" w:after="100" w:afterAutospacing="1"/>
    </w:pPr>
    <w:rPr>
      <w:sz w:val="24"/>
      <w:szCs w:val="24"/>
      <w:lang w:eastAsia="ja-JP"/>
    </w:rPr>
  </w:style>
  <w:style w:type="character" w:customStyle="1" w:styleId="NormalWebChar">
    <w:name w:val="Normal (Web) Char"/>
    <w:basedOn w:val="DefaultParagraphFont"/>
    <w:link w:val="NormalWeb"/>
    <w:uiPriority w:val="99"/>
    <w:rsid w:val="002E2FFB"/>
    <w:rPr>
      <w:rFonts w:ascii="Times New Roman" w:eastAsia="Times New Roman" w:hAnsi="Times New Roman" w:cs="Times New Roman"/>
      <w:sz w:val="24"/>
      <w:szCs w:val="24"/>
      <w:lang w:eastAsia="ja-JP"/>
    </w:rPr>
  </w:style>
  <w:style w:type="table" w:customStyle="1" w:styleId="TableGrid11">
    <w:name w:val="Table Grid11"/>
    <w:basedOn w:val="TableNormal"/>
    <w:next w:val="TableGrid"/>
    <w:uiPriority w:val="39"/>
    <w:rsid w:val="002E2FF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E2FFB"/>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31">
    <w:name w:val="Grid Table 1 Light - Accent 31"/>
    <w:basedOn w:val="TableNormal"/>
    <w:next w:val="GridTable1Light-Accent3"/>
    <w:uiPriority w:val="46"/>
    <w:rsid w:val="002E2FFB"/>
    <w:pPr>
      <w:spacing w:after="0" w:line="240" w:lineRule="auto"/>
    </w:pPr>
    <w:rPr>
      <w:rFonts w:eastAsia="MS Mincho"/>
      <w:lang w:eastAsia="ja-JP"/>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PlainTable41">
    <w:name w:val="Plain Table 41"/>
    <w:basedOn w:val="TableNormal"/>
    <w:next w:val="PlainTable4"/>
    <w:uiPriority w:val="44"/>
    <w:rsid w:val="002E2FFB"/>
    <w:pPr>
      <w:spacing w:after="0" w:line="240" w:lineRule="auto"/>
    </w:pPr>
    <w:rPr>
      <w:rFonts w:eastAsia="MS Mincho"/>
      <w:lang w:eastAsia="ja-JP"/>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31">
    <w:name w:val="Grid Table 2 - Accent 31"/>
    <w:basedOn w:val="TableNormal"/>
    <w:next w:val="GridTable2-Accent3"/>
    <w:uiPriority w:val="47"/>
    <w:rsid w:val="002E2FFB"/>
    <w:pPr>
      <w:spacing w:after="0" w:line="240" w:lineRule="auto"/>
    </w:pPr>
    <w:rPr>
      <w:rFonts w:eastAsia="MS Mincho"/>
      <w:lang w:eastAsia="ja-JP"/>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11">
    <w:name w:val="Plain Table 11"/>
    <w:basedOn w:val="TableNormal"/>
    <w:next w:val="PlainTable1"/>
    <w:uiPriority w:val="41"/>
    <w:rsid w:val="002E2FFB"/>
    <w:pPr>
      <w:spacing w:after="0" w:line="240" w:lineRule="auto"/>
    </w:pPr>
    <w:rPr>
      <w:rFonts w:eastAsia="MS Mincho"/>
      <w:lang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1Light-Accent31">
    <w:name w:val="List Table 1 Light - Accent 31"/>
    <w:basedOn w:val="TableNormal"/>
    <w:next w:val="ListTable1Light-Accent3"/>
    <w:uiPriority w:val="46"/>
    <w:rsid w:val="002E2FFB"/>
    <w:pPr>
      <w:spacing w:after="0" w:line="240" w:lineRule="auto"/>
    </w:pPr>
    <w:rPr>
      <w:rFonts w:eastAsia="MS Mincho"/>
      <w:lang w:eastAsia="ja-JP"/>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GridLight1">
    <w:name w:val="Table Grid Light1"/>
    <w:basedOn w:val="TableNormal"/>
    <w:next w:val="TableGridLight"/>
    <w:uiPriority w:val="40"/>
    <w:rsid w:val="002E2FFB"/>
    <w:pPr>
      <w:spacing w:after="0" w:line="240" w:lineRule="auto"/>
    </w:pPr>
    <w:rPr>
      <w:rFonts w:eastAsia="MS Mincho"/>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Accent11">
    <w:name w:val="Grid Table 1 Light - Accent 11"/>
    <w:basedOn w:val="TableNormal"/>
    <w:next w:val="GridTable1Light-Accent1"/>
    <w:uiPriority w:val="46"/>
    <w:rsid w:val="002E2FFB"/>
    <w:pPr>
      <w:spacing w:after="0" w:line="240" w:lineRule="auto"/>
    </w:pPr>
    <w:rPr>
      <w:rFonts w:eastAsia="MS Mincho"/>
      <w:lang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6Colorful1">
    <w:name w:val="Grid Table 6 Colorful1"/>
    <w:basedOn w:val="TableNormal"/>
    <w:next w:val="GridTable6Colourful"/>
    <w:uiPriority w:val="51"/>
    <w:rsid w:val="002E2FFB"/>
    <w:pPr>
      <w:spacing w:after="0" w:line="240" w:lineRule="auto"/>
    </w:pPr>
    <w:rPr>
      <w:rFonts w:eastAsia="MS Mincho"/>
      <w:color w:val="000000"/>
      <w:lang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21">
    <w:name w:val="Grid Table 21"/>
    <w:basedOn w:val="TableNormal"/>
    <w:next w:val="GridTable2"/>
    <w:uiPriority w:val="47"/>
    <w:rsid w:val="002E2FFB"/>
    <w:pPr>
      <w:spacing w:after="0" w:line="240" w:lineRule="auto"/>
    </w:pPr>
    <w:rPr>
      <w:rFonts w:eastAsia="MS Mincho"/>
      <w:lang w:eastAsia="ja-JP"/>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Default">
    <w:name w:val="Default"/>
    <w:rsid w:val="002E2FFB"/>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paragraph" w:customStyle="1" w:styleId="EndNoteBibliographyTitle">
    <w:name w:val="EndNote Bibliography Title"/>
    <w:basedOn w:val="Normal"/>
    <w:link w:val="EndNoteBibliographyTitleChar"/>
    <w:rsid w:val="002E2FFB"/>
    <w:pPr>
      <w:jc w:val="center"/>
    </w:pPr>
    <w:rPr>
      <w:rFonts w:ascii="Calibri" w:hAnsi="Calibri" w:cs="Calibri"/>
      <w:noProof/>
      <w:szCs w:val="24"/>
      <w:lang w:eastAsia="ja-JP"/>
    </w:rPr>
  </w:style>
  <w:style w:type="character" w:customStyle="1" w:styleId="EndNoteBibliographyTitleChar">
    <w:name w:val="EndNote Bibliography Title Char"/>
    <w:basedOn w:val="NormalWebChar"/>
    <w:link w:val="EndNoteBibliographyTitle"/>
    <w:rsid w:val="002E2FFB"/>
    <w:rPr>
      <w:rFonts w:ascii="Calibri" w:eastAsia="Times New Roman" w:hAnsi="Calibri" w:cs="Calibri"/>
      <w:noProof/>
      <w:sz w:val="24"/>
      <w:szCs w:val="24"/>
      <w:lang w:val="en-US" w:eastAsia="ja-JP"/>
    </w:rPr>
  </w:style>
  <w:style w:type="character" w:customStyle="1" w:styleId="UnresolvedMention2">
    <w:name w:val="Unresolved Mention2"/>
    <w:basedOn w:val="DefaultParagraphFont"/>
    <w:uiPriority w:val="99"/>
    <w:semiHidden/>
    <w:unhideWhenUsed/>
    <w:rsid w:val="002E2FFB"/>
    <w:rPr>
      <w:color w:val="605E5C"/>
      <w:shd w:val="clear" w:color="auto" w:fill="E1DFDD"/>
    </w:rPr>
  </w:style>
  <w:style w:type="character" w:styleId="LineNumber">
    <w:name w:val="line number"/>
    <w:basedOn w:val="DefaultParagraphFont"/>
    <w:uiPriority w:val="99"/>
    <w:semiHidden/>
    <w:unhideWhenUsed/>
    <w:rsid w:val="002E2FFB"/>
  </w:style>
  <w:style w:type="character" w:customStyle="1" w:styleId="FollowedHyperlink1">
    <w:name w:val="FollowedHyperlink1"/>
    <w:basedOn w:val="DefaultParagraphFont"/>
    <w:uiPriority w:val="99"/>
    <w:semiHidden/>
    <w:unhideWhenUsed/>
    <w:rsid w:val="002E2FFB"/>
    <w:rPr>
      <w:color w:val="954F72"/>
      <w:u w:val="single"/>
    </w:rPr>
  </w:style>
  <w:style w:type="paragraph" w:customStyle="1" w:styleId="Palatinotext">
    <w:name w:val="Palatino text"/>
    <w:basedOn w:val="Normal"/>
    <w:rsid w:val="002E2FFB"/>
    <w:pPr>
      <w:spacing w:before="240" w:line="360" w:lineRule="atLeast"/>
      <w:jc w:val="both"/>
    </w:pPr>
    <w:rPr>
      <w:rFonts w:ascii="Times" w:hAnsi="Times"/>
      <w:b/>
      <w:sz w:val="24"/>
      <w:lang w:eastAsia="en-GB"/>
    </w:rPr>
  </w:style>
  <w:style w:type="paragraph" w:customStyle="1" w:styleId="PlainText1">
    <w:name w:val="Plain Text1"/>
    <w:basedOn w:val="Normal"/>
    <w:next w:val="PlainText"/>
    <w:link w:val="PlainTextChar"/>
    <w:uiPriority w:val="99"/>
    <w:unhideWhenUsed/>
    <w:rsid w:val="002E2FFB"/>
    <w:rPr>
      <w:rFonts w:ascii="Calibri" w:hAnsi="Calibri"/>
      <w:szCs w:val="21"/>
    </w:rPr>
  </w:style>
  <w:style w:type="character" w:customStyle="1" w:styleId="PlainTextChar">
    <w:name w:val="Plain Text Char"/>
    <w:basedOn w:val="DefaultParagraphFont"/>
    <w:link w:val="PlainText1"/>
    <w:uiPriority w:val="99"/>
    <w:rsid w:val="002E2FFB"/>
    <w:rPr>
      <w:rFonts w:ascii="Calibri" w:hAnsi="Calibri"/>
      <w:szCs w:val="21"/>
    </w:rPr>
  </w:style>
  <w:style w:type="paragraph" w:customStyle="1" w:styleId="Revision1">
    <w:name w:val="Revision1"/>
    <w:next w:val="Revision"/>
    <w:hidden/>
    <w:uiPriority w:val="99"/>
    <w:semiHidden/>
    <w:rsid w:val="002E2FFB"/>
    <w:pPr>
      <w:spacing w:after="0" w:line="240" w:lineRule="auto"/>
    </w:pPr>
    <w:rPr>
      <w:rFonts w:ascii="Times New Roman" w:hAnsi="Times New Roman"/>
      <w:sz w:val="24"/>
      <w:lang w:val="en-US"/>
    </w:rPr>
  </w:style>
  <w:style w:type="character" w:customStyle="1" w:styleId="citation-title">
    <w:name w:val="citation-title"/>
    <w:basedOn w:val="DefaultParagraphFont"/>
    <w:rsid w:val="002E2FFB"/>
  </w:style>
  <w:style w:type="character" w:customStyle="1" w:styleId="citation">
    <w:name w:val="citation"/>
    <w:basedOn w:val="DefaultParagraphFont"/>
    <w:rsid w:val="002E2FFB"/>
  </w:style>
  <w:style w:type="character" w:customStyle="1" w:styleId="pubyear">
    <w:name w:val="pubyear"/>
    <w:basedOn w:val="DefaultParagraphFont"/>
    <w:rsid w:val="002E2FFB"/>
  </w:style>
  <w:style w:type="character" w:customStyle="1" w:styleId="volume">
    <w:name w:val="volume"/>
    <w:basedOn w:val="DefaultParagraphFont"/>
    <w:rsid w:val="002E2FFB"/>
  </w:style>
  <w:style w:type="character" w:customStyle="1" w:styleId="apple-converted-space">
    <w:name w:val="apple-converted-space"/>
    <w:basedOn w:val="DefaultParagraphFont"/>
    <w:rsid w:val="002E2FFB"/>
  </w:style>
  <w:style w:type="character" w:customStyle="1" w:styleId="dbname1">
    <w:name w:val="dbname1"/>
    <w:basedOn w:val="DefaultParagraphFont"/>
    <w:rsid w:val="002E2FFB"/>
    <w:rPr>
      <w:b/>
      <w:bCs/>
      <w:color w:val="0A0905"/>
    </w:rPr>
  </w:style>
  <w:style w:type="character" w:customStyle="1" w:styleId="dbdate1">
    <w:name w:val="dbdate1"/>
    <w:basedOn w:val="DefaultParagraphFont"/>
    <w:rsid w:val="002E2FFB"/>
    <w:rPr>
      <w:b w:val="0"/>
      <w:bCs w:val="0"/>
      <w:color w:val="0A0905"/>
      <w:sz w:val="20"/>
      <w:szCs w:val="20"/>
    </w:rPr>
  </w:style>
  <w:style w:type="character" w:customStyle="1" w:styleId="searchhistory-search-term">
    <w:name w:val="searchhistory-search-term"/>
    <w:basedOn w:val="DefaultParagraphFont"/>
    <w:rsid w:val="002E2FFB"/>
  </w:style>
  <w:style w:type="table" w:styleId="GridTable1Light-Accent3">
    <w:name w:val="Grid Table 1 Light Accent 3"/>
    <w:basedOn w:val="TableNormal"/>
    <w:uiPriority w:val="46"/>
    <w:rsid w:val="002E2FF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PlainTable4">
    <w:name w:val="Plain Table 4"/>
    <w:basedOn w:val="TableNormal"/>
    <w:uiPriority w:val="44"/>
    <w:rsid w:val="002E2FF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3">
    <w:name w:val="Grid Table 2 Accent 3"/>
    <w:basedOn w:val="TableNormal"/>
    <w:uiPriority w:val="47"/>
    <w:rsid w:val="002E2FF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1">
    <w:name w:val="Plain Table 1"/>
    <w:basedOn w:val="TableNormal"/>
    <w:uiPriority w:val="41"/>
    <w:rsid w:val="002E2FF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Accent3">
    <w:name w:val="List Table 1 Light Accent 3"/>
    <w:basedOn w:val="TableNormal"/>
    <w:uiPriority w:val="46"/>
    <w:rsid w:val="002E2FF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2E2FF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E2FF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urful">
    <w:name w:val="Grid Table 6 Colorful"/>
    <w:basedOn w:val="TableNormal"/>
    <w:uiPriority w:val="51"/>
    <w:rsid w:val="002E2FF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2E2FF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2E2FFB"/>
    <w:rPr>
      <w:color w:val="954F72" w:themeColor="followedHyperlink"/>
      <w:u w:val="single"/>
    </w:rPr>
  </w:style>
  <w:style w:type="paragraph" w:styleId="PlainText">
    <w:name w:val="Plain Text"/>
    <w:basedOn w:val="Normal"/>
    <w:link w:val="PlainTextChar1"/>
    <w:uiPriority w:val="99"/>
    <w:semiHidden/>
    <w:unhideWhenUsed/>
    <w:rsid w:val="002E2FFB"/>
    <w:rPr>
      <w:rFonts w:ascii="Consolas" w:hAnsi="Consolas"/>
      <w:sz w:val="21"/>
      <w:szCs w:val="21"/>
    </w:rPr>
  </w:style>
  <w:style w:type="character" w:customStyle="1" w:styleId="PlainTextChar1">
    <w:name w:val="Plain Text Char1"/>
    <w:basedOn w:val="DefaultParagraphFont"/>
    <w:link w:val="PlainText"/>
    <w:uiPriority w:val="99"/>
    <w:semiHidden/>
    <w:rsid w:val="002E2FFB"/>
    <w:rPr>
      <w:rFonts w:ascii="Consolas" w:hAnsi="Consolas"/>
      <w:sz w:val="21"/>
      <w:szCs w:val="21"/>
    </w:rPr>
  </w:style>
  <w:style w:type="paragraph" w:styleId="Revision">
    <w:name w:val="Revision"/>
    <w:hidden/>
    <w:uiPriority w:val="99"/>
    <w:semiHidden/>
    <w:rsid w:val="002E2FFB"/>
    <w:pPr>
      <w:spacing w:after="0" w:line="240" w:lineRule="auto"/>
    </w:pPr>
  </w:style>
  <w:style w:type="character" w:styleId="PlaceholderText">
    <w:name w:val="Placeholder Text"/>
    <w:basedOn w:val="DefaultParagraphFont"/>
    <w:uiPriority w:val="99"/>
    <w:semiHidden/>
    <w:rsid w:val="003250C1"/>
    <w:rPr>
      <w:color w:val="808080"/>
    </w:rPr>
  </w:style>
  <w:style w:type="character" w:styleId="SubtleReference">
    <w:name w:val="Subtle Reference"/>
    <w:basedOn w:val="DefaultParagraphFont"/>
    <w:uiPriority w:val="31"/>
    <w:qFormat/>
    <w:rsid w:val="003250C1"/>
    <w:rPr>
      <w:smallCaps/>
      <w:color w:val="5A5A5A" w:themeColor="text1" w:themeTint="A5"/>
    </w:rPr>
  </w:style>
  <w:style w:type="table" w:customStyle="1" w:styleId="TableGrid21">
    <w:name w:val="Table Grid21"/>
    <w:basedOn w:val="TableNormal"/>
    <w:next w:val="TableGrid"/>
    <w:uiPriority w:val="39"/>
    <w:rsid w:val="003250C1"/>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3">
    <w:name w:val="Table Grid3"/>
    <w:basedOn w:val="TableNormal"/>
    <w:next w:val="TableGrid"/>
    <w:uiPriority w:val="39"/>
    <w:rsid w:val="003250C1"/>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4">
    <w:name w:val="Table Grid4"/>
    <w:basedOn w:val="TableNormal"/>
    <w:next w:val="TableGrid"/>
    <w:uiPriority w:val="39"/>
    <w:rsid w:val="00325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50C1"/>
    <w:rPr>
      <w:b/>
      <w:bCs/>
    </w:rPr>
  </w:style>
  <w:style w:type="character" w:customStyle="1" w:styleId="highlight">
    <w:name w:val="highlight"/>
    <w:basedOn w:val="DefaultParagraphFont"/>
    <w:rsid w:val="004945A6"/>
  </w:style>
  <w:style w:type="character" w:customStyle="1" w:styleId="mixed-citation">
    <w:name w:val="mixed-citation"/>
    <w:basedOn w:val="DefaultParagraphFont"/>
    <w:rsid w:val="004945A6"/>
  </w:style>
  <w:style w:type="numbering" w:customStyle="1" w:styleId="Headings">
    <w:name w:val="Headings"/>
    <w:uiPriority w:val="99"/>
    <w:rsid w:val="004945A6"/>
    <w:pPr>
      <w:numPr>
        <w:numId w:val="15"/>
      </w:numPr>
    </w:pPr>
  </w:style>
  <w:style w:type="numbering" w:customStyle="1" w:styleId="Heading">
    <w:name w:val="Heading"/>
    <w:uiPriority w:val="99"/>
    <w:rsid w:val="004945A6"/>
    <w:pPr>
      <w:numPr>
        <w:numId w:val="16"/>
      </w:numPr>
    </w:pPr>
  </w:style>
  <w:style w:type="paragraph" w:styleId="NoSpacing">
    <w:name w:val="No Spacing"/>
    <w:uiPriority w:val="1"/>
    <w:qFormat/>
    <w:rsid w:val="004945A6"/>
    <w:pPr>
      <w:spacing w:after="0" w:line="240" w:lineRule="auto"/>
    </w:pPr>
    <w:rPr>
      <w:rFonts w:ascii="Arial" w:hAnsi="Arial"/>
    </w:rPr>
  </w:style>
  <w:style w:type="numbering" w:customStyle="1" w:styleId="CurrentList1">
    <w:name w:val="Current List1"/>
    <w:uiPriority w:val="99"/>
    <w:rsid w:val="00D72522"/>
    <w:pPr>
      <w:numPr>
        <w:numId w:val="20"/>
      </w:numPr>
    </w:pPr>
  </w:style>
  <w:style w:type="numbering" w:customStyle="1" w:styleId="CurrentList2">
    <w:name w:val="Current List2"/>
    <w:uiPriority w:val="99"/>
    <w:rsid w:val="00193613"/>
    <w:pPr>
      <w:numPr>
        <w:numId w:val="21"/>
      </w:numPr>
    </w:pPr>
  </w:style>
  <w:style w:type="character" w:customStyle="1" w:styleId="UnresolvedMention3">
    <w:name w:val="Unresolved Mention3"/>
    <w:basedOn w:val="DefaultParagraphFont"/>
    <w:uiPriority w:val="99"/>
    <w:semiHidden/>
    <w:unhideWhenUsed/>
    <w:rsid w:val="00735EC7"/>
    <w:rPr>
      <w:color w:val="605E5C"/>
      <w:shd w:val="clear" w:color="auto" w:fill="E1DFDD"/>
    </w:rPr>
  </w:style>
  <w:style w:type="paragraph" w:styleId="BodyText3">
    <w:name w:val="Body Text 3"/>
    <w:basedOn w:val="Normal"/>
    <w:link w:val="BodyText3Char"/>
    <w:rsid w:val="003F50F5"/>
    <w:pPr>
      <w:tabs>
        <w:tab w:val="left" w:pos="0"/>
      </w:tabs>
      <w:ind w:right="238"/>
      <w:jc w:val="both"/>
    </w:pPr>
    <w:rPr>
      <w:szCs w:val="28"/>
      <w:lang w:eastAsia="en-GB"/>
    </w:rPr>
  </w:style>
  <w:style w:type="character" w:customStyle="1" w:styleId="BodyText3Char">
    <w:name w:val="Body Text 3 Char"/>
    <w:basedOn w:val="DefaultParagraphFont"/>
    <w:link w:val="BodyText3"/>
    <w:rsid w:val="003F50F5"/>
    <w:rPr>
      <w:rFonts w:ascii="Arial" w:eastAsia="Times New Roman" w:hAnsi="Arial" w:cs="Times New Roman"/>
      <w:szCs w:val="28"/>
      <w:lang w:eastAsia="en-GB"/>
    </w:rPr>
  </w:style>
  <w:style w:type="paragraph" w:customStyle="1" w:styleId="StyleHeading2Linespacing15lines">
    <w:name w:val="Style Heading 2 + Line spacing:  1.5 lines"/>
    <w:basedOn w:val="Heading2"/>
    <w:link w:val="StyleHeading2Linespacing15linesChar"/>
    <w:autoRedefine/>
    <w:rsid w:val="003F50F5"/>
    <w:pPr>
      <w:keepLines w:val="0"/>
      <w:numPr>
        <w:ilvl w:val="0"/>
        <w:numId w:val="0"/>
      </w:numPr>
      <w:spacing w:line="240" w:lineRule="auto"/>
    </w:pPr>
    <w:rPr>
      <w:rFonts w:eastAsia="Times New Roman" w:cs="Times New Roman"/>
      <w:bCs/>
      <w:iCs/>
      <w:szCs w:val="24"/>
      <w:lang w:eastAsia="en-GB"/>
    </w:rPr>
  </w:style>
  <w:style w:type="character" w:customStyle="1" w:styleId="StyleHeading2Linespacing15linesChar">
    <w:name w:val="Style Heading 2 + Line spacing:  1.5 lines Char"/>
    <w:basedOn w:val="Heading2Char"/>
    <w:link w:val="StyleHeading2Linespacing15lines"/>
    <w:rsid w:val="003F50F5"/>
    <w:rPr>
      <w:rFonts w:ascii="Arial" w:eastAsia="Times New Roman" w:hAnsi="Arial" w:cs="Times New Roman"/>
      <w:b/>
      <w:bCs/>
      <w:iCs/>
      <w:sz w:val="24"/>
      <w:szCs w:val="24"/>
      <w:lang w:eastAsia="en-GB"/>
    </w:rPr>
  </w:style>
  <w:style w:type="character" w:customStyle="1" w:styleId="UnresolvedMention4">
    <w:name w:val="Unresolved Mention4"/>
    <w:basedOn w:val="DefaultParagraphFont"/>
    <w:uiPriority w:val="99"/>
    <w:semiHidden/>
    <w:unhideWhenUsed/>
    <w:rsid w:val="00CA7E90"/>
    <w:rPr>
      <w:color w:val="605E5C"/>
      <w:shd w:val="clear" w:color="auto" w:fill="E1DFDD"/>
    </w:rPr>
  </w:style>
  <w:style w:type="character" w:customStyle="1" w:styleId="UnresolvedMention5">
    <w:name w:val="Unresolved Mention5"/>
    <w:basedOn w:val="DefaultParagraphFont"/>
    <w:uiPriority w:val="99"/>
    <w:semiHidden/>
    <w:unhideWhenUsed/>
    <w:rsid w:val="007B67D5"/>
    <w:rPr>
      <w:color w:val="605E5C"/>
      <w:shd w:val="clear" w:color="auto" w:fill="E1DFDD"/>
    </w:rPr>
  </w:style>
  <w:style w:type="paragraph" w:customStyle="1" w:styleId="FootnoteText1">
    <w:name w:val="Footnote Text1"/>
    <w:basedOn w:val="Normal"/>
    <w:next w:val="FootnoteText"/>
    <w:link w:val="FootnoteTextChar"/>
    <w:uiPriority w:val="99"/>
    <w:semiHidden/>
    <w:unhideWhenUsed/>
    <w:rsid w:val="004672DB"/>
    <w:rPr>
      <w:rFonts w:asciiTheme="minorHAnsi" w:hAnsiTheme="minorHAnsi"/>
    </w:rPr>
  </w:style>
  <w:style w:type="character" w:customStyle="1" w:styleId="FootnoteTextChar">
    <w:name w:val="Footnote Text Char"/>
    <w:basedOn w:val="DefaultParagraphFont"/>
    <w:link w:val="FootnoteText1"/>
    <w:uiPriority w:val="99"/>
    <w:semiHidden/>
    <w:rsid w:val="004672DB"/>
    <w:rPr>
      <w:sz w:val="20"/>
      <w:szCs w:val="20"/>
    </w:rPr>
  </w:style>
  <w:style w:type="character" w:styleId="FootnoteReference">
    <w:name w:val="footnote reference"/>
    <w:basedOn w:val="DefaultParagraphFont"/>
    <w:uiPriority w:val="99"/>
    <w:semiHidden/>
    <w:unhideWhenUsed/>
    <w:rsid w:val="004672DB"/>
    <w:rPr>
      <w:vertAlign w:val="superscript"/>
    </w:rPr>
  </w:style>
  <w:style w:type="paragraph" w:styleId="FootnoteText">
    <w:name w:val="footnote text"/>
    <w:basedOn w:val="Normal"/>
    <w:link w:val="FootnoteTextChar1"/>
    <w:uiPriority w:val="99"/>
    <w:semiHidden/>
    <w:unhideWhenUsed/>
    <w:rsid w:val="004672DB"/>
  </w:style>
  <w:style w:type="character" w:customStyle="1" w:styleId="FootnoteTextChar1">
    <w:name w:val="Footnote Text Char1"/>
    <w:basedOn w:val="DefaultParagraphFont"/>
    <w:link w:val="FootnoteText"/>
    <w:uiPriority w:val="99"/>
    <w:semiHidden/>
    <w:rsid w:val="004672DB"/>
    <w:rPr>
      <w:rFonts w:ascii="Arial" w:hAnsi="Arial"/>
      <w:sz w:val="20"/>
      <w:szCs w:val="20"/>
    </w:rPr>
  </w:style>
  <w:style w:type="paragraph" w:customStyle="1" w:styleId="Heading31">
    <w:name w:val="Heading 31"/>
    <w:basedOn w:val="Normal"/>
    <w:next w:val="Normal"/>
    <w:uiPriority w:val="9"/>
    <w:unhideWhenUsed/>
    <w:qFormat/>
    <w:rsid w:val="004672DB"/>
    <w:pPr>
      <w:keepNext/>
      <w:keepLines/>
      <w:spacing w:before="240" w:after="120" w:line="276" w:lineRule="auto"/>
      <w:outlineLvl w:val="2"/>
    </w:pPr>
    <w:rPr>
      <w:rFonts w:ascii="Calibri Light" w:eastAsia="Calibri Light" w:hAnsi="Calibri Light"/>
      <w:color w:val="1F3763"/>
      <w:sz w:val="24"/>
      <w:szCs w:val="24"/>
    </w:rPr>
  </w:style>
  <w:style w:type="paragraph" w:customStyle="1" w:styleId="Heading41">
    <w:name w:val="Heading 41"/>
    <w:basedOn w:val="Normal"/>
    <w:next w:val="Normal"/>
    <w:uiPriority w:val="9"/>
    <w:unhideWhenUsed/>
    <w:qFormat/>
    <w:rsid w:val="004672DB"/>
    <w:pPr>
      <w:keepNext/>
      <w:keepLines/>
      <w:spacing w:before="40" w:line="276" w:lineRule="auto"/>
      <w:outlineLvl w:val="3"/>
    </w:pPr>
    <w:rPr>
      <w:rFonts w:ascii="Calibri Light" w:eastAsia="Calibri Light" w:hAnsi="Calibri Light"/>
      <w:i/>
      <w:iCs/>
      <w:color w:val="2F5496"/>
    </w:rPr>
  </w:style>
  <w:style w:type="paragraph" w:customStyle="1" w:styleId="Heading51">
    <w:name w:val="Heading 51"/>
    <w:basedOn w:val="Normal"/>
    <w:next w:val="Normal"/>
    <w:uiPriority w:val="9"/>
    <w:unhideWhenUsed/>
    <w:qFormat/>
    <w:rsid w:val="004672DB"/>
    <w:pPr>
      <w:keepNext/>
      <w:keepLines/>
      <w:spacing w:before="40" w:line="276" w:lineRule="auto"/>
      <w:outlineLvl w:val="4"/>
    </w:pPr>
    <w:rPr>
      <w:rFonts w:ascii="Calibri Light" w:eastAsia="Calibri Light" w:hAnsi="Calibri Light"/>
      <w:color w:val="2F5496"/>
    </w:rPr>
  </w:style>
  <w:style w:type="paragraph" w:customStyle="1" w:styleId="Heading61">
    <w:name w:val="Heading 61"/>
    <w:basedOn w:val="Normal"/>
    <w:next w:val="Normal"/>
    <w:uiPriority w:val="9"/>
    <w:unhideWhenUsed/>
    <w:qFormat/>
    <w:rsid w:val="004672DB"/>
    <w:pPr>
      <w:keepNext/>
      <w:keepLines/>
      <w:spacing w:before="40" w:line="276" w:lineRule="auto"/>
      <w:outlineLvl w:val="5"/>
    </w:pPr>
    <w:rPr>
      <w:rFonts w:ascii="Calibri Light" w:eastAsia="Calibri Light" w:hAnsi="Calibri Light"/>
      <w:color w:val="1F3763"/>
    </w:rPr>
  </w:style>
  <w:style w:type="paragraph" w:customStyle="1" w:styleId="Title1">
    <w:name w:val="Title1"/>
    <w:basedOn w:val="Normal"/>
    <w:next w:val="Normal"/>
    <w:uiPriority w:val="10"/>
    <w:qFormat/>
    <w:rsid w:val="004672DB"/>
    <w:pPr>
      <w:pBdr>
        <w:bottom w:val="single" w:sz="4" w:space="1" w:color="auto"/>
      </w:pBdr>
      <w:spacing w:before="120" w:after="360" w:line="276" w:lineRule="auto"/>
      <w:contextualSpacing/>
      <w:jc w:val="center"/>
    </w:pPr>
    <w:rPr>
      <w:rFonts w:ascii="Calibri Light" w:eastAsia="Calibri Light" w:hAnsi="Calibri Light"/>
      <w:spacing w:val="-10"/>
      <w:kern w:val="28"/>
      <w:sz w:val="36"/>
      <w:szCs w:val="36"/>
    </w:rPr>
  </w:style>
  <w:style w:type="paragraph" w:customStyle="1" w:styleId="Caption1">
    <w:name w:val="Caption1"/>
    <w:basedOn w:val="Normal"/>
    <w:next w:val="Normal"/>
    <w:uiPriority w:val="35"/>
    <w:unhideWhenUsed/>
    <w:qFormat/>
    <w:rsid w:val="004672DB"/>
    <w:pPr>
      <w:spacing w:before="120" w:after="200" w:line="276" w:lineRule="auto"/>
    </w:pPr>
    <w:rPr>
      <w:rFonts w:ascii="Calibri" w:hAnsi="Calibri"/>
      <w:i/>
      <w:iCs/>
      <w:color w:val="44546A"/>
      <w:sz w:val="18"/>
      <w:szCs w:val="18"/>
    </w:rPr>
  </w:style>
  <w:style w:type="character" w:customStyle="1" w:styleId="Hyperlink1">
    <w:name w:val="Hyperlink1"/>
    <w:basedOn w:val="DefaultParagraphFont"/>
    <w:uiPriority w:val="99"/>
    <w:unhideWhenUsed/>
    <w:rsid w:val="004672DB"/>
    <w:rPr>
      <w:color w:val="0563C1"/>
      <w:u w:val="single"/>
    </w:rPr>
  </w:style>
  <w:style w:type="paragraph" w:customStyle="1" w:styleId="Subtitle1">
    <w:name w:val="Subtitle1"/>
    <w:basedOn w:val="Normal"/>
    <w:next w:val="Normal"/>
    <w:uiPriority w:val="11"/>
    <w:qFormat/>
    <w:rsid w:val="004672DB"/>
    <w:pPr>
      <w:numPr>
        <w:ilvl w:val="1"/>
      </w:numPr>
      <w:spacing w:before="120" w:line="276" w:lineRule="auto"/>
    </w:pPr>
    <w:rPr>
      <w:rFonts w:ascii="Calibri" w:eastAsia="Calibri" w:hAnsi="Calibri"/>
      <w:color w:val="5A5A5A"/>
      <w:spacing w:val="15"/>
    </w:rPr>
  </w:style>
  <w:style w:type="character" w:customStyle="1" w:styleId="SubtleReference1">
    <w:name w:val="Subtle Reference1"/>
    <w:basedOn w:val="DefaultParagraphFont"/>
    <w:uiPriority w:val="31"/>
    <w:qFormat/>
    <w:rsid w:val="004672DB"/>
    <w:rPr>
      <w:smallCaps/>
      <w:color w:val="5A5A5A"/>
    </w:rPr>
  </w:style>
  <w:style w:type="table" w:customStyle="1" w:styleId="TableGrid22">
    <w:name w:val="Table Grid22"/>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TOCHeading1">
    <w:name w:val="TOC Heading1"/>
    <w:basedOn w:val="Heading1"/>
    <w:next w:val="Normal"/>
    <w:uiPriority w:val="39"/>
    <w:unhideWhenUsed/>
    <w:qFormat/>
    <w:rsid w:val="004672DB"/>
    <w:pPr>
      <w:numPr>
        <w:numId w:val="0"/>
      </w:numPr>
      <w:outlineLvl w:val="9"/>
    </w:pPr>
    <w:rPr>
      <w:rFonts w:ascii="Calibri Light" w:hAnsi="Calibri Light"/>
      <w:b w:val="0"/>
      <w:color w:val="2F5496"/>
      <w:sz w:val="32"/>
      <w:lang w:val="en-US"/>
    </w:rPr>
  </w:style>
  <w:style w:type="paragraph" w:customStyle="1" w:styleId="TOC11">
    <w:name w:val="TOC 11"/>
    <w:basedOn w:val="Normal"/>
    <w:next w:val="Normal"/>
    <w:autoRedefine/>
    <w:uiPriority w:val="39"/>
    <w:unhideWhenUsed/>
    <w:rsid w:val="004672DB"/>
    <w:pPr>
      <w:spacing w:before="120" w:after="100" w:line="276" w:lineRule="auto"/>
    </w:pPr>
    <w:rPr>
      <w:rFonts w:ascii="Calibri" w:hAnsi="Calibri"/>
    </w:rPr>
  </w:style>
  <w:style w:type="paragraph" w:customStyle="1" w:styleId="TOC21">
    <w:name w:val="TOC 21"/>
    <w:basedOn w:val="Normal"/>
    <w:next w:val="Normal"/>
    <w:autoRedefine/>
    <w:uiPriority w:val="39"/>
    <w:unhideWhenUsed/>
    <w:rsid w:val="004672DB"/>
    <w:pPr>
      <w:spacing w:before="120" w:after="100" w:line="276" w:lineRule="auto"/>
      <w:ind w:left="220"/>
    </w:pPr>
    <w:rPr>
      <w:rFonts w:ascii="Calibri" w:hAnsi="Calibri"/>
    </w:rPr>
  </w:style>
  <w:style w:type="table" w:customStyle="1" w:styleId="TableGrid23">
    <w:name w:val="Table Grid23"/>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5">
    <w:name w:val="Table Grid5"/>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next w:val="Header"/>
    <w:uiPriority w:val="99"/>
    <w:unhideWhenUsed/>
    <w:rsid w:val="004672DB"/>
    <w:pPr>
      <w:tabs>
        <w:tab w:val="center" w:pos="4513"/>
        <w:tab w:val="right" w:pos="9026"/>
      </w:tabs>
    </w:pPr>
    <w:rPr>
      <w:rFonts w:asciiTheme="minorHAnsi" w:hAnsiTheme="minorHAnsi"/>
    </w:rPr>
  </w:style>
  <w:style w:type="paragraph" w:customStyle="1" w:styleId="Footer1">
    <w:name w:val="Footer1"/>
    <w:basedOn w:val="Normal"/>
    <w:next w:val="Footer"/>
    <w:uiPriority w:val="99"/>
    <w:unhideWhenUsed/>
    <w:rsid w:val="004672DB"/>
    <w:pPr>
      <w:tabs>
        <w:tab w:val="center" w:pos="4513"/>
        <w:tab w:val="right" w:pos="9026"/>
      </w:tabs>
    </w:pPr>
    <w:rPr>
      <w:rFonts w:asciiTheme="minorHAnsi" w:hAnsiTheme="minorHAnsi"/>
    </w:rPr>
  </w:style>
  <w:style w:type="character" w:customStyle="1" w:styleId="Heading3Char1">
    <w:name w:val="Heading 3 Char1"/>
    <w:basedOn w:val="DefaultParagraphFont"/>
    <w:uiPriority w:val="9"/>
    <w:semiHidden/>
    <w:rsid w:val="004672DB"/>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4672DB"/>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4672DB"/>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4672DB"/>
    <w:rPr>
      <w:rFonts w:asciiTheme="majorHAnsi" w:eastAsiaTheme="majorEastAsia" w:hAnsiTheme="majorHAnsi" w:cstheme="majorBidi"/>
      <w:color w:val="1F3763" w:themeColor="accent1" w:themeShade="7F"/>
    </w:rPr>
  </w:style>
  <w:style w:type="character" w:customStyle="1" w:styleId="TitleChar1">
    <w:name w:val="Title Char1"/>
    <w:basedOn w:val="DefaultParagraphFont"/>
    <w:uiPriority w:val="10"/>
    <w:rsid w:val="004672DB"/>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4672DB"/>
    <w:rPr>
      <w:rFonts w:eastAsiaTheme="minorEastAsia"/>
      <w:color w:val="5A5A5A" w:themeColor="text1" w:themeTint="A5"/>
      <w:spacing w:val="15"/>
    </w:rPr>
  </w:style>
  <w:style w:type="character" w:customStyle="1" w:styleId="HeaderChar1">
    <w:name w:val="Header Char1"/>
    <w:basedOn w:val="DefaultParagraphFont"/>
    <w:uiPriority w:val="99"/>
    <w:semiHidden/>
    <w:rsid w:val="004672DB"/>
    <w:rPr>
      <w:rFonts w:ascii="Arial" w:hAnsi="Arial"/>
    </w:rPr>
  </w:style>
  <w:style w:type="character" w:customStyle="1" w:styleId="FooterChar1">
    <w:name w:val="Footer Char1"/>
    <w:basedOn w:val="DefaultParagraphFont"/>
    <w:uiPriority w:val="99"/>
    <w:semiHidden/>
    <w:rsid w:val="004672DB"/>
    <w:rPr>
      <w:rFonts w:ascii="Arial" w:hAnsi="Arial"/>
    </w:rPr>
  </w:style>
  <w:style w:type="table" w:customStyle="1" w:styleId="TableGrid24">
    <w:name w:val="Table Grid24"/>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uiPriority w:val="35"/>
    <w:unhideWhenUsed/>
    <w:qFormat/>
    <w:rsid w:val="004672DB"/>
    <w:pPr>
      <w:spacing w:after="200"/>
    </w:pPr>
    <w:rPr>
      <w:rFonts w:ascii="Calibri" w:hAnsi="Calibri"/>
      <w:i/>
      <w:iCs/>
      <w:color w:val="44546A"/>
      <w:sz w:val="18"/>
      <w:szCs w:val="18"/>
    </w:rPr>
  </w:style>
  <w:style w:type="table" w:customStyle="1" w:styleId="TableGrid41">
    <w:name w:val="Table Grid4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TOCHeading2">
    <w:name w:val="TOC Heading2"/>
    <w:basedOn w:val="Heading1"/>
    <w:next w:val="Normal"/>
    <w:uiPriority w:val="39"/>
    <w:unhideWhenUsed/>
    <w:qFormat/>
    <w:rsid w:val="004672DB"/>
    <w:pPr>
      <w:numPr>
        <w:numId w:val="0"/>
      </w:numPr>
      <w:outlineLvl w:val="9"/>
    </w:pPr>
    <w:rPr>
      <w:rFonts w:ascii="Calibri Light" w:hAnsi="Calibri Light"/>
      <w:b w:val="0"/>
      <w:color w:val="2F5496"/>
      <w:sz w:val="32"/>
      <w:lang w:val="en-US"/>
    </w:rPr>
  </w:style>
  <w:style w:type="paragraph" w:customStyle="1" w:styleId="TOC12">
    <w:name w:val="TOC 12"/>
    <w:basedOn w:val="Normal"/>
    <w:next w:val="Normal"/>
    <w:autoRedefine/>
    <w:uiPriority w:val="39"/>
    <w:unhideWhenUsed/>
    <w:rsid w:val="004672DB"/>
    <w:pPr>
      <w:spacing w:after="100"/>
    </w:pPr>
    <w:rPr>
      <w:rFonts w:ascii="Calibri" w:hAnsi="Calibri"/>
    </w:rPr>
  </w:style>
  <w:style w:type="paragraph" w:customStyle="1" w:styleId="TOC22">
    <w:name w:val="TOC 22"/>
    <w:basedOn w:val="Normal"/>
    <w:next w:val="Normal"/>
    <w:autoRedefine/>
    <w:uiPriority w:val="39"/>
    <w:unhideWhenUsed/>
    <w:rsid w:val="004672DB"/>
    <w:pPr>
      <w:spacing w:after="100"/>
      <w:ind w:left="220"/>
    </w:pPr>
    <w:rPr>
      <w:rFonts w:ascii="Calibri" w:hAnsi="Calibri"/>
    </w:rPr>
  </w:style>
  <w:style w:type="table" w:customStyle="1" w:styleId="TableGrid7">
    <w:name w:val="Table Grid7"/>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1">
    <w:name w:val="TOC 31"/>
    <w:basedOn w:val="Normal"/>
    <w:next w:val="Normal"/>
    <w:autoRedefine/>
    <w:uiPriority w:val="39"/>
    <w:unhideWhenUsed/>
    <w:rsid w:val="004672DB"/>
    <w:pPr>
      <w:spacing w:after="100"/>
      <w:ind w:left="440"/>
    </w:pPr>
    <w:rPr>
      <w:rFonts w:ascii="Calibri" w:hAnsi="Calibri"/>
    </w:rPr>
  </w:style>
  <w:style w:type="table" w:customStyle="1" w:styleId="TableGrid8">
    <w:name w:val="Table Grid8"/>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2">
    <w:name w:val="Calendar 2"/>
    <w:basedOn w:val="TableNormal"/>
    <w:uiPriority w:val="99"/>
    <w:qFormat/>
    <w:rsid w:val="004672DB"/>
    <w:pPr>
      <w:spacing w:after="0" w:line="240" w:lineRule="auto"/>
      <w:jc w:val="center"/>
    </w:pPr>
    <w:rPr>
      <w:rFonts w:eastAsia="Calibri"/>
      <w:sz w:val="28"/>
      <w:szCs w:val="28"/>
      <w:lang w:val="en-US"/>
    </w:rPr>
    <w:tblPr>
      <w:tblBorders>
        <w:insideV w:val="single" w:sz="4" w:space="0" w:color="8EAADB"/>
      </w:tblBorders>
    </w:tblPr>
    <w:tblStylePr w:type="firstRow">
      <w:rPr>
        <w:rFonts w:ascii="Calibri Light" w:hAnsi="Calibri Light"/>
        <w:b w:val="0"/>
        <w:i w:val="0"/>
        <w:caps/>
        <w:smallCaps w:val="0"/>
        <w:color w:val="4472C4"/>
        <w:spacing w:val="20"/>
        <w:sz w:val="32"/>
      </w:rPr>
      <w:tblPr/>
      <w:tcPr>
        <w:tcBorders>
          <w:top w:val="nil"/>
          <w:left w:val="nil"/>
          <w:bottom w:val="nil"/>
          <w:right w:val="nil"/>
          <w:insideH w:val="nil"/>
          <w:insideV w:val="nil"/>
          <w:tl2br w:val="nil"/>
          <w:tr2bl w:val="nil"/>
        </w:tcBorders>
      </w:tcPr>
    </w:tblStylePr>
  </w:style>
  <w:style w:type="paragraph" w:customStyle="1" w:styleId="TableofFigures1">
    <w:name w:val="Table of Figures1"/>
    <w:basedOn w:val="Normal"/>
    <w:next w:val="Normal"/>
    <w:uiPriority w:val="99"/>
    <w:unhideWhenUsed/>
    <w:rsid w:val="004672DB"/>
    <w:rPr>
      <w:rFonts w:ascii="Calibri" w:hAnsi="Calibri"/>
    </w:rPr>
  </w:style>
  <w:style w:type="character" w:customStyle="1" w:styleId="Mention1">
    <w:name w:val="Mention1"/>
    <w:basedOn w:val="DefaultParagraphFont"/>
    <w:uiPriority w:val="99"/>
    <w:unhideWhenUsed/>
    <w:rPr>
      <w:color w:val="2B579A"/>
      <w:shd w:val="clear" w:color="auto" w:fill="E6E6E6"/>
    </w:rPr>
  </w:style>
  <w:style w:type="paragraph" w:customStyle="1" w:styleId="11MaintitlePrelimsPrelimsstyles">
    <w:name w:val="1.1 Main title (Prelims) (Prelims styles)"/>
    <w:basedOn w:val="Normal"/>
    <w:next w:val="BasicParagraph"/>
    <w:uiPriority w:val="99"/>
    <w:rsid w:val="001C6427"/>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1C6427"/>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1C6427"/>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1C6427"/>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1C6427"/>
    <w:rPr>
      <w:rFonts w:cs="Humanist777BT-RomanB"/>
    </w:rPr>
  </w:style>
  <w:style w:type="paragraph" w:customStyle="1" w:styleId="161TitlepagecompetinginterestsPrelimsstyles">
    <w:name w:val="1.61 Title page competing interests (Prelims styles)"/>
    <w:basedOn w:val="16TitlepagetextPrelimsPrelimsstyles"/>
    <w:uiPriority w:val="99"/>
    <w:rsid w:val="001C6427"/>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1C6427"/>
    <w:pPr>
      <w:spacing w:after="60"/>
      <w:ind w:left="0" w:firstLine="0"/>
    </w:pPr>
  </w:style>
  <w:style w:type="paragraph" w:customStyle="1" w:styleId="18TitlepagedoiPrelimsPrelimsstyles">
    <w:name w:val="1.8 Title page doi (Prelims) (Prelims styles)"/>
    <w:basedOn w:val="17TitlepagepubdatePrelimsPrelimsstyles"/>
    <w:uiPriority w:val="99"/>
    <w:rsid w:val="001C6427"/>
    <w:pPr>
      <w:spacing w:after="0" w:line="240" w:lineRule="atLeast"/>
    </w:pPr>
    <w:rPr>
      <w:sz w:val="20"/>
      <w:szCs w:val="20"/>
    </w:rPr>
  </w:style>
  <w:style w:type="paragraph" w:customStyle="1" w:styleId="151AbstracttitlePrelimsPrelimsstyles">
    <w:name w:val="1.51 Abstract title (Prelims) (Prelims styles)"/>
    <w:basedOn w:val="Normal"/>
    <w:uiPriority w:val="99"/>
    <w:rsid w:val="001C6427"/>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1C6427"/>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1C6427"/>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1C6427"/>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1C6427"/>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1C6427"/>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1C6427"/>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1C6427"/>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1C6427"/>
    <w:pPr>
      <w:spacing w:after="130"/>
      <w:ind w:left="960" w:hanging="960"/>
    </w:pPr>
  </w:style>
  <w:style w:type="paragraph" w:customStyle="1" w:styleId="192AbbreviationslistnotesPrelimsstyles">
    <w:name w:val="1.92 Abbreviations list notes (Prelims styles)"/>
    <w:basedOn w:val="602TextfoTextstylesTextstyles"/>
    <w:uiPriority w:val="99"/>
    <w:rsid w:val="001C6427"/>
    <w:pPr>
      <w:pageBreakBefore/>
      <w:spacing w:before="260" w:after="0"/>
    </w:pPr>
  </w:style>
  <w:style w:type="paragraph" w:customStyle="1" w:styleId="21ContributortextPrelimsPrelimsstyles">
    <w:name w:val="2.1 Contributor text (Prelims) (Prelims styles)"/>
    <w:basedOn w:val="16TitlepagetextPrelimsPrelimsstyles"/>
    <w:uiPriority w:val="99"/>
    <w:rsid w:val="001C6427"/>
    <w:pPr>
      <w:spacing w:after="280"/>
      <w:ind w:left="240" w:hanging="240"/>
    </w:pPr>
  </w:style>
  <w:style w:type="paragraph" w:customStyle="1" w:styleId="51AAheadHeadingstyles">
    <w:name w:val="5.1 AA head (Heading styles)"/>
    <w:basedOn w:val="52AheadHeadingsHeadingstyles"/>
    <w:next w:val="52AheadHeadingsHeadingstyles"/>
    <w:uiPriority w:val="99"/>
    <w:rsid w:val="001C6427"/>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1C6427"/>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1C6427"/>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1C6427"/>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1C6427"/>
    <w:pPr>
      <w:outlineLvl w:val="4"/>
    </w:pPr>
    <w:rPr>
      <w:rFonts w:cs="Humanist777BT-ItalicB"/>
      <w:i/>
      <w:iCs/>
    </w:rPr>
  </w:style>
  <w:style w:type="paragraph" w:customStyle="1" w:styleId="56EheadHeadingsHeadingstyles">
    <w:name w:val="5.6 E head (Headings) (Heading styles)"/>
    <w:basedOn w:val="602TextfoTextstylesTextstyles"/>
    <w:uiPriority w:val="99"/>
    <w:rsid w:val="001C6427"/>
  </w:style>
  <w:style w:type="paragraph" w:customStyle="1" w:styleId="57FheadHeadingsHeadingstyles">
    <w:name w:val="5.7 F head (Headings) (Heading styles)"/>
    <w:basedOn w:val="56EheadHeadingsHeadingstyles"/>
    <w:uiPriority w:val="99"/>
    <w:rsid w:val="001C6427"/>
    <w:rPr>
      <w:i/>
      <w:iCs/>
    </w:rPr>
  </w:style>
  <w:style w:type="paragraph" w:customStyle="1" w:styleId="601TextdropcapTextstylesTextstyles">
    <w:name w:val="6.01 Text (drop cap) (Text styles) (Text styles)"/>
    <w:basedOn w:val="602TextfoTextstylesTextstyles"/>
    <w:next w:val="602TextfoTextstylesTextstyles"/>
    <w:uiPriority w:val="99"/>
    <w:rsid w:val="001C6427"/>
  </w:style>
  <w:style w:type="paragraph" w:customStyle="1" w:styleId="611BulletlistTextstyles">
    <w:name w:val="6.11 Bullet list (Text styles)"/>
    <w:basedOn w:val="602TextfoTextstylesTextstyles"/>
    <w:next w:val="602TextfoTextstylesTextstyles"/>
    <w:uiPriority w:val="99"/>
    <w:rsid w:val="001C6427"/>
    <w:pPr>
      <w:spacing w:after="0"/>
      <w:ind w:left="357"/>
    </w:pPr>
  </w:style>
  <w:style w:type="paragraph" w:customStyle="1" w:styleId="612Textbulletlist2ndparaTextstyles">
    <w:name w:val="6.12 Text (bullet list 2nd para) (Text styles)"/>
    <w:basedOn w:val="611BulletlistTextstyles"/>
    <w:uiPriority w:val="99"/>
    <w:rsid w:val="001C6427"/>
  </w:style>
  <w:style w:type="paragraph" w:customStyle="1" w:styleId="614TextbulletlistlastTextstylesTextstyles">
    <w:name w:val="6.14 Text (bullet list last) (Text styles) (Text styles)"/>
    <w:basedOn w:val="611BulletlistTextstyles"/>
    <w:uiPriority w:val="99"/>
    <w:rsid w:val="001C6427"/>
    <w:pPr>
      <w:spacing w:after="260"/>
    </w:pPr>
  </w:style>
  <w:style w:type="paragraph" w:customStyle="1" w:styleId="613TextsubbulletlistTextstylesTextstyles">
    <w:name w:val="6.13 Text (sub bullet list) (Text styles) (Text styles)"/>
    <w:basedOn w:val="602TextfoTextstylesTextstyles"/>
    <w:uiPriority w:val="99"/>
    <w:rsid w:val="001C6427"/>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1C6427"/>
    <w:pPr>
      <w:spacing w:after="260"/>
    </w:pPr>
  </w:style>
  <w:style w:type="paragraph" w:customStyle="1" w:styleId="615TextsubsubbulletlistTextstylesTextstyles">
    <w:name w:val="6.15 Text (sub sub bullet list) (Text styles) (Text styles)"/>
    <w:basedOn w:val="613TextsubbulletlistTextstylesTextstyles"/>
    <w:uiPriority w:val="99"/>
    <w:rsid w:val="001C6427"/>
    <w:pPr>
      <w:ind w:left="1080"/>
    </w:pPr>
  </w:style>
  <w:style w:type="paragraph" w:customStyle="1" w:styleId="617TextsubsubbulletlistlastTextstylesTextstyles">
    <w:name w:val="6.17 Text (sub sub bullet list last) (Text styles) (Text styles)"/>
    <w:basedOn w:val="613TextsubbulletlistTextstylesTextstyles"/>
    <w:uiPriority w:val="99"/>
    <w:rsid w:val="001C6427"/>
    <w:pPr>
      <w:spacing w:after="260"/>
      <w:ind w:left="1080"/>
    </w:pPr>
  </w:style>
  <w:style w:type="paragraph" w:customStyle="1" w:styleId="621TextnumberedlistTextstylesTextstyles">
    <w:name w:val="6.21 Text (numbered list) (Text styles) (Text styles)"/>
    <w:basedOn w:val="602TextfoTextstylesTextstyles"/>
    <w:uiPriority w:val="99"/>
    <w:rsid w:val="001C6427"/>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1C6427"/>
    <w:pPr>
      <w:ind w:left="360"/>
    </w:pPr>
  </w:style>
  <w:style w:type="paragraph" w:customStyle="1" w:styleId="6211TextnumberedlistlastTextstylesTextstyles">
    <w:name w:val="6.211 Text (numbered list last) (Text styles) (Text styles)"/>
    <w:basedOn w:val="621TextnumberedlistTextstylesTextstyles"/>
    <w:uiPriority w:val="99"/>
    <w:rsid w:val="001C6427"/>
    <w:pPr>
      <w:spacing w:after="260"/>
    </w:pPr>
  </w:style>
  <w:style w:type="paragraph" w:customStyle="1" w:styleId="623TextsubnumberedlistTextstylesTextstyles">
    <w:name w:val="6.23 Text (sub numbered list) (Text styles) (Text styles)"/>
    <w:basedOn w:val="621TextnumberedlistTextstylesTextstyles"/>
    <w:uiPriority w:val="99"/>
    <w:rsid w:val="001C6427"/>
    <w:pPr>
      <w:ind w:left="360"/>
    </w:pPr>
  </w:style>
  <w:style w:type="paragraph" w:customStyle="1" w:styleId="626TextalphalistTextstyles">
    <w:name w:val="6.26 Text (alpha list) (Text styles)"/>
    <w:basedOn w:val="621TextnumberedlistTextstylesTextstyles"/>
    <w:uiPriority w:val="99"/>
    <w:rsid w:val="001C6427"/>
    <w:pPr>
      <w:tabs>
        <w:tab w:val="clear" w:pos="0"/>
        <w:tab w:val="left" w:pos="360"/>
      </w:tabs>
    </w:pPr>
  </w:style>
  <w:style w:type="paragraph" w:customStyle="1" w:styleId="627TextsubalphalistTextstyles">
    <w:name w:val="6.27 Text (sub alpha list) (Text styles)"/>
    <w:basedOn w:val="626TextalphalistTextstyles"/>
    <w:uiPriority w:val="99"/>
    <w:rsid w:val="001C6427"/>
    <w:pPr>
      <w:ind w:left="360"/>
    </w:pPr>
  </w:style>
  <w:style w:type="paragraph" w:customStyle="1" w:styleId="628TextalphalistlastTextstyles">
    <w:name w:val="6.28 Text (alpha list last) (Text styles)"/>
    <w:basedOn w:val="626TextalphalistTextstyles"/>
    <w:next w:val="602TextfoTextstylesTextstyles"/>
    <w:uiPriority w:val="99"/>
    <w:rsid w:val="001C6427"/>
    <w:pPr>
      <w:spacing w:after="240"/>
    </w:pPr>
  </w:style>
  <w:style w:type="paragraph" w:customStyle="1" w:styleId="644TextquoteTextstylesTextstyles">
    <w:name w:val="6.44 Text (quote) (Text styles) (Text styles)"/>
    <w:basedOn w:val="602TextfoTextstylesTextstyles"/>
    <w:uiPriority w:val="99"/>
    <w:rsid w:val="001C6427"/>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1C6427"/>
  </w:style>
  <w:style w:type="paragraph" w:customStyle="1" w:styleId="632TextequationTextstylesTextstyles">
    <w:name w:val="6.32 Text (equation) (Text styles) (Text styles)"/>
    <w:basedOn w:val="602TextfoTextstylesTextstyles"/>
    <w:uiPriority w:val="99"/>
    <w:rsid w:val="001C6427"/>
    <w:pPr>
      <w:tabs>
        <w:tab w:val="right" w:pos="9120"/>
      </w:tabs>
      <w:ind w:left="240"/>
    </w:pPr>
  </w:style>
  <w:style w:type="paragraph" w:customStyle="1" w:styleId="645TextquotewithsourceTextstyles">
    <w:name w:val="6.45 Text (quote with source) (Text styles)"/>
    <w:basedOn w:val="644TextquoteTextstylesTextstyles"/>
    <w:uiPriority w:val="99"/>
    <w:rsid w:val="001C6427"/>
    <w:pPr>
      <w:spacing w:after="0"/>
    </w:pPr>
  </w:style>
  <w:style w:type="paragraph" w:customStyle="1" w:styleId="646TextquotesourceTextstylesTextstyles">
    <w:name w:val="6.46 Text (quote source) (Text styles) (Text styles)"/>
    <w:basedOn w:val="644TextquoteTextstylesTextstyles"/>
    <w:uiPriority w:val="99"/>
    <w:rsid w:val="001C6427"/>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1C6427"/>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1C6427"/>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1C6427"/>
    <w:pPr>
      <w:spacing w:after="130"/>
      <w:ind w:left="600" w:hanging="120"/>
    </w:pPr>
  </w:style>
  <w:style w:type="paragraph" w:customStyle="1" w:styleId="690EndnoteTextstylesTextstyles">
    <w:name w:val="6.90 Endnote (Text styles) (Text styles)"/>
    <w:basedOn w:val="602TextfoTextstylesTextstyles"/>
    <w:uiPriority w:val="99"/>
    <w:rsid w:val="001C6427"/>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1C6427"/>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1C6427"/>
    <w:rPr>
      <w:bCs/>
    </w:rPr>
  </w:style>
  <w:style w:type="paragraph" w:customStyle="1" w:styleId="72TabletextTablesTableFigureBoxstyles">
    <w:name w:val="7.2 Table text (Tables) (Table/Figure/Box styles)"/>
    <w:basedOn w:val="Normal"/>
    <w:uiPriority w:val="99"/>
    <w:rsid w:val="001C6427"/>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1C6427"/>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1C6427"/>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1C6427"/>
  </w:style>
  <w:style w:type="paragraph" w:customStyle="1" w:styleId="710TableheadTablesTableFigureBoxstyles">
    <w:name w:val="7.10 Table head (Tables) (Table/Figure/Box styles)"/>
    <w:basedOn w:val="72TabletextTablesTableFigureBoxstyles"/>
    <w:next w:val="72TabletextTablesTableFigureBoxstyles"/>
    <w:uiPriority w:val="99"/>
    <w:rsid w:val="001C6427"/>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1C6427"/>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1C6427"/>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1C6427"/>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1C6427"/>
    <w:rPr>
      <w:rFonts w:cs="Humanist777BT-ItalicB"/>
      <w:bCs w:val="0"/>
      <w:i/>
    </w:rPr>
  </w:style>
  <w:style w:type="paragraph" w:customStyle="1" w:styleId="92BoxtextBoxesTableFigureBoxstyles">
    <w:name w:val="9.2 Box text (Boxes) (Table/Figure/Box styles)"/>
    <w:basedOn w:val="72TabletextTablesTableFigureBoxstyles"/>
    <w:uiPriority w:val="99"/>
    <w:rsid w:val="001C6427"/>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1C6427"/>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1C6427"/>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1C6427"/>
    <w:pPr>
      <w:spacing w:after="120"/>
    </w:pPr>
  </w:style>
  <w:style w:type="paragraph" w:customStyle="1" w:styleId="922BoxbulletlistBoxesTableFigureBoxstyles">
    <w:name w:val="9.22 Box bullet list (Boxes) (Table/Figure/Box styles)"/>
    <w:basedOn w:val="921BoxnumberedlistBoxesTableFigureBoxstyles"/>
    <w:uiPriority w:val="99"/>
    <w:rsid w:val="001C6427"/>
    <w:pPr>
      <w:ind w:hanging="240"/>
    </w:pPr>
  </w:style>
  <w:style w:type="paragraph" w:customStyle="1" w:styleId="925BoxbulletlistlastBoxesTableFigureBoxstyles">
    <w:name w:val="9.25 Box bullet list last (Boxes) (Table/Figure/Box styles)"/>
    <w:basedOn w:val="921BoxnumberedlistBoxesTableFigureBoxstyles"/>
    <w:uiPriority w:val="99"/>
    <w:rsid w:val="001C6427"/>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1C6427"/>
  </w:style>
  <w:style w:type="paragraph" w:customStyle="1" w:styleId="926BoxalphalistlastBoxesTableFigureBoxstyles">
    <w:name w:val="9.26 Box alpha list last (Boxes) (Table/Figure/Box styles)"/>
    <w:basedOn w:val="921BoxnumberedlistBoxesTableFigureBoxstyles"/>
    <w:uiPriority w:val="99"/>
    <w:rsid w:val="001C6427"/>
    <w:pPr>
      <w:spacing w:after="120"/>
    </w:pPr>
  </w:style>
  <w:style w:type="paragraph" w:customStyle="1" w:styleId="927BoxquoteBoxesTableFigureBoxstyles">
    <w:name w:val="9.27 Box quote (Boxes) (Table/Figure/Box styles)"/>
    <w:basedOn w:val="92BoxtextBoxesTableFigureBoxstyles"/>
    <w:uiPriority w:val="99"/>
    <w:rsid w:val="001C6427"/>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1C6427"/>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1C6427"/>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1C6427"/>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1C6427"/>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1C6427"/>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1C6427"/>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1C6427"/>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1C6427"/>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1C6427"/>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1C6427"/>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1C6427"/>
    <w:pPr>
      <w:ind w:left="240"/>
    </w:pPr>
  </w:style>
  <w:style w:type="paragraph" w:customStyle="1" w:styleId="75TablenotesTablesTableFigureBoxstyles">
    <w:name w:val="7.5 Table (notes) (Tables) (Table/Figure/Box styles)"/>
    <w:basedOn w:val="74TablenotesheadingTablesTableFigureBoxstyles"/>
    <w:uiPriority w:val="99"/>
    <w:rsid w:val="001C6427"/>
    <w:pPr>
      <w:spacing w:before="0"/>
      <w:ind w:left="198" w:hanging="198"/>
    </w:pPr>
    <w:rPr>
      <w:rFonts w:ascii="Lato" w:hAnsi="Lato" w:cs="Humanist777BT-LightB"/>
      <w:b w:val="0"/>
    </w:rPr>
  </w:style>
  <w:style w:type="paragraph" w:customStyle="1" w:styleId="BasicParagraph">
    <w:name w:val="[Basic Paragraph]"/>
    <w:basedOn w:val="Normal"/>
    <w:uiPriority w:val="99"/>
    <w:rsid w:val="001C6427"/>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1C6427"/>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1C6427"/>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1C6427"/>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1C6427"/>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1C6427"/>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1C6427"/>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1C6427"/>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1C6427"/>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1C6427"/>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1C6427"/>
    <w:pPr>
      <w:spacing w:after="260"/>
      <w:ind w:left="360"/>
    </w:pPr>
  </w:style>
  <w:style w:type="paragraph" w:customStyle="1" w:styleId="634TextsubalphalistlastTextstyles">
    <w:name w:val="6.34 Text (sub alpha list last) (Text styles)"/>
    <w:basedOn w:val="626TextalphalistTextstyles"/>
    <w:uiPriority w:val="99"/>
    <w:rsid w:val="001C6427"/>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1C6427"/>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1C6427"/>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1C6427"/>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1C6427"/>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1C6427"/>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1C6427"/>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1C6427"/>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1C6427"/>
  </w:style>
  <w:style w:type="paragraph" w:customStyle="1" w:styleId="636TextsubsubnumberedlistlastTextstylesTextstyles">
    <w:name w:val="6.36 Text (sub sub numbered list last) (Text styles) (Text styles)"/>
    <w:basedOn w:val="613TextsubbulletlistTextstylesTextstyles"/>
    <w:uiPriority w:val="99"/>
    <w:rsid w:val="001C6427"/>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1C6427"/>
    <w:pPr>
      <w:ind w:left="402"/>
    </w:pPr>
  </w:style>
  <w:style w:type="paragraph" w:customStyle="1" w:styleId="6121Textbulletlist2ndparalastTextstyles">
    <w:name w:val="6.121 Text (bullet list 2nd para last) (Text styles)"/>
    <w:basedOn w:val="612Textbulletlist2ndparaTextstyles"/>
    <w:uiPriority w:val="99"/>
    <w:rsid w:val="001C6427"/>
    <w:pPr>
      <w:spacing w:after="260"/>
    </w:pPr>
  </w:style>
  <w:style w:type="paragraph" w:customStyle="1" w:styleId="6131TextsubbulletlistsolidTextstylesTextstyles">
    <w:name w:val="6.131 Text (sub bullet list solid) (Text styles) (Text styles)"/>
    <w:basedOn w:val="613TextsubbulletlistTextstylesTextstyles"/>
    <w:uiPriority w:val="99"/>
    <w:rsid w:val="001C6427"/>
  </w:style>
  <w:style w:type="paragraph" w:customStyle="1" w:styleId="6161TextsubbulletlistsolidlastTextstyles">
    <w:name w:val="6.161 Text (sub bullet list solid last) (Text styles)"/>
    <w:basedOn w:val="616TextsubbulletlistlastTextstylesTextstyles"/>
    <w:uiPriority w:val="99"/>
    <w:rsid w:val="001C6427"/>
  </w:style>
  <w:style w:type="paragraph" w:customStyle="1" w:styleId="713TablesubheadCTablesTableFigureBoxstyles">
    <w:name w:val="7.13 Table subhead C (Tables) (Table/Figure/Box styles)"/>
    <w:basedOn w:val="712TablesubheadBTablesTableFigureBoxstyles"/>
    <w:uiPriority w:val="99"/>
    <w:rsid w:val="001C6427"/>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1C6427"/>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1C6427"/>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1C6427"/>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1C6427"/>
    <w:pPr>
      <w:spacing w:after="0"/>
    </w:pPr>
  </w:style>
  <w:style w:type="paragraph" w:customStyle="1" w:styleId="9271BoxquotewithsourceTableFigureBoxstyles">
    <w:name w:val="9.271 Box quote with source (Table/Figure/Box styles)"/>
    <w:basedOn w:val="927BoxquoteBoxesTableFigureBoxstyles"/>
    <w:uiPriority w:val="99"/>
    <w:rsid w:val="001C6427"/>
    <w:pPr>
      <w:spacing w:after="0"/>
    </w:pPr>
  </w:style>
  <w:style w:type="paragraph" w:customStyle="1" w:styleId="6116Quoteasabulletlistitem-sourceTextstyles">
    <w:name w:val="6.116 Quote as a bullet list item - source (Text styles)"/>
    <w:basedOn w:val="Normal"/>
    <w:uiPriority w:val="99"/>
    <w:rsid w:val="001C6427"/>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1C6427"/>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1C6427"/>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1C6427"/>
    <w:pPr>
      <w:spacing w:after="260"/>
    </w:pPr>
  </w:style>
  <w:style w:type="paragraph" w:customStyle="1" w:styleId="Normal0">
    <w:name w:val="[Normal]"/>
    <w:rsid w:val="001C6427"/>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1C6427"/>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1C6427"/>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1C6427"/>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1C6427"/>
    <w:pPr>
      <w:ind w:left="720"/>
    </w:pPr>
  </w:style>
  <w:style w:type="paragraph" w:customStyle="1" w:styleId="58GHeadHeadingsHeadingstyles">
    <w:name w:val="5.8 G Head (Headings) (Heading styles)"/>
    <w:basedOn w:val="57FheadHeadingsHeadingstyles"/>
    <w:uiPriority w:val="99"/>
    <w:rsid w:val="001C6427"/>
    <w:rPr>
      <w:i w:val="0"/>
      <w:iCs w:val="0"/>
    </w:rPr>
  </w:style>
  <w:style w:type="paragraph" w:customStyle="1" w:styleId="6212QuoteasanumberedlistitemTextstyles">
    <w:name w:val="6.212 Quote as a numbered list item (Text styles)"/>
    <w:basedOn w:val="621TextnumberedlistTextstylesTextstyles"/>
    <w:uiPriority w:val="99"/>
    <w:rsid w:val="001C6427"/>
    <w:rPr>
      <w:i/>
    </w:rPr>
  </w:style>
  <w:style w:type="paragraph" w:customStyle="1" w:styleId="625TextsimplelistTextstyles">
    <w:name w:val="6.25 Text (simple list) (Text styles)"/>
    <w:basedOn w:val="626TextalphalistTextstyles"/>
    <w:uiPriority w:val="99"/>
    <w:rsid w:val="001C6427"/>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1C6427"/>
    <w:pPr>
      <w:ind w:left="360" w:hanging="120"/>
    </w:pPr>
    <w:rPr>
      <w:lang w:eastAsia="en-GB"/>
    </w:rPr>
  </w:style>
  <w:style w:type="paragraph" w:customStyle="1" w:styleId="647TextquotedbulletlistTextstyles">
    <w:name w:val="6.47 Text (quoted bullet list) (Text styles)"/>
    <w:basedOn w:val="644TextquoteTextstylesTextstyles"/>
    <w:uiPriority w:val="99"/>
    <w:rsid w:val="001C6427"/>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1C6427"/>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1C6427"/>
    <w:pPr>
      <w:spacing w:after="260"/>
    </w:pPr>
  </w:style>
  <w:style w:type="paragraph" w:customStyle="1" w:styleId="648TextquotedbulletlistlastTextstyles">
    <w:name w:val="6.48 Text (quoted bullet list last) (Text styles)"/>
    <w:basedOn w:val="647TextquotedbulletlistTextstyles"/>
    <w:uiPriority w:val="99"/>
    <w:rsid w:val="001C6427"/>
    <w:pPr>
      <w:spacing w:after="260"/>
    </w:pPr>
  </w:style>
  <w:style w:type="paragraph" w:customStyle="1" w:styleId="642TextquotednumberedlistTextstyles">
    <w:name w:val="6.42 Text (quoted numbered list) (Text styles)"/>
    <w:basedOn w:val="647TextquotedbulletlistTextstyles"/>
    <w:uiPriority w:val="99"/>
    <w:rsid w:val="001C6427"/>
  </w:style>
  <w:style w:type="paragraph" w:customStyle="1" w:styleId="643TextquotednumberedlistlastTextstyles">
    <w:name w:val="6.43 Text (quoted numbered list last) (Text styles)"/>
    <w:basedOn w:val="642TextquotednumberedlistTextstyles"/>
    <w:uiPriority w:val="99"/>
    <w:rsid w:val="001C6427"/>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1C6427"/>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1C6427"/>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1C6427"/>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1C6427"/>
  </w:style>
  <w:style w:type="paragraph" w:customStyle="1" w:styleId="7531TablenotessubalphalistTablesTableFigureBoxstyles">
    <w:name w:val="7.531 Table notes sub alpha list (Tables) (Table/Figure/Box styles)"/>
    <w:basedOn w:val="752TablenotesnumberedlistTablesTableFigureBoxstyles"/>
    <w:uiPriority w:val="99"/>
    <w:rsid w:val="001C6427"/>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1C6427"/>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1C6427"/>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1C6427"/>
  </w:style>
  <w:style w:type="paragraph" w:customStyle="1" w:styleId="9521BoxnotessubnumberedlistBoxesTableFigureBoxstyles">
    <w:name w:val="9.521 Box notes sub numbered list (Boxes) (Table/Figure/Box styles)"/>
    <w:basedOn w:val="951BoxnotesbulletlistBoxesTableFigureBoxstyles"/>
    <w:uiPriority w:val="99"/>
    <w:rsid w:val="001C6427"/>
    <w:pPr>
      <w:ind w:left="606"/>
    </w:pPr>
  </w:style>
  <w:style w:type="paragraph" w:customStyle="1" w:styleId="953BoxnotesalphalistBoxesTableFigureBoxstyles">
    <w:name w:val="9.53 Box notes alpha list (Boxes) (Table/Figure/Box styles)"/>
    <w:basedOn w:val="952BoxnotesnumberedlistBoxesTableFigureBoxstyles"/>
    <w:uiPriority w:val="99"/>
    <w:rsid w:val="001C6427"/>
  </w:style>
  <w:style w:type="paragraph" w:customStyle="1" w:styleId="9531BoxnotessubalphalistBoxesTableFigureBoxstyles">
    <w:name w:val="9.531 Box notes sub alpha list (Boxes) (Table/Figure/Box styles)"/>
    <w:basedOn w:val="952BoxnotesnumberedlistBoxesTableFigureBoxstyles"/>
    <w:uiPriority w:val="99"/>
    <w:rsid w:val="001C6427"/>
    <w:pPr>
      <w:ind w:left="606"/>
    </w:pPr>
  </w:style>
  <w:style w:type="paragraph" w:customStyle="1" w:styleId="6132TextsubbulletlistnumberedTextstyles">
    <w:name w:val="6.132 Text (sub bullet list numbered) (Text styles)"/>
    <w:basedOn w:val="613TextsubbulletlistTextstylesTextstyles"/>
    <w:uiPriority w:val="99"/>
    <w:rsid w:val="001C6427"/>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1C6427"/>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1C6427"/>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1C6427"/>
    <w:pPr>
      <w:spacing w:after="120"/>
    </w:pPr>
  </w:style>
  <w:style w:type="paragraph" w:customStyle="1" w:styleId="ToCchaptertitleToCstyles">
    <w:name w:val="ToC chapter title (ToC styles)"/>
    <w:basedOn w:val="Normal"/>
    <w:uiPriority w:val="99"/>
    <w:rsid w:val="001C6427"/>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1C6427"/>
    <w:rPr>
      <w:rFonts w:ascii="Lato Black" w:hAnsi="Lato Black" w:cs="Lato Black"/>
    </w:rPr>
  </w:style>
  <w:style w:type="paragraph" w:customStyle="1" w:styleId="ToCAAheadToCstyles">
    <w:name w:val="ToC AA head (ToC styles)"/>
    <w:basedOn w:val="ToCchaptertitleToCstyles"/>
    <w:uiPriority w:val="99"/>
    <w:rsid w:val="001C6427"/>
    <w:pPr>
      <w:spacing w:before="0"/>
    </w:pPr>
    <w:rPr>
      <w:rFonts w:ascii="Lato Medium" w:hAnsi="Lato Medium" w:cs="Lato Medium"/>
    </w:rPr>
  </w:style>
  <w:style w:type="paragraph" w:customStyle="1" w:styleId="ToCAheadToCstyles">
    <w:name w:val="ToC A head (ToC styles)"/>
    <w:basedOn w:val="ToCchaptertitleToCstyles"/>
    <w:uiPriority w:val="99"/>
    <w:rsid w:val="001C6427"/>
    <w:pPr>
      <w:spacing w:before="0"/>
    </w:pPr>
  </w:style>
  <w:style w:type="paragraph" w:customStyle="1" w:styleId="ToCappendixToCstyles">
    <w:name w:val="ToC appendix (ToC styles)"/>
    <w:basedOn w:val="ToCchaptertitleToCstyles"/>
    <w:uiPriority w:val="99"/>
    <w:rsid w:val="001C6427"/>
  </w:style>
  <w:style w:type="paragraph" w:customStyle="1" w:styleId="6214QuoteasanumberedlistitemsourceTextstyles">
    <w:name w:val="6.214 Quote as a numbered list item – source (Text styles)"/>
    <w:basedOn w:val="6121Textbulletlist2ndparalastTextstyles"/>
    <w:uiPriority w:val="99"/>
    <w:rsid w:val="001C6427"/>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1C6427"/>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1C6427"/>
    <w:pPr>
      <w:spacing w:after="120"/>
    </w:pPr>
  </w:style>
  <w:style w:type="paragraph" w:customStyle="1" w:styleId="9274BoxquotesubbulletlistTableFigureBoxstyles">
    <w:name w:val="9.274 Box quote sub bullet list (Table/Figure/Box styles)"/>
    <w:basedOn w:val="9272BoxquotebulletlistTableFigureBoxstyles"/>
    <w:uiPriority w:val="99"/>
    <w:rsid w:val="001C6427"/>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1C6427"/>
    <w:pPr>
      <w:spacing w:after="120"/>
    </w:pPr>
  </w:style>
  <w:style w:type="paragraph" w:customStyle="1" w:styleId="9276BoxquotenumberedlistTableFigureBoxstyles">
    <w:name w:val="9.276 Box quote numbered list (Table/Figure/Box styles)"/>
    <w:basedOn w:val="9272BoxquotebulletlistTableFigureBoxstyles"/>
    <w:uiPriority w:val="99"/>
    <w:rsid w:val="001C6427"/>
  </w:style>
  <w:style w:type="paragraph" w:customStyle="1" w:styleId="9277BoxquotenumberedlistlastTableFigureBoxstyles">
    <w:name w:val="9.277 Box quote numbered list last  (Table/Figure/Box styles)"/>
    <w:basedOn w:val="9276BoxquotenumberedlistTableFigureBoxstyles"/>
    <w:uiPriority w:val="99"/>
    <w:rsid w:val="001C6427"/>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1C6427"/>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1C6427"/>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81807">
      <w:bodyDiv w:val="1"/>
      <w:marLeft w:val="0"/>
      <w:marRight w:val="0"/>
      <w:marTop w:val="0"/>
      <w:marBottom w:val="0"/>
      <w:divBdr>
        <w:top w:val="none" w:sz="0" w:space="0" w:color="auto"/>
        <w:left w:val="none" w:sz="0" w:space="0" w:color="auto"/>
        <w:bottom w:val="none" w:sz="0" w:space="0" w:color="auto"/>
        <w:right w:val="none" w:sz="0" w:space="0" w:color="auto"/>
      </w:divBdr>
      <w:divsChild>
        <w:div w:id="1007095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30353">
              <w:marLeft w:val="0"/>
              <w:marRight w:val="0"/>
              <w:marTop w:val="0"/>
              <w:marBottom w:val="0"/>
              <w:divBdr>
                <w:top w:val="none" w:sz="0" w:space="0" w:color="auto"/>
                <w:left w:val="none" w:sz="0" w:space="0" w:color="auto"/>
                <w:bottom w:val="none" w:sz="0" w:space="0" w:color="auto"/>
                <w:right w:val="none" w:sz="0" w:space="0" w:color="auto"/>
              </w:divBdr>
              <w:divsChild>
                <w:div w:id="335158034">
                  <w:marLeft w:val="0"/>
                  <w:marRight w:val="0"/>
                  <w:marTop w:val="0"/>
                  <w:marBottom w:val="0"/>
                  <w:divBdr>
                    <w:top w:val="none" w:sz="0" w:space="0" w:color="auto"/>
                    <w:left w:val="none" w:sz="0" w:space="0" w:color="auto"/>
                    <w:bottom w:val="none" w:sz="0" w:space="0" w:color="auto"/>
                    <w:right w:val="none" w:sz="0" w:space="0" w:color="auto"/>
                  </w:divBdr>
                  <w:divsChild>
                    <w:div w:id="879786814">
                      <w:marLeft w:val="0"/>
                      <w:marRight w:val="0"/>
                      <w:marTop w:val="0"/>
                      <w:marBottom w:val="0"/>
                      <w:divBdr>
                        <w:top w:val="none" w:sz="0" w:space="0" w:color="auto"/>
                        <w:left w:val="none" w:sz="0" w:space="0" w:color="auto"/>
                        <w:bottom w:val="none" w:sz="0" w:space="0" w:color="auto"/>
                        <w:right w:val="none" w:sz="0" w:space="0" w:color="auto"/>
                      </w:divBdr>
                      <w:divsChild>
                        <w:div w:id="101079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912123">
      <w:bodyDiv w:val="1"/>
      <w:marLeft w:val="0"/>
      <w:marRight w:val="0"/>
      <w:marTop w:val="0"/>
      <w:marBottom w:val="0"/>
      <w:divBdr>
        <w:top w:val="none" w:sz="0" w:space="0" w:color="auto"/>
        <w:left w:val="none" w:sz="0" w:space="0" w:color="auto"/>
        <w:bottom w:val="none" w:sz="0" w:space="0" w:color="auto"/>
        <w:right w:val="none" w:sz="0" w:space="0" w:color="auto"/>
      </w:divBdr>
      <w:divsChild>
        <w:div w:id="1091580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2073470">
              <w:marLeft w:val="0"/>
              <w:marRight w:val="0"/>
              <w:marTop w:val="0"/>
              <w:marBottom w:val="0"/>
              <w:divBdr>
                <w:top w:val="none" w:sz="0" w:space="0" w:color="auto"/>
                <w:left w:val="none" w:sz="0" w:space="0" w:color="auto"/>
                <w:bottom w:val="none" w:sz="0" w:space="0" w:color="auto"/>
                <w:right w:val="none" w:sz="0" w:space="0" w:color="auto"/>
              </w:divBdr>
              <w:divsChild>
                <w:div w:id="2002006743">
                  <w:marLeft w:val="0"/>
                  <w:marRight w:val="0"/>
                  <w:marTop w:val="0"/>
                  <w:marBottom w:val="0"/>
                  <w:divBdr>
                    <w:top w:val="none" w:sz="0" w:space="0" w:color="auto"/>
                    <w:left w:val="none" w:sz="0" w:space="0" w:color="auto"/>
                    <w:bottom w:val="none" w:sz="0" w:space="0" w:color="auto"/>
                    <w:right w:val="none" w:sz="0" w:space="0" w:color="auto"/>
                  </w:divBdr>
                  <w:divsChild>
                    <w:div w:id="1116753838">
                      <w:marLeft w:val="0"/>
                      <w:marRight w:val="0"/>
                      <w:marTop w:val="0"/>
                      <w:marBottom w:val="0"/>
                      <w:divBdr>
                        <w:top w:val="none" w:sz="0" w:space="0" w:color="auto"/>
                        <w:left w:val="none" w:sz="0" w:space="0" w:color="auto"/>
                        <w:bottom w:val="none" w:sz="0" w:space="0" w:color="auto"/>
                        <w:right w:val="none" w:sz="0" w:space="0" w:color="auto"/>
                      </w:divBdr>
                      <w:divsChild>
                        <w:div w:id="1335761106">
                          <w:marLeft w:val="0"/>
                          <w:marRight w:val="0"/>
                          <w:marTop w:val="0"/>
                          <w:marBottom w:val="0"/>
                          <w:divBdr>
                            <w:top w:val="none" w:sz="0" w:space="0" w:color="auto"/>
                            <w:left w:val="none" w:sz="0" w:space="0" w:color="auto"/>
                            <w:bottom w:val="none" w:sz="0" w:space="0" w:color="auto"/>
                            <w:right w:val="none" w:sz="0" w:space="0" w:color="auto"/>
                          </w:divBdr>
                          <w:divsChild>
                            <w:div w:id="82655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3309158">
      <w:bodyDiv w:val="1"/>
      <w:marLeft w:val="0"/>
      <w:marRight w:val="0"/>
      <w:marTop w:val="0"/>
      <w:marBottom w:val="0"/>
      <w:divBdr>
        <w:top w:val="none" w:sz="0" w:space="0" w:color="auto"/>
        <w:left w:val="none" w:sz="0" w:space="0" w:color="auto"/>
        <w:bottom w:val="none" w:sz="0" w:space="0" w:color="auto"/>
        <w:right w:val="none" w:sz="0" w:space="0" w:color="auto"/>
      </w:divBdr>
    </w:div>
    <w:div w:id="613555432">
      <w:bodyDiv w:val="1"/>
      <w:marLeft w:val="0"/>
      <w:marRight w:val="0"/>
      <w:marTop w:val="0"/>
      <w:marBottom w:val="0"/>
      <w:divBdr>
        <w:top w:val="none" w:sz="0" w:space="0" w:color="auto"/>
        <w:left w:val="none" w:sz="0" w:space="0" w:color="auto"/>
        <w:bottom w:val="none" w:sz="0" w:space="0" w:color="auto"/>
        <w:right w:val="none" w:sz="0" w:space="0" w:color="auto"/>
      </w:divBdr>
      <w:divsChild>
        <w:div w:id="1545865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54700">
              <w:marLeft w:val="0"/>
              <w:marRight w:val="0"/>
              <w:marTop w:val="0"/>
              <w:marBottom w:val="0"/>
              <w:divBdr>
                <w:top w:val="none" w:sz="0" w:space="0" w:color="auto"/>
                <w:left w:val="none" w:sz="0" w:space="0" w:color="auto"/>
                <w:bottom w:val="none" w:sz="0" w:space="0" w:color="auto"/>
                <w:right w:val="none" w:sz="0" w:space="0" w:color="auto"/>
              </w:divBdr>
              <w:divsChild>
                <w:div w:id="1752115133">
                  <w:marLeft w:val="0"/>
                  <w:marRight w:val="0"/>
                  <w:marTop w:val="0"/>
                  <w:marBottom w:val="0"/>
                  <w:divBdr>
                    <w:top w:val="none" w:sz="0" w:space="0" w:color="auto"/>
                    <w:left w:val="none" w:sz="0" w:space="0" w:color="auto"/>
                    <w:bottom w:val="none" w:sz="0" w:space="0" w:color="auto"/>
                    <w:right w:val="none" w:sz="0" w:space="0" w:color="auto"/>
                  </w:divBdr>
                  <w:divsChild>
                    <w:div w:id="1102653535">
                      <w:marLeft w:val="0"/>
                      <w:marRight w:val="0"/>
                      <w:marTop w:val="0"/>
                      <w:marBottom w:val="0"/>
                      <w:divBdr>
                        <w:top w:val="none" w:sz="0" w:space="0" w:color="auto"/>
                        <w:left w:val="none" w:sz="0" w:space="0" w:color="auto"/>
                        <w:bottom w:val="none" w:sz="0" w:space="0" w:color="auto"/>
                        <w:right w:val="none" w:sz="0" w:space="0" w:color="auto"/>
                      </w:divBdr>
                      <w:divsChild>
                        <w:div w:id="48755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987585">
      <w:bodyDiv w:val="1"/>
      <w:marLeft w:val="0"/>
      <w:marRight w:val="0"/>
      <w:marTop w:val="0"/>
      <w:marBottom w:val="0"/>
      <w:divBdr>
        <w:top w:val="none" w:sz="0" w:space="0" w:color="auto"/>
        <w:left w:val="none" w:sz="0" w:space="0" w:color="auto"/>
        <w:bottom w:val="none" w:sz="0" w:space="0" w:color="auto"/>
        <w:right w:val="none" w:sz="0" w:space="0" w:color="auto"/>
      </w:divBdr>
    </w:div>
    <w:div w:id="1008630192">
      <w:bodyDiv w:val="1"/>
      <w:marLeft w:val="0"/>
      <w:marRight w:val="0"/>
      <w:marTop w:val="0"/>
      <w:marBottom w:val="0"/>
      <w:divBdr>
        <w:top w:val="none" w:sz="0" w:space="0" w:color="auto"/>
        <w:left w:val="none" w:sz="0" w:space="0" w:color="auto"/>
        <w:bottom w:val="none" w:sz="0" w:space="0" w:color="auto"/>
        <w:right w:val="none" w:sz="0" w:space="0" w:color="auto"/>
      </w:divBdr>
      <w:divsChild>
        <w:div w:id="497812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6010048">
              <w:marLeft w:val="0"/>
              <w:marRight w:val="0"/>
              <w:marTop w:val="0"/>
              <w:marBottom w:val="0"/>
              <w:divBdr>
                <w:top w:val="none" w:sz="0" w:space="0" w:color="auto"/>
                <w:left w:val="none" w:sz="0" w:space="0" w:color="auto"/>
                <w:bottom w:val="none" w:sz="0" w:space="0" w:color="auto"/>
                <w:right w:val="none" w:sz="0" w:space="0" w:color="auto"/>
              </w:divBdr>
              <w:divsChild>
                <w:div w:id="946693536">
                  <w:marLeft w:val="0"/>
                  <w:marRight w:val="0"/>
                  <w:marTop w:val="0"/>
                  <w:marBottom w:val="0"/>
                  <w:divBdr>
                    <w:top w:val="none" w:sz="0" w:space="0" w:color="auto"/>
                    <w:left w:val="none" w:sz="0" w:space="0" w:color="auto"/>
                    <w:bottom w:val="none" w:sz="0" w:space="0" w:color="auto"/>
                    <w:right w:val="none" w:sz="0" w:space="0" w:color="auto"/>
                  </w:divBdr>
                  <w:divsChild>
                    <w:div w:id="123276484">
                      <w:marLeft w:val="0"/>
                      <w:marRight w:val="0"/>
                      <w:marTop w:val="0"/>
                      <w:marBottom w:val="0"/>
                      <w:divBdr>
                        <w:top w:val="none" w:sz="0" w:space="0" w:color="auto"/>
                        <w:left w:val="none" w:sz="0" w:space="0" w:color="auto"/>
                        <w:bottom w:val="none" w:sz="0" w:space="0" w:color="auto"/>
                        <w:right w:val="none" w:sz="0" w:space="0" w:color="auto"/>
                      </w:divBdr>
                      <w:divsChild>
                        <w:div w:id="827286198">
                          <w:marLeft w:val="0"/>
                          <w:marRight w:val="0"/>
                          <w:marTop w:val="0"/>
                          <w:marBottom w:val="0"/>
                          <w:divBdr>
                            <w:top w:val="none" w:sz="0" w:space="0" w:color="auto"/>
                            <w:left w:val="none" w:sz="0" w:space="0" w:color="auto"/>
                            <w:bottom w:val="none" w:sz="0" w:space="0" w:color="auto"/>
                            <w:right w:val="none" w:sz="0" w:space="0" w:color="auto"/>
                          </w:divBdr>
                          <w:divsChild>
                            <w:div w:id="20834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821897">
      <w:bodyDiv w:val="1"/>
      <w:marLeft w:val="0"/>
      <w:marRight w:val="0"/>
      <w:marTop w:val="0"/>
      <w:marBottom w:val="0"/>
      <w:divBdr>
        <w:top w:val="none" w:sz="0" w:space="0" w:color="auto"/>
        <w:left w:val="none" w:sz="0" w:space="0" w:color="auto"/>
        <w:bottom w:val="none" w:sz="0" w:space="0" w:color="auto"/>
        <w:right w:val="none" w:sz="0" w:space="0" w:color="auto"/>
      </w:divBdr>
      <w:divsChild>
        <w:div w:id="9623454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943140">
              <w:marLeft w:val="0"/>
              <w:marRight w:val="0"/>
              <w:marTop w:val="0"/>
              <w:marBottom w:val="0"/>
              <w:divBdr>
                <w:top w:val="none" w:sz="0" w:space="0" w:color="auto"/>
                <w:left w:val="none" w:sz="0" w:space="0" w:color="auto"/>
                <w:bottom w:val="none" w:sz="0" w:space="0" w:color="auto"/>
                <w:right w:val="none" w:sz="0" w:space="0" w:color="auto"/>
              </w:divBdr>
              <w:divsChild>
                <w:div w:id="1128429680">
                  <w:marLeft w:val="0"/>
                  <w:marRight w:val="0"/>
                  <w:marTop w:val="0"/>
                  <w:marBottom w:val="0"/>
                  <w:divBdr>
                    <w:top w:val="none" w:sz="0" w:space="0" w:color="auto"/>
                    <w:left w:val="none" w:sz="0" w:space="0" w:color="auto"/>
                    <w:bottom w:val="none" w:sz="0" w:space="0" w:color="auto"/>
                    <w:right w:val="none" w:sz="0" w:space="0" w:color="auto"/>
                  </w:divBdr>
                  <w:divsChild>
                    <w:div w:id="1826819021">
                      <w:marLeft w:val="0"/>
                      <w:marRight w:val="0"/>
                      <w:marTop w:val="0"/>
                      <w:marBottom w:val="0"/>
                      <w:divBdr>
                        <w:top w:val="none" w:sz="0" w:space="0" w:color="auto"/>
                        <w:left w:val="none" w:sz="0" w:space="0" w:color="auto"/>
                        <w:bottom w:val="none" w:sz="0" w:space="0" w:color="auto"/>
                        <w:right w:val="none" w:sz="0" w:space="0" w:color="auto"/>
                      </w:divBdr>
                      <w:divsChild>
                        <w:div w:id="212549849">
                          <w:marLeft w:val="0"/>
                          <w:marRight w:val="0"/>
                          <w:marTop w:val="0"/>
                          <w:marBottom w:val="0"/>
                          <w:divBdr>
                            <w:top w:val="none" w:sz="0" w:space="0" w:color="auto"/>
                            <w:left w:val="none" w:sz="0" w:space="0" w:color="auto"/>
                            <w:bottom w:val="none" w:sz="0" w:space="0" w:color="auto"/>
                            <w:right w:val="none" w:sz="0" w:space="0" w:color="auto"/>
                          </w:divBdr>
                          <w:divsChild>
                            <w:div w:id="49245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324728">
      <w:bodyDiv w:val="1"/>
      <w:marLeft w:val="0"/>
      <w:marRight w:val="0"/>
      <w:marTop w:val="0"/>
      <w:marBottom w:val="0"/>
      <w:divBdr>
        <w:top w:val="none" w:sz="0" w:space="0" w:color="auto"/>
        <w:left w:val="none" w:sz="0" w:space="0" w:color="auto"/>
        <w:bottom w:val="none" w:sz="0" w:space="0" w:color="auto"/>
        <w:right w:val="none" w:sz="0" w:space="0" w:color="auto"/>
      </w:divBdr>
      <w:divsChild>
        <w:div w:id="565185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0345474">
              <w:marLeft w:val="0"/>
              <w:marRight w:val="0"/>
              <w:marTop w:val="0"/>
              <w:marBottom w:val="0"/>
              <w:divBdr>
                <w:top w:val="none" w:sz="0" w:space="0" w:color="auto"/>
                <w:left w:val="none" w:sz="0" w:space="0" w:color="auto"/>
                <w:bottom w:val="none" w:sz="0" w:space="0" w:color="auto"/>
                <w:right w:val="none" w:sz="0" w:space="0" w:color="auto"/>
              </w:divBdr>
              <w:divsChild>
                <w:div w:id="1100368902">
                  <w:marLeft w:val="0"/>
                  <w:marRight w:val="0"/>
                  <w:marTop w:val="0"/>
                  <w:marBottom w:val="0"/>
                  <w:divBdr>
                    <w:top w:val="none" w:sz="0" w:space="0" w:color="auto"/>
                    <w:left w:val="none" w:sz="0" w:space="0" w:color="auto"/>
                    <w:bottom w:val="none" w:sz="0" w:space="0" w:color="auto"/>
                    <w:right w:val="none" w:sz="0" w:space="0" w:color="auto"/>
                  </w:divBdr>
                  <w:divsChild>
                    <w:div w:id="631249186">
                      <w:marLeft w:val="0"/>
                      <w:marRight w:val="0"/>
                      <w:marTop w:val="0"/>
                      <w:marBottom w:val="0"/>
                      <w:divBdr>
                        <w:top w:val="none" w:sz="0" w:space="0" w:color="auto"/>
                        <w:left w:val="none" w:sz="0" w:space="0" w:color="auto"/>
                        <w:bottom w:val="none" w:sz="0" w:space="0" w:color="auto"/>
                        <w:right w:val="none" w:sz="0" w:space="0" w:color="auto"/>
                      </w:divBdr>
                      <w:divsChild>
                        <w:div w:id="229342127">
                          <w:marLeft w:val="0"/>
                          <w:marRight w:val="0"/>
                          <w:marTop w:val="0"/>
                          <w:marBottom w:val="0"/>
                          <w:divBdr>
                            <w:top w:val="none" w:sz="0" w:space="0" w:color="auto"/>
                            <w:left w:val="none" w:sz="0" w:space="0" w:color="auto"/>
                            <w:bottom w:val="none" w:sz="0" w:space="0" w:color="auto"/>
                            <w:right w:val="none" w:sz="0" w:space="0" w:color="auto"/>
                          </w:divBdr>
                          <w:divsChild>
                            <w:div w:id="78337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313870">
      <w:bodyDiv w:val="1"/>
      <w:marLeft w:val="0"/>
      <w:marRight w:val="0"/>
      <w:marTop w:val="0"/>
      <w:marBottom w:val="0"/>
      <w:divBdr>
        <w:top w:val="none" w:sz="0" w:space="0" w:color="auto"/>
        <w:left w:val="none" w:sz="0" w:space="0" w:color="auto"/>
        <w:bottom w:val="none" w:sz="0" w:space="0" w:color="auto"/>
        <w:right w:val="none" w:sz="0" w:space="0" w:color="auto"/>
      </w:divBdr>
    </w:div>
    <w:div w:id="211682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696EA5C3-82A4-4B78-A07C-C217E495D604}">
    <t:Anchor>
      <t:Comment id="626722093"/>
    </t:Anchor>
    <t:History>
      <t:Event id="{91EE8BA0-35DA-4459-9A2C-EAC6097ECBB6}" time="2022-05-18T08:41:18.328Z">
        <t:Attribution userId="S::william.evans@nottingham.ac.uk::010a9b26-470d-47d8-b6ca-3ae916eeaed3" userProvider="AD" userName="William Evans"/>
        <t:Anchor>
          <t:Comment id="626722093"/>
        </t:Anchor>
        <t:Create/>
      </t:Event>
      <t:Event id="{B93C1F04-E903-4DC4-9802-12D88D4DC2F0}" time="2022-05-18T08:41:18.328Z">
        <t:Attribution userId="S::william.evans@nottingham.ac.uk::010a9b26-470d-47d8-b6ca-3ae916eeaed3" userProvider="AD" userName="William Evans"/>
        <t:Anchor>
          <t:Comment id="626722093"/>
        </t:Anchor>
        <t:Assign userId="S::Pamela.Pepper@nottingham.ac.uk::e69bd315-13ae-4770-96d9-ff9868516717" userProvider="AD" userName="Pamela Pepper (staff)"/>
      </t:Event>
      <t:Event id="{19662C3B-67A1-4B15-9311-3AEF362C8F8A}" time="2022-05-18T08:41:18.328Z">
        <t:Attribution userId="S::william.evans@nottingham.ac.uk::010a9b26-470d-47d8-b6ca-3ae916eeaed3" userProvider="AD" userName="William Evans"/>
        <t:Anchor>
          <t:Comment id="626722093"/>
        </t:Anchor>
        <t:SetTitle title="@Pamela Pepper (staff) I think you have access to the endnote library. We need to add reference here: 'Sex differences in cardiovascular morbidity associated with familial hypercholesterolaemia: A retrospective cohort study of the UK Simon Broome …"/>
      </t:Event>
    </t:History>
  </t:Task>
  <t:Task id="{7C27FC42-C66F-41D8-9F1A-8441633B2B17}">
    <t:Anchor>
      <t:Comment id="1706979184"/>
    </t:Anchor>
    <t:History>
      <t:Event id="{A61D06CB-9788-4813-B57F-F8C80758354F}" time="2022-05-18T08:46:29.512Z">
        <t:Attribution userId="S::william.evans@nottingham.ac.uk::010a9b26-470d-47d8-b6ca-3ae916eeaed3" userProvider="AD" userName="William Evans"/>
        <t:Anchor>
          <t:Comment id="1706979184"/>
        </t:Anchor>
        <t:Create/>
      </t:Event>
      <t:Event id="{61AB4A2F-4FBB-48A0-B066-8390DFE23840}" time="2022-05-18T08:46:29.512Z">
        <t:Attribution userId="S::william.evans@nottingham.ac.uk::010a9b26-470d-47d8-b6ca-3ae916eeaed3" userProvider="AD" userName="William Evans"/>
        <t:Anchor>
          <t:Comment id="1706979184"/>
        </t:Anchor>
        <t:Assign userId="S::Pamela.Pepper@nottingham.ac.uk::e69bd315-13ae-4770-96d9-ff9868516717" userProvider="AD" userName="Pamela Pepper (staff)"/>
      </t:Event>
      <t:Event id="{A60D8CC9-9EB9-48B7-86D4-7439843E3487}" time="2022-05-18T08:46:29.512Z">
        <t:Attribution userId="S::william.evans@nottingham.ac.uk::010a9b26-470d-47d8-b6ca-3ae916eeaed3" userProvider="AD" userName="William Evans"/>
        <t:Anchor>
          <t:Comment id="1706979184"/>
        </t:Anchor>
        <t:SetTitle title="@Pamela Pepper (staff) again the same reference needs to be put here it is 141 but as I dont ahve access at mo to endnote library can you make sure it syncs.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98DBFF9BEE1D40AA8B6F2E5DB29297" ma:contentTypeVersion="13" ma:contentTypeDescription="Create a new document." ma:contentTypeScope="" ma:versionID="20275c463513d5550cf3bde3622a2c25">
  <xsd:schema xmlns:xsd="http://www.w3.org/2001/XMLSchema" xmlns:xs="http://www.w3.org/2001/XMLSchema" xmlns:p="http://schemas.microsoft.com/office/2006/metadata/properties" xmlns:ns2="c4e48567-5c38-4484-ab8d-ffc5a3dc364f" xmlns:ns3="3fb502d1-52de-4b0e-a93c-31d17443b865" targetNamespace="http://schemas.microsoft.com/office/2006/metadata/properties" ma:root="true" ma:fieldsID="7ac47de846a3f9d43e535ae8776cb7c8" ns2:_="" ns3:_="">
    <xsd:import namespace="c4e48567-5c38-4484-ab8d-ffc5a3dc364f"/>
    <xsd:import namespace="3fb502d1-52de-4b0e-a93c-31d17443b8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48567-5c38-4484-ab8d-ffc5a3dc3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24216-d583-4636-a04d-17921d6eaf6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b502d1-52de-4b0e-a93c-31d17443b8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6f155-8832-4ed5-8ab9-a724a518e40e}" ma:internalName="TaxCatchAll" ma:showField="CatchAllData" ma:web="3fb502d1-52de-4b0e-a93c-31d17443b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fb502d1-52de-4b0e-a93c-31d17443b865">
      <UserInfo>
        <DisplayName>Jo Leonardi-Bee (staff)</DisplayName>
        <AccountId>13</AccountId>
        <AccountType/>
      </UserInfo>
      <UserInfo>
        <DisplayName>Joe Kai (staff)</DisplayName>
        <AccountId>12</AccountId>
        <AccountType/>
      </UserInfo>
      <UserInfo>
        <DisplayName>Ralph Akyea (staff)</DisplayName>
        <AccountId>22</AccountId>
        <AccountType/>
      </UserInfo>
      <UserInfo>
        <DisplayName>Barbara Iyen (staff)</DisplayName>
        <AccountId>39</AccountId>
        <AccountType/>
      </UserInfo>
      <UserInfo>
        <DisplayName>Barbara Iyen</DisplayName>
        <AccountId>41</AccountId>
        <AccountType/>
      </UserInfo>
      <UserInfo>
        <DisplayName>William Evans</DisplayName>
        <AccountId>42</AccountId>
        <AccountType/>
      </UserInfo>
      <UserInfo>
        <DisplayName>Nadeem Qureshi (staff)</DisplayName>
        <AccountId>16</AccountId>
        <AccountType/>
      </UserInfo>
      <UserInfo>
        <DisplayName>Pamela Pepper (staff)</DisplayName>
        <AccountId>48</AccountId>
        <AccountType/>
      </UserInfo>
      <UserInfo>
        <DisplayName>Hasidah Abdul Hamid</DisplayName>
        <AccountId>46</AccountId>
        <AccountType/>
      </UserInfo>
      <UserInfo>
        <DisplayName>William Evans (staff)</DisplayName>
        <AccountId>56</AccountId>
        <AccountType/>
      </UserInfo>
    </SharedWithUsers>
    <lcf76f155ced4ddcb4097134ff3c332f xmlns="c4e48567-5c38-4484-ab8d-ffc5a3dc364f">
      <Terms xmlns="http://schemas.microsoft.com/office/infopath/2007/PartnerControls"/>
    </lcf76f155ced4ddcb4097134ff3c332f>
    <TaxCatchAll xmlns="3fb502d1-52de-4b0e-a93c-31d17443b86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DCAEA-4F22-4FB8-9E77-F87584EACAA0}">
  <ds:schemaRefs>
    <ds:schemaRef ds:uri="http://schemas.microsoft.com/sharepoint/v3/contenttype/forms"/>
  </ds:schemaRefs>
</ds:datastoreItem>
</file>

<file path=customXml/itemProps2.xml><?xml version="1.0" encoding="utf-8"?>
<ds:datastoreItem xmlns:ds="http://schemas.openxmlformats.org/officeDocument/2006/customXml" ds:itemID="{2F8E415E-9384-4E77-B1FB-0735B7F08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48567-5c38-4484-ab8d-ffc5a3dc364f"/>
    <ds:schemaRef ds:uri="3fb502d1-52de-4b0e-a93c-31d17443b8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082D4-E458-48B1-9CBF-0F11AAED83CA}">
  <ds:schemaRefs>
    <ds:schemaRef ds:uri="http://schemas.microsoft.com/office/2006/metadata/properties"/>
    <ds:schemaRef ds:uri="http://schemas.microsoft.com/office/infopath/2007/PartnerControls"/>
    <ds:schemaRef ds:uri="3fb502d1-52de-4b0e-a93c-31d17443b865"/>
    <ds:schemaRef ds:uri="c4e48567-5c38-4484-ab8d-ffc5a3dc364f"/>
  </ds:schemaRefs>
</ds:datastoreItem>
</file>

<file path=customXml/itemProps4.xml><?xml version="1.0" encoding="utf-8"?>
<ds:datastoreItem xmlns:ds="http://schemas.openxmlformats.org/officeDocument/2006/customXml" ds:itemID="{03D6BCE4-C0FF-4036-822D-C4FD9264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39</Pages>
  <Words>54667</Words>
  <Characters>311608</Characters>
  <Application>Microsoft Office Word</Application>
  <DocSecurity>0</DocSecurity>
  <Lines>2596</Lines>
  <Paragraphs>731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NKR</dc:creator>
  <cp:keywords/>
  <dc:description/>
  <cp:lastModifiedBy>Rachel Davies-Coleman</cp:lastModifiedBy>
  <cp:revision>3</cp:revision>
  <dcterms:created xsi:type="dcterms:W3CDTF">2022-07-08T11:13:00Z</dcterms:created>
  <dcterms:modified xsi:type="dcterms:W3CDTF">2022-07-08T11:20:00Z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0x0101007598DBFF9BEE1D40AA8B6F2E5DB29297</vt:lpwstr>
  </property>
  <property fmtid="{D5CDD505-2E9C-101B-9397-08002B2CF9AE}" pid="3" name="MediaServiceImageTags">
    <vt:lpwstr/>
  </property>
</Properties>
</file>